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ectPr>
          <w:pgSz w:w="11900" w:h="16838" w:orient="portrait"/>
          <w:cols w:equalWidth="0" w:num="1">
            <w:col w:w="11420"/>
          </w:cols>
          <w:pgMar w:left="240" w:top="1125" w:right="239" w:bottom="1440" w:gutter="0" w:footer="0" w:header="0"/>
        </w:sectPr>
      </w:pPr>
    </w:p>
    <w:p>
      <w:pPr>
        <w:spacing w:after="0" w:line="141" w:lineRule="exact"/>
        <w:rPr>
          <w:sz w:val="24"/>
          <w:szCs w:val="24"/>
          <w:color w:val="auto"/>
        </w:rPr>
      </w:pPr>
    </w:p>
    <w:p>
      <w:pPr>
        <w:ind w:left="7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ANNUAL REPORT PURSUANT TO SECTION 13 OR 15(d)</w:t>
      </w:r>
    </w:p>
    <w:p>
      <w:pPr>
        <w:spacing w:after="0" w:line="56" w:lineRule="exact"/>
        <w:rPr>
          <w:sz w:val="24"/>
          <w:szCs w:val="24"/>
          <w:color w:val="auto"/>
        </w:rPr>
      </w:pPr>
    </w:p>
    <w:p>
      <w:pPr>
        <w:sectPr>
          <w:pgSz w:w="11900" w:h="16838" w:orient="portrait"/>
          <w:cols w:equalWidth="0" w:num="2">
            <w:col w:w="2880" w:space="720"/>
            <w:col w:w="7820"/>
          </w:cols>
          <w:pgMar w:left="240" w:top="1125"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ectPr>
          <w:pgSz w:w="11900" w:h="16838" w:orient="portrait"/>
          <w:cols w:equalWidth="0" w:num="1">
            <w:col w:w="11420"/>
          </w:cols>
          <w:pgMar w:left="240" w:top="1125" w:right="239" w:bottom="1440" w:gutter="0" w:footer="0" w:header="0"/>
          <w:type w:val="continuous"/>
        </w:sectPr>
      </w:pPr>
    </w:p>
    <w:p>
      <w:pPr>
        <w:spacing w:after="0" w:line="153" w:lineRule="exact"/>
        <w:rPr>
          <w:sz w:val="24"/>
          <w:szCs w:val="24"/>
          <w:color w:val="auto"/>
        </w:rPr>
      </w:pPr>
    </w:p>
    <w:p>
      <w:pPr>
        <w:ind w:left="78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w:t>
      </w:r>
    </w:p>
    <w:p>
      <w:pPr>
        <w:spacing w:after="0" w:line="26" w:lineRule="exact"/>
        <w:rPr>
          <w:sz w:val="24"/>
          <w:szCs w:val="24"/>
          <w:color w:val="auto"/>
        </w:rPr>
      </w:pPr>
    </w:p>
    <w:p>
      <w:pPr>
        <w:sectPr>
          <w:pgSz w:w="11900" w:h="16838" w:orient="portrait"/>
          <w:cols w:equalWidth="0" w:num="2">
            <w:col w:w="2720" w:space="720"/>
            <w:col w:w="7980"/>
          </w:cols>
          <w:pgMar w:left="240" w:top="1125"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For the Transition Period from to</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Commission File Number 000-30141</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LIVEPERSON,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1125" w:right="239" w:bottom="1440" w:gutter="0" w:footer="0" w:header="0"/>
          <w:type w:val="continuous"/>
        </w:sectPr>
      </w:pPr>
    </w:p>
    <w:p>
      <w:pPr>
        <w:spacing w:after="0" w:line="174"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13-3861628</w:t>
      </w:r>
    </w:p>
    <w:p>
      <w:pPr>
        <w:spacing w:after="0" w:line="99" w:lineRule="exact"/>
        <w:rPr>
          <w:sz w:val="24"/>
          <w:szCs w:val="24"/>
          <w:color w:val="auto"/>
        </w:rPr>
      </w:pPr>
    </w:p>
    <w:p>
      <w:pPr>
        <w:sectPr>
          <w:pgSz w:w="11900" w:h="16838" w:orient="portrait"/>
          <w:cols w:equalWidth="0" w:num="2">
            <w:col w:w="7580" w:space="720"/>
            <w:col w:w="3120"/>
          </w:cols>
          <w:pgMar w:left="240" w:top="1125" w:right="239" w:bottom="1440" w:gutter="0" w:footer="0" w:header="0"/>
          <w:type w:val="continuous"/>
        </w:sectPr>
      </w:pPr>
    </w:p>
    <w:p>
      <w:pPr>
        <w:ind w:left="198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5" w:lineRule="exact"/>
        <w:rPr>
          <w:sz w:val="24"/>
          <w:szCs w:val="24"/>
          <w:color w:val="auto"/>
        </w:rPr>
      </w:pPr>
    </w:p>
    <w:p>
      <w:pPr>
        <w:sectPr>
          <w:pgSz w:w="11900" w:h="16838" w:orient="portrait"/>
          <w:cols w:equalWidth="0" w:num="2">
            <w:col w:w="7420" w:space="720"/>
            <w:col w:w="3280"/>
          </w:cols>
          <w:pgMar w:left="240" w:top="1125" w:right="239" w:bottom="1440" w:gutter="0" w:footer="0" w:header="0"/>
          <w:type w:val="continuous"/>
        </w:sectPr>
      </w:pPr>
    </w:p>
    <w:p>
      <w:pPr>
        <w:ind w:left="7940"/>
        <w:spacing w:after="0"/>
        <w:rPr>
          <w:sz w:val="20"/>
          <w:szCs w:val="20"/>
          <w:color w:val="auto"/>
        </w:rPr>
      </w:pPr>
      <w:r>
        <w:rPr>
          <w:rFonts w:ascii="Arial" w:cs="Arial" w:eastAsia="Arial" w:hAnsi="Arial"/>
          <w:sz w:val="16"/>
          <w:szCs w:val="16"/>
          <w:color w:val="auto"/>
        </w:rPr>
        <w:t>Identification Number)</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475 Tenth Avenue, 5th Floor</w:t>
      </w:r>
    </w:p>
    <w:p>
      <w:pPr>
        <w:spacing w:after="0" w:line="23"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New York, New York 10018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609-4200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Title of Each Class</w:t>
            </w: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17"/>
        </w:trPr>
        <w:tc>
          <w:tcPr>
            <w:tcW w:w="59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Common Stock, par value $0.001 per share</w:t>
            </w:r>
          </w:p>
        </w:tc>
        <w:tc>
          <w:tcPr>
            <w:tcW w:w="54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7"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p>
    <w:p>
      <w:pPr>
        <w:spacing w:after="0" w:line="113"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firstLine="27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27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27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41"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81" w:lineRule="exact"/>
        <w:rPr>
          <w:sz w:val="24"/>
          <w:szCs w:val="24"/>
          <w:color w:val="auto"/>
        </w:rPr>
      </w:pPr>
    </w:p>
    <w:p>
      <w:pPr>
        <w:ind w:left="120"/>
        <w:spacing w:after="0" w:line="207" w:lineRule="exact"/>
        <w:tabs>
          <w:tab w:leader="none" w:pos="2900" w:val="left"/>
          <w:tab w:leader="none" w:pos="5680" w:val="left"/>
          <w:tab w:leader="none" w:pos="846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o No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2016 (the last business day of the registrant’s most recently completed second fiscal quarter) was approximately $334,703,334 (computed by reference to the last reported sale price on The Nasdaq Global Select Market on that date). The registrant does not have any non-voting common stock outstanding.</w:t>
      </w:r>
    </w:p>
    <w:p>
      <w:pPr>
        <w:spacing w:after="0" w:line="7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On February 28, 2017, 58,299,557 shares of the registrant’s common stock were outstanding.</w:t>
      </w:r>
    </w:p>
    <w:p>
      <w:pPr>
        <w:spacing w:after="0" w:line="10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jc w:val="both"/>
        <w:ind w:right="20" w:firstLine="270"/>
        <w:spacing w:after="0" w:line="275" w:lineRule="auto"/>
        <w:rPr>
          <w:sz w:val="20"/>
          <w:szCs w:val="20"/>
          <w:color w:val="auto"/>
        </w:rPr>
      </w:pPr>
      <w:r>
        <w:rPr>
          <w:rFonts w:ascii="Arial" w:cs="Arial" w:eastAsia="Arial" w:hAnsi="Arial"/>
          <w:sz w:val="16"/>
          <w:szCs w:val="16"/>
          <w:color w:val="auto"/>
        </w:rPr>
        <w:t>Portions of the registrant’s definitive proxy statement for the 2016 Annual Meeting of Stockholders, which we plan to file subsequent to the date hereof, are incorporated by reference into Items 10, 11, 12, 13 and 14 of Part III of this Form 10-K.</w:t>
      </w:r>
    </w:p>
    <w:p>
      <w:pPr>
        <w:sectPr>
          <w:pgSz w:w="11900" w:h="16838" w:orient="portrait"/>
          <w:cols w:equalWidth="0" w:num="1">
            <w:col w:w="11420"/>
          </w:cols>
          <w:pgMar w:left="240" w:top="11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rPr>
              <w:t>LIVEPERSON, INC.</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900" w:type="dxa"/>
            <w:vAlign w:val="bottom"/>
          </w:tcPr>
          <w:p>
            <w:pPr>
              <w:jc w:val="center"/>
              <w:spacing w:after="0"/>
              <w:rPr>
                <w:sz w:val="20"/>
                <w:szCs w:val="20"/>
                <w:color w:val="auto"/>
              </w:rPr>
            </w:pPr>
            <w:r>
              <w:rPr>
                <w:rFonts w:ascii="Arial" w:cs="Arial" w:eastAsia="Arial" w:hAnsi="Arial"/>
                <w:sz w:val="18"/>
                <w:szCs w:val="18"/>
                <w:b w:val="1"/>
                <w:bCs w:val="1"/>
                <w:color w:val="auto"/>
                <w:w w:val="98"/>
              </w:rPr>
              <w:t>2016 ANNUAL REPORT ON FORM 10-K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800" w:type="dxa"/>
            <w:vAlign w:val="bottom"/>
            <w:gridSpan w:val="4"/>
          </w:tcPr>
          <w:p>
            <w:pPr>
              <w:ind w:left="240"/>
              <w:spacing w:after="0"/>
              <w:rPr>
                <w:sz w:val="20"/>
                <w:szCs w:val="20"/>
                <w:color w:val="auto"/>
              </w:rPr>
            </w:pPr>
            <w:r>
              <w:rPr>
                <w:rFonts w:ascii="Arial" w:cs="Arial" w:eastAsia="Arial" w:hAnsi="Arial"/>
                <w:sz w:val="16"/>
                <w:szCs w:val="16"/>
                <w:b w:val="1"/>
                <w:bCs w:val="1"/>
                <w:color w:val="auto"/>
              </w:rPr>
              <w:t>Page</w:t>
            </w:r>
          </w:p>
        </w:tc>
      </w:tr>
      <w:tr>
        <w:trPr>
          <w:trHeight w:val="33"/>
        </w:trPr>
        <w:tc>
          <w:tcPr>
            <w:tcW w:w="720" w:type="dxa"/>
            <w:vAlign w:val="bottom"/>
            <w:tcBorders>
              <w:bottom w:val="single" w:sz="8" w:color="CCFFCC"/>
            </w:tcBorders>
          </w:tcPr>
          <w:p>
            <w:pPr>
              <w:spacing w:after="0"/>
              <w:rPr>
                <w:sz w:val="2"/>
                <w:szCs w:val="2"/>
                <w:color w:val="auto"/>
              </w:rPr>
            </w:pPr>
          </w:p>
        </w:tc>
        <w:tc>
          <w:tcPr>
            <w:tcW w:w="990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720" w:type="dxa"/>
            <w:vAlign w:val="bottom"/>
            <w:tcBorders>
              <w:bottom w:val="single" w:sz="8" w:color="CCFFCC"/>
            </w:tcBorders>
            <w:shd w:val="clear" w:color="auto" w:fill="CCFFCC"/>
          </w:tcPr>
          <w:p>
            <w:pPr>
              <w:spacing w:after="0"/>
              <w:rPr>
                <w:sz w:val="20"/>
                <w:szCs w:val="20"/>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w w:val="99"/>
              </w:rPr>
              <w:t>PART I</w:t>
            </w:r>
          </w:p>
        </w:tc>
        <w:tc>
          <w:tcPr>
            <w:tcW w:w="6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w:t>
            </w:r>
          </w:p>
        </w:tc>
        <w:tc>
          <w:tcPr>
            <w:tcW w:w="9900" w:type="dxa"/>
            <w:vAlign w:val="bottom"/>
          </w:tcPr>
          <w:p>
            <w:pPr>
              <w:ind w:left="120"/>
              <w:spacing w:after="0"/>
              <w:rPr>
                <w:sz w:val="20"/>
                <w:szCs w:val="20"/>
                <w:color w:val="auto"/>
              </w:rPr>
            </w:pPr>
            <w:r>
              <w:rPr>
                <w:rFonts w:ascii="Arial" w:cs="Arial" w:eastAsia="Arial" w:hAnsi="Arial"/>
                <w:sz w:val="16"/>
                <w:szCs w:val="16"/>
                <w:color w:val="auto"/>
              </w:rPr>
              <w:t>Business</w:t>
            </w:r>
          </w:p>
        </w:tc>
        <w:tc>
          <w:tcPr>
            <w:tcW w:w="78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1A.</w:t>
            </w:r>
          </w:p>
        </w:tc>
        <w:tc>
          <w:tcPr>
            <w:tcW w:w="9900" w:type="dxa"/>
            <w:vAlign w:val="bottom"/>
          </w:tcPr>
          <w:p>
            <w:pPr>
              <w:ind w:left="120"/>
              <w:spacing w:after="0"/>
              <w:rPr>
                <w:sz w:val="20"/>
                <w:szCs w:val="20"/>
                <w:color w:val="auto"/>
              </w:rPr>
            </w:pPr>
            <w:r>
              <w:rPr>
                <w:rFonts w:ascii="Arial" w:cs="Arial" w:eastAsia="Arial" w:hAnsi="Arial"/>
                <w:sz w:val="16"/>
                <w:szCs w:val="16"/>
                <w:color w:val="auto"/>
              </w:rPr>
              <w:t>Risk Factors</w:t>
            </w:r>
          </w:p>
        </w:tc>
        <w:tc>
          <w:tcPr>
            <w:tcW w:w="78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1B.</w:t>
            </w:r>
          </w:p>
        </w:tc>
        <w:tc>
          <w:tcPr>
            <w:tcW w:w="9900" w:type="dxa"/>
            <w:vAlign w:val="bottom"/>
          </w:tcPr>
          <w:p>
            <w:pPr>
              <w:ind w:left="120"/>
              <w:spacing w:after="0"/>
              <w:rPr>
                <w:sz w:val="20"/>
                <w:szCs w:val="20"/>
                <w:color w:val="auto"/>
              </w:rPr>
            </w:pPr>
            <w:r>
              <w:rPr>
                <w:rFonts w:ascii="Arial" w:cs="Arial" w:eastAsia="Arial" w:hAnsi="Arial"/>
                <w:sz w:val="16"/>
                <w:szCs w:val="16"/>
                <w:color w:val="auto"/>
              </w:rPr>
              <w:t>Unresolved Staff Comments</w:t>
            </w:r>
          </w:p>
        </w:tc>
        <w:tc>
          <w:tcPr>
            <w:tcW w:w="78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2.</w:t>
            </w:r>
          </w:p>
        </w:tc>
        <w:tc>
          <w:tcPr>
            <w:tcW w:w="9900" w:type="dxa"/>
            <w:vAlign w:val="bottom"/>
          </w:tcPr>
          <w:p>
            <w:pPr>
              <w:ind w:left="120"/>
              <w:spacing w:after="0"/>
              <w:rPr>
                <w:sz w:val="20"/>
                <w:szCs w:val="20"/>
                <w:color w:val="auto"/>
              </w:rPr>
            </w:pPr>
            <w:r>
              <w:rPr>
                <w:rFonts w:ascii="Arial" w:cs="Arial" w:eastAsia="Arial" w:hAnsi="Arial"/>
                <w:sz w:val="16"/>
                <w:szCs w:val="16"/>
                <w:color w:val="auto"/>
              </w:rPr>
              <w:t>Properties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3.</w:t>
            </w:r>
          </w:p>
        </w:tc>
        <w:tc>
          <w:tcPr>
            <w:tcW w:w="9900" w:type="dxa"/>
            <w:vAlign w:val="bottom"/>
          </w:tcPr>
          <w:p>
            <w:pPr>
              <w:ind w:left="120"/>
              <w:spacing w:after="0"/>
              <w:rPr>
                <w:sz w:val="20"/>
                <w:szCs w:val="20"/>
                <w:color w:val="auto"/>
              </w:rPr>
            </w:pPr>
            <w:r>
              <w:rPr>
                <w:rFonts w:ascii="Arial" w:cs="Arial" w:eastAsia="Arial" w:hAnsi="Arial"/>
                <w:sz w:val="16"/>
                <w:szCs w:val="16"/>
                <w:color w:val="auto"/>
              </w:rPr>
              <w:t>Legal Proceedings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4.</w:t>
            </w:r>
          </w:p>
        </w:tc>
        <w:tc>
          <w:tcPr>
            <w:tcW w:w="9900" w:type="dxa"/>
            <w:vAlign w:val="bottom"/>
          </w:tcPr>
          <w:p>
            <w:pPr>
              <w:ind w:left="120"/>
              <w:spacing w:after="0"/>
              <w:rPr>
                <w:sz w:val="20"/>
                <w:szCs w:val="20"/>
                <w:color w:val="auto"/>
              </w:rPr>
            </w:pPr>
            <w:r>
              <w:rPr>
                <w:rFonts w:ascii="Arial" w:cs="Arial" w:eastAsia="Arial" w:hAnsi="Arial"/>
                <w:sz w:val="16"/>
                <w:szCs w:val="16"/>
                <w:color w:val="auto"/>
              </w:rPr>
              <w:t>Mine Safety Disclosures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0" w:type="dxa"/>
            <w:vAlign w:val="bottom"/>
            <w:shd w:val="clear" w:color="auto" w:fill="CCFFCC"/>
          </w:tcPr>
          <w:p>
            <w:pPr>
              <w:spacing w:after="0"/>
              <w:rPr>
                <w:sz w:val="23"/>
                <w:szCs w:val="23"/>
                <w:color w:val="auto"/>
              </w:rPr>
            </w:pPr>
          </w:p>
        </w:tc>
        <w:tc>
          <w:tcPr>
            <w:tcW w:w="9900" w:type="dxa"/>
            <w:vAlign w:val="bottom"/>
            <w:shd w:val="clear" w:color="auto" w:fill="CCFFCC"/>
          </w:tcPr>
          <w:p>
            <w:pPr>
              <w:spacing w:after="0"/>
              <w:rPr>
                <w:sz w:val="23"/>
                <w:szCs w:val="23"/>
                <w:color w:val="auto"/>
              </w:rPr>
            </w:pPr>
          </w:p>
        </w:tc>
        <w:tc>
          <w:tcPr>
            <w:tcW w:w="62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5.</w:t>
            </w:r>
          </w:p>
        </w:tc>
        <w:tc>
          <w:tcPr>
            <w:tcW w:w="9900" w:type="dxa"/>
            <w:vAlign w:val="bottom"/>
          </w:tcPr>
          <w:p>
            <w:pPr>
              <w:ind w:left="12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6.</w:t>
            </w:r>
          </w:p>
        </w:tc>
        <w:tc>
          <w:tcPr>
            <w:tcW w:w="9900" w:type="dxa"/>
            <w:vAlign w:val="bottom"/>
          </w:tcPr>
          <w:p>
            <w:pPr>
              <w:ind w:left="120"/>
              <w:spacing w:after="0"/>
              <w:rPr>
                <w:sz w:val="20"/>
                <w:szCs w:val="20"/>
                <w:color w:val="auto"/>
              </w:rPr>
            </w:pPr>
            <w:r>
              <w:rPr>
                <w:rFonts w:ascii="Arial" w:cs="Arial" w:eastAsia="Arial" w:hAnsi="Arial"/>
                <w:sz w:val="16"/>
                <w:szCs w:val="16"/>
                <w:color w:val="auto"/>
              </w:rPr>
              <w:t>Selected Consolidated Financial Data</w:t>
            </w:r>
          </w:p>
        </w:tc>
        <w:tc>
          <w:tcPr>
            <w:tcW w:w="78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w:t>
            </w:r>
          </w:p>
        </w:tc>
        <w:tc>
          <w:tcPr>
            <w:tcW w:w="9900" w:type="dxa"/>
            <w:vAlign w:val="bottom"/>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780" w:type="dxa"/>
            <w:vAlign w:val="bottom"/>
            <w:gridSpan w:val="3"/>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38</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7A.</w:t>
            </w:r>
          </w:p>
        </w:tc>
        <w:tc>
          <w:tcPr>
            <w:tcW w:w="9900" w:type="dxa"/>
            <w:vAlign w:val="bottom"/>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780" w:type="dxa"/>
            <w:vAlign w:val="bottom"/>
            <w:gridSpan w:val="3"/>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52</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8.</w:t>
            </w:r>
          </w:p>
        </w:tc>
        <w:tc>
          <w:tcPr>
            <w:tcW w:w="9900" w:type="dxa"/>
            <w:vAlign w:val="bottom"/>
          </w:tcPr>
          <w:p>
            <w:pPr>
              <w:ind w:left="120"/>
              <w:spacing w:after="0"/>
              <w:rPr>
                <w:sz w:val="20"/>
                <w:szCs w:val="20"/>
                <w:color w:val="auto"/>
              </w:rPr>
            </w:pPr>
            <w:r>
              <w:rPr>
                <w:rFonts w:ascii="Arial" w:cs="Arial" w:eastAsia="Arial" w:hAnsi="Arial"/>
                <w:sz w:val="16"/>
                <w:szCs w:val="16"/>
                <w:color w:val="auto"/>
              </w:rPr>
              <w:t>Consolidated Financial Statements and Supplementary Data</w:t>
            </w:r>
          </w:p>
        </w:tc>
        <w:tc>
          <w:tcPr>
            <w:tcW w:w="780" w:type="dxa"/>
            <w:vAlign w:val="bottom"/>
            <w:gridSpan w:val="3"/>
          </w:tcPr>
          <w:p>
            <w:pPr>
              <w:jc w:val="right"/>
              <w:spacing w:after="0"/>
              <w:rPr>
                <w:rFonts w:ascii="Arial" w:cs="Arial" w:eastAsia="Arial" w:hAnsi="Arial"/>
                <w:sz w:val="16"/>
                <w:szCs w:val="16"/>
                <w:color w:val="0000EE"/>
              </w:rPr>
            </w:pPr>
            <w:hyperlink w:anchor="page56">
              <w:r>
                <w:rPr>
                  <w:rFonts w:ascii="Arial" w:cs="Arial" w:eastAsia="Arial" w:hAnsi="Arial"/>
                  <w:sz w:val="16"/>
                  <w:szCs w:val="16"/>
                  <w:color w:val="0000EE"/>
                </w:rPr>
                <w:t>53</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w:t>
            </w:r>
          </w:p>
        </w:tc>
        <w:tc>
          <w:tcPr>
            <w:tcW w:w="9900" w:type="dxa"/>
            <w:vAlign w:val="bottom"/>
          </w:tcPr>
          <w:p>
            <w:pPr>
              <w:ind w:left="1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780" w:type="dxa"/>
            <w:vAlign w:val="bottom"/>
            <w:gridSpan w:val="3"/>
          </w:tcPr>
          <w:p>
            <w:pPr>
              <w:jc w:val="right"/>
              <w:spacing w:after="0"/>
              <w:rPr>
                <w:rFonts w:ascii="Arial" w:cs="Arial" w:eastAsia="Arial" w:hAnsi="Arial"/>
                <w:sz w:val="16"/>
                <w:szCs w:val="16"/>
                <w:color w:val="0000EE"/>
              </w:rPr>
            </w:pPr>
            <w:hyperlink w:anchor="page85">
              <w:r>
                <w:rPr>
                  <w:rFonts w:ascii="Arial" w:cs="Arial" w:eastAsia="Arial" w:hAnsi="Arial"/>
                  <w:sz w:val="16"/>
                  <w:szCs w:val="16"/>
                  <w:color w:val="0000EE"/>
                </w:rPr>
                <w:t>82</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9A.</w:t>
            </w:r>
          </w:p>
        </w:tc>
        <w:tc>
          <w:tcPr>
            <w:tcW w:w="9900" w:type="dxa"/>
            <w:vAlign w:val="bottom"/>
          </w:tcPr>
          <w:p>
            <w:pPr>
              <w:ind w:left="120"/>
              <w:spacing w:after="0"/>
              <w:rPr>
                <w:sz w:val="20"/>
                <w:szCs w:val="20"/>
                <w:color w:val="auto"/>
              </w:rPr>
            </w:pPr>
            <w:r>
              <w:rPr>
                <w:rFonts w:ascii="Arial" w:cs="Arial" w:eastAsia="Arial" w:hAnsi="Arial"/>
                <w:sz w:val="16"/>
                <w:szCs w:val="16"/>
                <w:color w:val="auto"/>
              </w:rPr>
              <w:t>Controls and Procedures</w:t>
            </w:r>
          </w:p>
        </w:tc>
        <w:tc>
          <w:tcPr>
            <w:tcW w:w="780" w:type="dxa"/>
            <w:vAlign w:val="bottom"/>
            <w:gridSpan w:val="3"/>
          </w:tcPr>
          <w:p>
            <w:pPr>
              <w:jc w:val="right"/>
              <w:spacing w:after="0"/>
              <w:rPr>
                <w:rFonts w:ascii="Arial" w:cs="Arial" w:eastAsia="Arial" w:hAnsi="Arial"/>
                <w:sz w:val="16"/>
                <w:szCs w:val="16"/>
                <w:color w:val="0000EE"/>
              </w:rPr>
            </w:pPr>
            <w:hyperlink w:anchor="page85">
              <w:r>
                <w:rPr>
                  <w:rFonts w:ascii="Arial" w:cs="Arial" w:eastAsia="Arial" w:hAnsi="Arial"/>
                  <w:sz w:val="16"/>
                  <w:szCs w:val="16"/>
                  <w:color w:val="0000EE"/>
                </w:rPr>
                <w:t>82</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9B.</w:t>
            </w:r>
          </w:p>
        </w:tc>
        <w:tc>
          <w:tcPr>
            <w:tcW w:w="9900" w:type="dxa"/>
            <w:vAlign w:val="bottom"/>
          </w:tcPr>
          <w:p>
            <w:pPr>
              <w:ind w:left="120"/>
              <w:spacing w:after="0"/>
              <w:rPr>
                <w:sz w:val="20"/>
                <w:szCs w:val="20"/>
                <w:color w:val="auto"/>
              </w:rPr>
            </w:pPr>
            <w:r>
              <w:rPr>
                <w:rFonts w:ascii="Arial" w:cs="Arial" w:eastAsia="Arial" w:hAnsi="Arial"/>
                <w:sz w:val="16"/>
                <w:szCs w:val="16"/>
                <w:color w:val="auto"/>
              </w:rPr>
              <w:t>Other Information</w:t>
            </w:r>
          </w:p>
        </w:tc>
        <w:tc>
          <w:tcPr>
            <w:tcW w:w="780" w:type="dxa"/>
            <w:vAlign w:val="bottom"/>
            <w:gridSpan w:val="3"/>
          </w:tcPr>
          <w:p>
            <w:pPr>
              <w:jc w:val="right"/>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III</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10.</w:t>
            </w:r>
          </w:p>
        </w:tc>
        <w:tc>
          <w:tcPr>
            <w:tcW w:w="9900" w:type="dxa"/>
            <w:vAlign w:val="bottom"/>
          </w:tcPr>
          <w:p>
            <w:pPr>
              <w:ind w:left="120"/>
              <w:spacing w:after="0"/>
              <w:rPr>
                <w:sz w:val="20"/>
                <w:szCs w:val="20"/>
                <w:color w:val="auto"/>
              </w:rPr>
            </w:pPr>
            <w:r>
              <w:rPr>
                <w:rFonts w:ascii="Arial" w:cs="Arial" w:eastAsia="Arial" w:hAnsi="Arial"/>
                <w:sz w:val="16"/>
                <w:szCs w:val="16"/>
                <w:color w:val="auto"/>
              </w:rPr>
              <w:t>Directors, Executive Officers and Corporate Governance</w:t>
            </w:r>
          </w:p>
        </w:tc>
        <w:tc>
          <w:tcPr>
            <w:tcW w:w="780" w:type="dxa"/>
            <w:vAlign w:val="bottom"/>
            <w:gridSpan w:val="3"/>
          </w:tcPr>
          <w:p>
            <w:pPr>
              <w:jc w:val="right"/>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11.</w:t>
            </w:r>
          </w:p>
        </w:tc>
        <w:tc>
          <w:tcPr>
            <w:tcW w:w="9900" w:type="dxa"/>
            <w:vAlign w:val="bottom"/>
          </w:tcPr>
          <w:p>
            <w:pPr>
              <w:ind w:left="120"/>
              <w:spacing w:after="0"/>
              <w:rPr>
                <w:sz w:val="20"/>
                <w:szCs w:val="20"/>
                <w:color w:val="auto"/>
              </w:rPr>
            </w:pPr>
            <w:r>
              <w:rPr>
                <w:rFonts w:ascii="Arial" w:cs="Arial" w:eastAsia="Arial" w:hAnsi="Arial"/>
                <w:sz w:val="16"/>
                <w:szCs w:val="16"/>
                <w:color w:val="auto"/>
              </w:rPr>
              <w:t>Executive Compensation</w:t>
            </w:r>
          </w:p>
        </w:tc>
        <w:tc>
          <w:tcPr>
            <w:tcW w:w="780" w:type="dxa"/>
            <w:vAlign w:val="bottom"/>
            <w:gridSpan w:val="3"/>
          </w:tcPr>
          <w:p>
            <w:pPr>
              <w:jc w:val="right"/>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12.</w:t>
            </w:r>
          </w:p>
        </w:tc>
        <w:tc>
          <w:tcPr>
            <w:tcW w:w="9900" w:type="dxa"/>
            <w:vAlign w:val="bottom"/>
          </w:tcPr>
          <w:p>
            <w:pPr>
              <w:ind w:left="12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780" w:type="dxa"/>
            <w:vAlign w:val="bottom"/>
            <w:gridSpan w:val="3"/>
          </w:tcPr>
          <w:p>
            <w:pPr>
              <w:jc w:val="right"/>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13.</w:t>
            </w:r>
          </w:p>
        </w:tc>
        <w:tc>
          <w:tcPr>
            <w:tcW w:w="9900" w:type="dxa"/>
            <w:vAlign w:val="bottom"/>
          </w:tcPr>
          <w:p>
            <w:pPr>
              <w:ind w:left="12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780" w:type="dxa"/>
            <w:vAlign w:val="bottom"/>
            <w:gridSpan w:val="3"/>
          </w:tcPr>
          <w:p>
            <w:pPr>
              <w:jc w:val="right"/>
              <w:spacing w:after="0"/>
              <w:rPr>
                <w:rFonts w:ascii="Arial" w:cs="Arial" w:eastAsia="Arial" w:hAnsi="Arial"/>
                <w:sz w:val="16"/>
                <w:szCs w:val="16"/>
                <w:color w:val="0000EE"/>
              </w:rPr>
            </w:pPr>
            <w:hyperlink w:anchor="page88">
              <w:r>
                <w:rPr>
                  <w:rFonts w:ascii="Arial" w:cs="Arial" w:eastAsia="Arial" w:hAnsi="Arial"/>
                  <w:sz w:val="16"/>
                  <w:szCs w:val="16"/>
                  <w:color w:val="0000EE"/>
                </w:rPr>
                <w:t>85</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14.</w:t>
            </w:r>
          </w:p>
        </w:tc>
        <w:tc>
          <w:tcPr>
            <w:tcW w:w="9900" w:type="dxa"/>
            <w:vAlign w:val="bottom"/>
          </w:tcPr>
          <w:p>
            <w:pPr>
              <w:ind w:left="120"/>
              <w:spacing w:after="0"/>
              <w:rPr>
                <w:sz w:val="20"/>
                <w:szCs w:val="20"/>
                <w:color w:val="auto"/>
              </w:rPr>
            </w:pPr>
            <w:r>
              <w:rPr>
                <w:rFonts w:ascii="Arial" w:cs="Arial" w:eastAsia="Arial" w:hAnsi="Arial"/>
                <w:sz w:val="16"/>
                <w:szCs w:val="16"/>
                <w:color w:val="auto"/>
              </w:rPr>
              <w:t>Principal Accountant Fees and Services</w:t>
            </w:r>
          </w:p>
        </w:tc>
        <w:tc>
          <w:tcPr>
            <w:tcW w:w="780" w:type="dxa"/>
            <w:vAlign w:val="bottom"/>
            <w:gridSpan w:val="3"/>
          </w:tcPr>
          <w:p>
            <w:pPr>
              <w:jc w:val="right"/>
              <w:spacing w:after="0"/>
              <w:rPr>
                <w:rFonts w:ascii="Arial" w:cs="Arial" w:eastAsia="Arial" w:hAnsi="Arial"/>
                <w:sz w:val="16"/>
                <w:szCs w:val="16"/>
                <w:color w:val="0000EE"/>
              </w:rPr>
            </w:pPr>
            <w:hyperlink w:anchor="page88">
              <w:r>
                <w:rPr>
                  <w:rFonts w:ascii="Arial" w:cs="Arial" w:eastAsia="Arial" w:hAnsi="Arial"/>
                  <w:sz w:val="16"/>
                  <w:szCs w:val="16"/>
                  <w:color w:val="0000EE"/>
                </w:rPr>
                <w:t>85</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IV</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15.</w:t>
            </w:r>
          </w:p>
        </w:tc>
        <w:tc>
          <w:tcPr>
            <w:tcW w:w="9900" w:type="dxa"/>
            <w:vAlign w:val="bottom"/>
          </w:tcPr>
          <w:p>
            <w:pPr>
              <w:ind w:left="120"/>
              <w:spacing w:after="0"/>
              <w:rPr>
                <w:sz w:val="20"/>
                <w:szCs w:val="20"/>
                <w:color w:val="auto"/>
              </w:rPr>
            </w:pPr>
            <w:r>
              <w:rPr>
                <w:rFonts w:ascii="Arial" w:cs="Arial" w:eastAsia="Arial" w:hAnsi="Arial"/>
                <w:sz w:val="16"/>
                <w:szCs w:val="16"/>
                <w:color w:val="auto"/>
              </w:rPr>
              <w:t>Exhibits and Financial Statement Schedules</w:t>
            </w:r>
          </w:p>
        </w:tc>
        <w:tc>
          <w:tcPr>
            <w:tcW w:w="780" w:type="dxa"/>
            <w:vAlign w:val="bottom"/>
            <w:gridSpan w:val="3"/>
          </w:tcPr>
          <w:p>
            <w:pPr>
              <w:jc w:val="right"/>
              <w:spacing w:after="0"/>
              <w:rPr>
                <w:rFonts w:ascii="Arial" w:cs="Arial" w:eastAsia="Arial" w:hAnsi="Arial"/>
                <w:sz w:val="16"/>
                <w:szCs w:val="16"/>
                <w:color w:val="0000EE"/>
              </w:rPr>
            </w:pPr>
            <w:hyperlink w:anchor="page88">
              <w:r>
                <w:rPr>
                  <w:rFonts w:ascii="Arial" w:cs="Arial" w:eastAsia="Arial" w:hAnsi="Arial"/>
                  <w:sz w:val="16"/>
                  <w:szCs w:val="16"/>
                  <w:color w:val="0000EE"/>
                </w:rPr>
                <w:t>85</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16.</w:t>
            </w:r>
          </w:p>
        </w:tc>
        <w:tc>
          <w:tcPr>
            <w:tcW w:w="9900" w:type="dxa"/>
            <w:vAlign w:val="bottom"/>
          </w:tcPr>
          <w:p>
            <w:pPr>
              <w:ind w:left="120"/>
              <w:spacing w:after="0"/>
              <w:rPr>
                <w:sz w:val="20"/>
                <w:szCs w:val="20"/>
                <w:color w:val="auto"/>
              </w:rPr>
            </w:pPr>
            <w:r>
              <w:rPr>
                <w:rFonts w:ascii="Arial" w:cs="Arial" w:eastAsia="Arial" w:hAnsi="Arial"/>
                <w:sz w:val="16"/>
                <w:szCs w:val="16"/>
                <w:color w:val="auto"/>
              </w:rPr>
              <w:t>Form 10-K Summary</w:t>
            </w:r>
          </w:p>
        </w:tc>
        <w:tc>
          <w:tcPr>
            <w:tcW w:w="780" w:type="dxa"/>
            <w:vAlign w:val="bottom"/>
            <w:gridSpan w:val="3"/>
          </w:tcPr>
          <w:p>
            <w:pPr>
              <w:jc w:val="right"/>
              <w:spacing w:after="0"/>
              <w:rPr>
                <w:rFonts w:ascii="Arial" w:cs="Arial" w:eastAsia="Arial" w:hAnsi="Arial"/>
                <w:sz w:val="16"/>
                <w:szCs w:val="16"/>
                <w:color w:val="0000EE"/>
              </w:rPr>
            </w:pPr>
            <w:hyperlink w:anchor="page88">
              <w:r>
                <w:rPr>
                  <w:rFonts w:ascii="Arial" w:cs="Arial" w:eastAsia="Arial" w:hAnsi="Arial"/>
                  <w:sz w:val="16"/>
                  <w:szCs w:val="16"/>
                  <w:color w:val="0000EE"/>
                </w:rPr>
                <w:t>85</w:t>
              </w:r>
            </w:hyperlink>
          </w:p>
        </w:tc>
        <w:tc>
          <w:tcPr>
            <w:tcW w:w="2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13" w:right="239" w:bottom="775"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013" w:right="239" w:bottom="77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THESE FORWARD-LOOKING STATEMENTS ARE BASED ON OUR CURRENT EXPECTATIONS, WHICH MAY NOT PROVE TO BE ACCURATE. MANY OF THESE STATEMENTS ARE FOUND IN THE “BUSINESS” AND “MANAGEMENT’S DISCUSSION AND ANALYSIS OF FINANCIAL CONDITION AND RESULTS OF OPERATIONS” SECTIONS OF THIS FORM 10-K. WHEN USED IN THIS FORM 10-K, THE WORDS “ESTIMATES,” “EXPECTS,” “ANTICIPATES,” “PROJECTS,” “PLANS,” “INTENDS,” “BELIEVES” AND VARIATIONS OF SUCH WORDS OR SIMILAR EXPRESSIONS ARE INTENDED TO IDENTIFY FORWARD-LOOKING STATEMENTS. ALL FORWARD-LOOKING STATEMENTS, INCLUDING, WITHOUT LIMITATION, OUR EXAMINATION OF HISTORICAL OPERATING TRENDS, ARE BASED UPON OUR CURRENT EXPECTATIONS AND VARIOUS ASSUMPTIONS. OUR EXPECTATIONS, BELIEFS AND PROJECTIONS ARE EXPRESSED IN GOOD FAITH, AND WE BELIEVE THERE IS A REASONABLE BASIS FOR THEM, BUT WE CANNOT ASSURE YOU THAT OUR EXPECTATIONS, BELIEFS AND PROJECTIONS WILL BE REALIZED. ANY SUCH FORWARD-LOOKING STATEMENTS ARE MADE PURSUANT TO THE SAFE HARBOR PROVISIONS OF THE PRIVATE SECURITIES LITIGATION REFORM ACT OF 1995. IT IS ROUTINE FOR OUR INTERNAL PROJECTIONS AND EXPECTATIONS TO CHANGE AS THE YEAR OR EACH QUARTER IN THE YEAR PROGRESS, AND THEREFORE IT SHOULD BE CLEARLY UNDERSTOOD THAT THE INTERNAL PROJECTIONS AND BELIEFS UPON WHICH WE BASE OUR EXPECTATIONS MAY CHANGE PRIOR TO THE END OF EACH QUARTER OR THE YEAR. ALTHOUGH THESE EXPECTATIONS MAY CHANGE, WE ARE UNDER NO OBLIGATION TO INFORM YOU IF THEY DO. ACTUAL EVENTS OR RESULTS MAY DIFFER MATERIALLY FROM THOSE CONTAINED IN THE PROJECTIONS OR FORWARD-LOOKING STATEMENTS. IMPORTANT FACTORS THAT COULD CAUSE OUR ACTUAL RESULTS TO DIFFER MATERIALLY FROM THE FORWARD-LOOKING STATEMENTS WE MAKE IN THIS FORM 10-K ARE SET FORTH IN THIS FORM 10-K, INCLUDING THE FACTORS DESCRIBED IN THE SECTION ENTITLED “ITEM 1A — RISK FACTORS.” IF ANY OF THESE RISKS OR UNCERTAINTIES MATERIALIZE, OR IF ANY OF OUR UNDERLYING ASSUMPTIONS ARE INCORRECT, OUR ACTUAL RESULTS MAY DIFFER SIGNIFICANTLY FROM THE RESULTS THAT WE EXPRESS IN OR IMPLY BY ANY OF OUR FORWARD-LOOKING STATEMENTS. WE DO NOT UNDERTAKE ANY OBLIGATION TO REVISE THESE FORWARD-LOOKING STATEMENTS TO REFLECT FUTURE EVENTS OR CIRCUMSTANCES.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0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LivePerson, Inc. (“LivePerson”, the “Company”, “we” or “our”) is a leading provider of mobile and online business messaging solutions that power digital communication between brands and consumers. LiveEngage, the Company’s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and sales, instead of demanding that consumers use email or call a 1-800 number.</w:t>
      </w:r>
    </w:p>
    <w:p>
      <w:pPr>
        <w:spacing w:after="0" w:line="64"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LiveEngage was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 More than 18,000 businesses, including Citibank, EE, IBM, Orbitz, PNC, The Home Depot and T-Mobile employ our technology to keep pace with rising customer service expectations and to align with preferences for digital communication channels.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our internal measures, during 2016, we monitored an average of 2.7 billion visitor sessions per month across our customers’ websites. LivePerson combines this session data with other historical, behavioral, and operational information to develop insights into each step of a consumer’s journey, and to optimize campaign outcomes for sales and service transactions.</w:t>
      </w:r>
    </w:p>
    <w:p>
      <w:pPr>
        <w:spacing w:after="0" w:line="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LivePerson’s products, coupled with our domain knowledge, industry expertise and professional services, have been proven to maximize the effectiveness of consumer engagement. Our business solutions deliver measurable return on investment by enabling our customers to:</w:t>
      </w:r>
    </w:p>
    <w:p>
      <w:pPr>
        <w:spacing w:after="0" w:line="38" w:lineRule="exact"/>
        <w:rPr>
          <w:sz w:val="20"/>
          <w:szCs w:val="20"/>
          <w:color w:val="auto"/>
        </w:rPr>
      </w:pPr>
    </w:p>
    <w:p>
      <w:pPr>
        <w:ind w:left="1280" w:right="180" w:hanging="327"/>
        <w:spacing w:after="0" w:line="258"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consumer satisfaction, improve the overall digital experience, and enhance retention and loyalty, while reducing customer service costs;</w:t>
      </w:r>
    </w:p>
    <w:p>
      <w:pPr>
        <w:spacing w:after="0" w:line="1" w:lineRule="exact"/>
        <w:rPr>
          <w:rFonts w:ascii="Arial" w:cs="Arial" w:eastAsia="Arial" w:hAnsi="Arial"/>
          <w:sz w:val="18"/>
          <w:szCs w:val="18"/>
          <w:color w:val="auto"/>
        </w:rPr>
      </w:pPr>
    </w:p>
    <w:p>
      <w:pPr>
        <w:ind w:left="1280" w:hanging="327"/>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lower operating costs in the contact center by deflecting costly phone and email interactions and improving agent efficiency;</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increase mobile app retention and engagement by providing a connected messaging experience and turning an app into an engaging support app;</w:t>
      </w:r>
    </w:p>
    <w:p>
      <w:pPr>
        <w:ind w:left="1280" w:right="100" w:hanging="327"/>
        <w:spacing w:after="0" w:line="250"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ind w:left="1300" w:right="180" w:hanging="320"/>
        <w:spacing w:after="0" w:line="250"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accelerate sales cycles, increase conversion rates, increase average order value and reduce abandonment by intelligently engaging website visitors;</w:t>
      </w: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300" w:right="140" w:hanging="320"/>
        <w:spacing w:after="0" w:line="261"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increase lead generation by providing a single messaging platform that engages consumers through advertisements and listings on branded and third-party websites.</w:t>
      </w:r>
    </w:p>
    <w:p>
      <w:pPr>
        <w:spacing w:after="0" w:line="292" w:lineRule="exact"/>
        <w:rPr>
          <w:sz w:val="20"/>
          <w:szCs w:val="20"/>
          <w:color w:val="auto"/>
        </w:rPr>
      </w:pPr>
    </w:p>
    <w:p>
      <w:pPr>
        <w:jc w:val="both"/>
        <w:ind w:left="340" w:firstLine="1296"/>
        <w:spacing w:after="0" w:line="302"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46" w:lineRule="exact"/>
        <w:rPr>
          <w:sz w:val="20"/>
          <w:szCs w:val="20"/>
          <w:color w:val="auto"/>
        </w:rPr>
      </w:pPr>
    </w:p>
    <w:p>
      <w:pPr>
        <w:jc w:val="both"/>
        <w:ind w:firstLine="673"/>
        <w:spacing w:after="0" w:line="286" w:lineRule="auto"/>
        <w:rPr>
          <w:sz w:val="20"/>
          <w:szCs w:val="20"/>
          <w:color w:val="auto"/>
        </w:rPr>
      </w:pPr>
      <w:r>
        <w:rPr>
          <w:rFonts w:ascii="Arial" w:cs="Arial" w:eastAsia="Arial" w:hAnsi="Arial"/>
          <w:sz w:val="17"/>
          <w:szCs w:val="17"/>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international offices in Amsterdam, Berlin, London, Mannheim, Melbourne, Milan, Paris, Ra'anana (Israel), Reading (UK), and Tokyo.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1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LivePerson's LiveEngage platform offers a sophisticated intelligence engine and suite of text and mobile messaging, real-time chat messaging, content delivery, customer sentiment and cobrowsing offerings to proactively engage with consumers through mobile apps, mobile and desktop websites and social media. These brand-to-consumer messaging capabilities provide an alternative channel of communication to calling a 1-800 number and empower brands to run business campaigns on their websites that engage consumers via messaging.</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Historically, brands have predominately promoted calling the 1-800 number as the primary means of contact with consumers. According to a 2013 IBM report, approximately 270 billion calls are made to contact centers each year. We believe that in order to align with consumer communication preferences, improve the customer experience and reduce contact center costs, brands will increasingly promote messaging as an alternative to voice, and that LivePerson will benefit from this communication shift. Based on internal measurements, LivePerson has powered more than one billion real-time chat messaging conversations since its founding. We believe that messaging may now be nearing an inflection point, as brands are expanding beyond real-time chat messaging to also embrace text and mobile messaging. Evidence of this potential inflection point materialized in 2016, when LivePerson’s first enterprise customers began connecting with consumers at scale via text and mobile messaging on LiveEngage.</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Industry reports suggest challenges with the traditional channel of calling 1-800 numbers. Roughly 50% of calls to 1-800 numbers go unresolved, according to IBM, and a 2014 Harris Interactive survey found that “81% of all consumers agree that it is frustrating to be tied to a phone or computer to wait for customer service help.” Research by enterprise analytics firm Mattersight, reinforces this view, with 74% of consumers feeling that call centers are getting worse or at best staying the same. The risk of poor customer service is material, according to Harris Interactive, which found that 89% of consumers will leave and go to a competitor due to bad customer experiences.</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digital messaging has surpassed voice as the consumer's preferred channel of communication. WhatsApp and Facebook users combined send more than 60 billion messages a day, and, according to Portio Research, people worldwide were estimated to send an estimated 23 billion text messages a day in 2015. The International Smartphone Mobility Report by mobile data tracking firm Infomate found that U.S. smartphone users send and receive five times as many texts as compared to phone calls each day. In total, Americans spend about 26 minutes a day texting, as compared to six minutes a day on voice calls. A survey by transportation booking app, Hailo, found that making phone calls has dropped to the sixth most popular use of a mobile device, behind sending messages, receiving messages, checking email, surfing the Web, and using the alarm clock. The adoption of messaging has not been constrained to younger generations. According to Experian Marketing Services, adults 55 and older send and receive an average of nearly 500 text messages a month.</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consumer preference has shifted to messaging versus voice because it saves time and sustains a continuous connection with the other party. Individuals can send and respond to messages when it suits their need, as opposed to dedicating blocks of time to making voice calls. According to Forrester Research's Customer Experience Survey, 73% of US online adults say that valuing their time is the most important thing a company can do to provide them with good service. A RingCentral survey supports this view: “At least 78% of consumers who text wish they could have a text conversation with a business.” An Amdocs global consumer survey had a similar finding, with 76% of consumers stating they would rather use a mobile app than call the contact center.</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Messaging also presents a potential cost savings benefit to brands versus voice, as skilled agents can typically manage multiple text-based conversations simultaneously, but only one voice call at a time.</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e-commerce continues to become more mainstream, LivePerson also anticipates stronger demand for intelligent business campaigns that target consumers with messaging on our customers' websites.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Forrester Research “74% of U.S. and 65% of European online adults now regularly shop online,” and “28% of online sales now flow through mobile devices.” According to Goldman Sachs, by 2018, there will be roughly as much global mobile commerce ($626 billion) as there was global e-commerce in 2013. Forrester estimates that U.S. online retail sales reached $334 billion in 2015, or 10% of all sales, up from $263 billion or 8% of sales in 2013. E-commerce is projected to climb at a 10% compound annual growth rate to $480 billion in 2019.</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brands are investing to capture their share of visitors on the Web, spending to capture sales from those visitors attracted to their sites has lagged and conversion rates have stagnated. According to an eConsultancy report, for every $92 spent by retailers to attract a visitor to their website, approximately $1 is spent on efforts to convert each visitor. We believe that conversion rates can be improved through optimized on-site engagement, and that this represents an opportunity for our messaging solutions on both desktop and mobile channels. According to Forrester Research, 53% of customers are likely to abandon their online purchases if they can't find quick answers to their questions. LivePerson customers have demonstrated increases in website sales of greater than 20% and boosts in average order value by as much as 35%, while lowering the cost of engagement relative to voice or email. A 2013 Customer Service Benchmark by eDigitalResearch also found that “live chat has the highest satisfaction levels for any customer service channel, with 73%, compared with 61% for email and 44% for phone.”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5" w:name="page6"/>
    <w:bookmarkEnd w:id="5"/>
    <w:p>
      <w:pPr>
        <w:jc w:val="both"/>
        <w:ind w:firstLine="648"/>
        <w:spacing w:after="0" w:line="277" w:lineRule="auto"/>
        <w:rPr>
          <w:sz w:val="20"/>
          <w:szCs w:val="20"/>
          <w:color w:val="auto"/>
        </w:rPr>
      </w:pPr>
      <w:r>
        <w:rPr>
          <w:rFonts w:ascii="Arial" w:cs="Arial" w:eastAsia="Arial" w:hAnsi="Arial"/>
          <w:sz w:val="18"/>
          <w:szCs w:val="18"/>
          <w:color w:val="auto"/>
        </w:rPr>
        <w:t>These drivers are likely a key factor in the steady uptake of campaign-based messaging. According to Forrester Research, chat adoption by consumers has increased to 65% in 2015 from 38% in 2009.</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LiveEngage, LivePerson’s enterprise-class, cloud-based platform, will enable LivePerson to deliver increased value to brands as the software is purpose built for messaging in mobile and online channels, designed for ease of use, and features robust real-time reporting, role-based real-time analytics, predictive intelligence, and innovations in customer satisfaction and connection measurement. In our view, the LiveEngage platform, in concert with our enterprise references, best-in-class scalability and security, domain knowledge, global footprint, consulting organization and customer value managers, uniquely positions LivePerson to optimize the effectiveness of real-time, campaign-based messaging and create a viable alternative to the traditional channel of calling the 1-800 number.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Strengthening Our Position in both Existing and New Markets and Growing Our Recurring Revenue Base. </w:t>
      </w:r>
      <w:r>
        <w:rPr>
          <w:rFonts w:ascii="Arial" w:cs="Arial" w:eastAsia="Arial" w:hAnsi="Arial"/>
          <w:sz w:val="17"/>
          <w:szCs w:val="17"/>
          <w:color w:val="auto"/>
        </w:rPr>
        <w:t>LivePerson plans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 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real-time, campaign-based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71" w:lineRule="exact"/>
        <w:rPr>
          <w:sz w:val="20"/>
          <w:szCs w:val="20"/>
          <w:color w:val="auto"/>
        </w:rPr>
      </w:pPr>
    </w:p>
    <w:p>
      <w:pPr>
        <w:jc w:val="both"/>
        <w:ind w:firstLine="266"/>
        <w:spacing w:after="0" w:line="289" w:lineRule="auto"/>
        <w:rPr>
          <w:sz w:val="20"/>
          <w:szCs w:val="20"/>
          <w:color w:val="auto"/>
        </w:rPr>
      </w:pPr>
      <w:r>
        <w:rPr>
          <w:rFonts w:ascii="Arial" w:cs="Arial" w:eastAsia="Arial" w:hAnsi="Arial"/>
          <w:sz w:val="16"/>
          <w:szCs w:val="16"/>
          <w:b w:val="1"/>
          <w:bCs w:val="1"/>
          <w:i w:val="1"/>
          <w:iCs w:val="1"/>
          <w:color w:val="auto"/>
        </w:rPr>
        <w:t xml:space="preserve">Fuel Increased Usage by Expanding our Engagement Tools and Offering Platform Pricing. </w:t>
      </w:r>
      <w:r>
        <w:rPr>
          <w:rFonts w:ascii="Arial" w:cs="Arial" w:eastAsia="Arial" w:hAnsi="Arial"/>
          <w:sz w:val="16"/>
          <w:szCs w:val="16"/>
          <w:color w:val="auto"/>
        </w:rPr>
        <w:t>In 2011, we began expanding on our market leading real-time chat messaging product by adding new technologies that augment digital consumer engagement, including targeted content delivery and transcript analytics. In 2014, we introduced LiveEngage, whereby we seamlessly integrated into a single platform an expanded suite of mobile and online business messaging technologies, including traditional desktop chat messaging, mobile chat messaging, content delivery, analytics, cobrowse, PCI, customer sentiment, and mobile messaging via in-app, SMS, browser-based search and Facebook Messenger. LiveEngage delivers rich, contextually aware targeting and personalized experiences across mobile and desktop devices. We also began offering a new platform pricing model, which provides brands access to our entire suite of messaging technologies across their entire agent pool for a pre-negotiated cost per interaction. We believe this model is more attractive and will lead to increased usage versus our historic approach of requiring brands to negotiate each agent seat and product license separately. In late 2016, we began launching product programs designed to promote usage of our broader suite of capabilities for targeted customers.</w:t>
      </w:r>
    </w:p>
    <w:p>
      <w:pPr>
        <w:spacing w:after="0" w:line="59" w:lineRule="exact"/>
        <w:rPr>
          <w:sz w:val="20"/>
          <w:szCs w:val="20"/>
          <w:color w:val="auto"/>
        </w:rPr>
      </w:pPr>
    </w:p>
    <w:p>
      <w:pPr>
        <w:jc w:val="both"/>
        <w:ind w:firstLine="234"/>
        <w:spacing w:after="0" w:line="255" w:lineRule="auto"/>
        <w:rPr>
          <w:sz w:val="20"/>
          <w:szCs w:val="20"/>
          <w:color w:val="auto"/>
        </w:rPr>
      </w:pPr>
      <w:r>
        <w:rPr>
          <w:rFonts w:ascii="Arial" w:cs="Arial" w:eastAsia="Arial" w:hAnsi="Arial"/>
          <w:sz w:val="18"/>
          <w:szCs w:val="18"/>
          <w:b w:val="1"/>
          <w:bCs w:val="1"/>
          <w:i w:val="1"/>
          <w:iCs w:val="1"/>
          <w:color w:val="auto"/>
        </w:rPr>
        <w:t xml:space="preserve">Leverage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additional applications and services to our customers. For example, in 2015 we integrated LiveEngage with one of the leading consumer messaging platforms. In 2016 we integrated LiveEngage with one of the leading mobile search ad extensions, enabling consumers to initiate SMS messaging conversations with brands directly out of their mobile search results. We have also integrated LiveEngage with several artificial intelligence/bots vendors.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w:t>
      </w:r>
    </w:p>
    <w:p>
      <w:pPr>
        <w:spacing w:after="0" w:line="81" w:lineRule="exact"/>
        <w:rPr>
          <w:sz w:val="20"/>
          <w:szCs w:val="20"/>
          <w:color w:val="auto"/>
        </w:rPr>
      </w:pPr>
    </w:p>
    <w:p>
      <w:pPr>
        <w:jc w:val="both"/>
        <w:ind w:firstLine="549"/>
        <w:spacing w:after="0" w:line="255" w:lineRule="auto"/>
        <w:rPr>
          <w:sz w:val="20"/>
          <w:szCs w:val="20"/>
          <w:color w:val="auto"/>
        </w:rPr>
      </w:pPr>
      <w:r>
        <w:rPr>
          <w:rFonts w:ascii="Arial" w:cs="Arial" w:eastAsia="Arial" w:hAnsi="Arial"/>
          <w:sz w:val="18"/>
          <w:szCs w:val="18"/>
          <w:b w:val="1"/>
          <w:bCs w:val="1"/>
          <w:i w:val="1"/>
          <w:iCs w:val="1"/>
          <w:color w:val="auto"/>
        </w:rPr>
        <w:t xml:space="preserve">Maintaining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85" w:lineRule="exact"/>
        <w:rPr>
          <w:sz w:val="20"/>
          <w:szCs w:val="20"/>
          <w:color w:val="auto"/>
        </w:rPr>
      </w:pPr>
    </w:p>
    <w:p>
      <w:pPr>
        <w:jc w:val="both"/>
        <w:ind w:firstLine="522"/>
        <w:spacing w:after="0" w:line="257" w:lineRule="auto"/>
        <w:rPr>
          <w:sz w:val="20"/>
          <w:szCs w:val="20"/>
          <w:color w:val="auto"/>
        </w:rPr>
      </w:pPr>
      <w:r>
        <w:rPr>
          <w:rFonts w:ascii="Arial" w:cs="Arial" w:eastAsia="Arial" w:hAnsi="Arial"/>
          <w:sz w:val="18"/>
          <w:szCs w:val="18"/>
          <w:b w:val="1"/>
          <w:bCs w:val="1"/>
          <w:i w:val="1"/>
          <w:iCs w:val="1"/>
          <w:color w:val="auto"/>
        </w:rPr>
        <w:t xml:space="preserve">International Presence. </w:t>
      </w:r>
      <w:r>
        <w:rPr>
          <w:rFonts w:ascii="Arial" w:cs="Arial" w:eastAsia="Arial" w:hAnsi="Arial"/>
          <w:sz w:val="18"/>
          <w:szCs w:val="18"/>
          <w:color w:val="auto"/>
        </w:rPr>
        <w:t>LivePerson is focused on expanding its international revenue contribution, which increased to 34% of total revenue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 in 2015, despite approximately $3.5 million of adverse foreign currency exchange impact. LivePerson generated positive results from previous investments in direct sales and services personnel in the United Kingdom and Western Europe. We also continued to focus on expanding our presence in the Asia Pacific region, leveraging our relationships with partners such as NTT Solco, a subsidiary of telecom firm NTT Docomo and Information Services International-Dentsu, Ltd. (ISID).</w:t>
      </w:r>
    </w:p>
    <w:p>
      <w:pPr>
        <w:spacing w:after="0" w:line="80"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8"/>
          <w:szCs w:val="18"/>
          <w:b w:val="1"/>
          <w:bCs w:val="1"/>
          <w:i w:val="1"/>
          <w:iCs w:val="1"/>
          <w:color w:val="auto"/>
        </w:rPr>
        <w:t xml:space="preserve">Continuing to Build Brand Recognition. </w:t>
      </w:r>
      <w:r>
        <w:rPr>
          <w:rFonts w:ascii="Arial" w:cs="Arial" w:eastAsia="Arial" w:hAnsi="Arial"/>
          <w:sz w:val="18"/>
          <w:szCs w:val="18"/>
          <w:color w:val="auto"/>
        </w:rPr>
        <w:t>As a pioneer of brand-to-consumer digital messaging, LivePerson enjoys strong brand recognition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credibility. Our focus on creating meaningful connections among employees, with our customers,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between brands and their consumers, is a key component of our culture and our market strategy. We strategically target decision makers and influencers within key vertical markets, leveraging customer successes to generate increased awareness and demand for brand-to-consumer messaging. In addition, we continue to develop relationships with the media, industry analysts and relevant business associations to enhance awareness of our leadership within the industry. Our brand name is also visible to both business users and consumers. When a consumer messages a customer care professional on a brand’s website, our brand name is usually displayed on the dialog messaging window. We believe that this high-visibility placement will continue to create brand awareness for our solutions.</w:t>
      </w:r>
    </w:p>
    <w:p>
      <w:pPr>
        <w:spacing w:after="0" w:line="85" w:lineRule="exact"/>
        <w:rPr>
          <w:sz w:val="20"/>
          <w:szCs w:val="20"/>
          <w:color w:val="auto"/>
        </w:rPr>
      </w:pPr>
    </w:p>
    <w:p>
      <w:pPr>
        <w:jc w:val="both"/>
        <w:ind w:firstLine="567"/>
        <w:spacing w:after="0" w:line="290" w:lineRule="auto"/>
        <w:rPr>
          <w:sz w:val="20"/>
          <w:szCs w:val="20"/>
          <w:color w:val="auto"/>
        </w:rPr>
      </w:pPr>
      <w:r>
        <w:rPr>
          <w:rFonts w:ascii="Arial" w:cs="Arial" w:eastAsia="Arial" w:hAnsi="Arial"/>
          <w:sz w:val="16"/>
          <w:szCs w:val="16"/>
          <w:b w:val="1"/>
          <w:bCs w:val="1"/>
          <w:i w:val="1"/>
          <w:iCs w:val="1"/>
          <w:color w:val="auto"/>
        </w:rPr>
        <w:t xml:space="preserve">Increasing the Value of Our Service to Our Customers. </w:t>
      </w:r>
      <w:r>
        <w:rPr>
          <w:rFonts w:ascii="Arial" w:cs="Arial" w:eastAsia="Arial" w:hAnsi="Arial"/>
          <w:sz w:val="16"/>
          <w:szCs w:val="16"/>
          <w:color w:val="auto"/>
        </w:rPr>
        <w:t>We believe the introduction of LiveEngage marks the most important product launch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history, as it empowers brands to deploy messaging at scale for customer care and sales, instead of demanding that consumers use email or call a 1-800 number. Furthermore,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5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LivePerson’s hosted platforms power intelligent messaging on mobile apps, mobile and desktop web browsers, social media and third-party consumer messaging platforms. Our business-to-business services are all managed from a single user interface. By supplying a complete, unified consumer view, our solutions enable businesses to deliver a relevant, timely, personalized, and seamless consumer experience for heads of digital and customer care, as well as e-commerce, marketing, and contact center executives. In addition to product offerings, LivePerson provides professional services and value-added business consulting to support complete deployment and optimization of our enterprise solutions.</w:t>
      </w:r>
    </w:p>
    <w:p>
      <w:pPr>
        <w:spacing w:after="0" w:line="64" w:lineRule="exact"/>
        <w:rPr>
          <w:sz w:val="20"/>
          <w:szCs w:val="20"/>
          <w:color w:val="auto"/>
        </w:rPr>
      </w:pPr>
    </w:p>
    <w:p>
      <w:pPr>
        <w:jc w:val="both"/>
        <w:ind w:firstLine="563"/>
        <w:spacing w:after="0" w:line="273" w:lineRule="auto"/>
        <w:rPr>
          <w:sz w:val="20"/>
          <w:szCs w:val="20"/>
          <w:color w:val="auto"/>
        </w:rPr>
      </w:pPr>
      <w:r>
        <w:rPr>
          <w:rFonts w:ascii="Arial" w:cs="Arial" w:eastAsia="Arial" w:hAnsi="Arial"/>
          <w:sz w:val="17"/>
          <w:szCs w:val="17"/>
          <w:b w:val="1"/>
          <w:bCs w:val="1"/>
          <w:i w:val="1"/>
          <w:iCs w:val="1"/>
          <w:color w:val="auto"/>
        </w:rPr>
        <w:t xml:space="preserve">LiveEngage. </w:t>
      </w:r>
      <w:r>
        <w:rPr>
          <w:rFonts w:ascii="Arial" w:cs="Arial" w:eastAsia="Arial" w:hAnsi="Arial"/>
          <w:sz w:val="17"/>
          <w:szCs w:val="17"/>
          <w:color w:val="auto"/>
        </w:rPr>
        <w:t>LiveEngage, LivePerson’s enterprise-class, cloud-based engagement platform, delivers rich, contextually aware targeting, actionable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insights and personalized experiences, empowering businesses to get the most out of their existing online, mobile and social platforms. The platform, which was designed for heads of digital and customer care, as well as e-commerce, marketing, and contact center executives, combines sophisticated mobile and online engagement technology with robust business intelligence and big data to produce compelling, measurable results by intelligently engaging consumers based on a real-time understanding of consumer needs. Potential benefits of LiveEngage include increased agent efficiency, decreased customer care costs, improved customer experiences, higher conversion rates and increased customer lifetime value.</w:t>
      </w:r>
    </w:p>
    <w:p>
      <w:pPr>
        <w:spacing w:after="0" w:line="70" w:lineRule="exact"/>
        <w:rPr>
          <w:sz w:val="20"/>
          <w:szCs w:val="20"/>
          <w:color w:val="auto"/>
        </w:rPr>
      </w:pPr>
    </w:p>
    <w:p>
      <w:pPr>
        <w:jc w:val="both"/>
        <w:ind w:firstLine="480"/>
        <w:spacing w:after="0" w:line="255" w:lineRule="auto"/>
        <w:rPr>
          <w:sz w:val="20"/>
          <w:szCs w:val="20"/>
          <w:color w:val="auto"/>
        </w:rPr>
      </w:pPr>
      <w:r>
        <w:rPr>
          <w:rFonts w:ascii="Arial" w:cs="Arial" w:eastAsia="Arial" w:hAnsi="Arial"/>
          <w:sz w:val="18"/>
          <w:szCs w:val="18"/>
          <w:color w:val="auto"/>
        </w:rPr>
        <w:t>LiveEngage mobile and messaging technologies are built to provide meaningful connections between brands and consumers, from any mobile, online or messaging application. LiveEngage seamlessly integrates a suite of mobile and online business messaging technologies, including traditional desktop chat messaging, mobile chat messaging, content delivery, analytics, cobrowse, PCI, customer sentiment, and mobile messaging via in-app, SMS, browser-based search and Facebook Messenger. A specific messaging software development kit is available to completely customize and incorporate into any brand’s app. The LiveEngage messaging API also provides the option to bring messaging from any third party apps, such as Facebook or text messages, directly into the LiveEngage platform.</w:t>
      </w:r>
    </w:p>
    <w:p>
      <w:pPr>
        <w:spacing w:after="0" w:line="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LiveEngage enables the combination of real time on-site data and off-site behavioral data, with a broad set of historical and operational data. Proprietary analytics utilize this data to target end users with compelling engagement options at any step in the conversion funnel and throughout the customer lifecycle. LiveEngage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LiveEngage also reduces costs in the contact center relative to voice, by identifying consumers who may be struggling with their self-help experience, and proactively connecting them to a live consumer care specialist, who can manage several conversations at once. This comprehensive solution blends a proven value-based methodology with an active rules-based engagement engine and deep domain expertise to increase first contact resolution, improve consumer satisfaction, and reduce attrition rates.</w:t>
      </w:r>
    </w:p>
    <w:p>
      <w:pPr>
        <w:spacing w:after="0" w:line="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The mission of our Professional Services team is to help customers optimize the performance of our products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 incremental value through their online sales and/or service channel(s). This talented group utilizes their deep domain expertise and years of hands-on experience to provide customers with detailed analyses and measurements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their LivePerson deployment that drive strategies and decisions on how to optimize the chat channel and broaden intelligent engagement of their consumers. Deliverables of the team include scorecards that measure and chart performance trends, analyses and recommendations for web design and process improvement, transcript reviews to discover both voice of the consumer insight and agent improvement opportunities, custom training of call center agents and management, and ongoing management of chat programs to ensure alignment with current business practices and objectives. The team’s value-added methodology and approach to guiding customers towards chat channel optimization is an important component of the LivePerson offering, and gives our customers a competitive advantage in the online world.</w:t>
      </w:r>
    </w:p>
    <w:p>
      <w:pPr>
        <w:spacing w:after="0" w:line="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Consumer Offering. </w:t>
      </w:r>
      <w:r>
        <w:rPr>
          <w:rFonts w:ascii="Arial" w:cs="Arial" w:eastAsia="Arial" w:hAnsi="Arial"/>
          <w:sz w:val="16"/>
          <w:szCs w:val="16"/>
          <w:color w:val="auto"/>
        </w:rPr>
        <w:t>Our consumer services offering is an online marketplace that connects independent service providers (Experts) who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operations customer base includes Fortune 500 companies, dedicated Internet businesses, a broad range of online merchants, as well as numerous SMBs, automotive dealers, universities, libraries, government agencies and not-for-profit organizations. Our solutions benefit organizations of all sizes conducting business or communicating with consumers through mobile and online. We plan to continue to focus on key target markets: automotive, financial services, retail, technology, telecommunications, and travel/hospitality industries, within the United States and Canada, Latin America, Europe and the Asia-Pacific region.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customer accounted for or exceeded 10% of our total revenue in 2016, 2015 or 2014.</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sell our business products and services by leveraging a common methodology through both direct and indirect sales channels.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sales process focuses on how our solutions and industry expertise deliver financial and operational value that support our customers’ strategic initiatives. Our mobile and online messaging solutions are targeted at business executives whose primary responsibility is optimization of customer care or optimizing a consumer’s journey across the brand’s digital properties. Our proactive customer care solutions enable organizations to provide effective consumer service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 LivePerson supports any organization with a company-wide strategic initiative to improve the overall mobile and online consumer experience.</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focus on creating meaningful connections among employees, with our customers, and between our customers and their consumers, is a key component of our culture and our market strategy. Our unique culture permeates all facets of our organization. We were recognized in 2015 by Crain’s as one of “NYC’s best places to work,” and received a SmartCEO Corporate Culture Award from SmartCEO Magazine for our distinct culture of “creating meaningful connections.”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Enterprise and large mid-market. </w:t>
      </w:r>
      <w:r>
        <w:rPr>
          <w:rFonts w:ascii="Arial" w:cs="Arial" w:eastAsia="Arial" w:hAnsi="Arial"/>
          <w:sz w:val="18"/>
          <w:szCs w:val="18"/>
          <w:color w:val="auto"/>
        </w:rPr>
        <w:t>Our field organization is structured to align the Company's resources with targeted market segments. We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large mid-market and enterprise businesses primarily with direct sales and customer success teams. In late 2016, we increased our emphasis on large enterprise customers and prospects. Across the globe we are targeting a select group of brands, many of them already customers, that hold the power to transform customer care. These enterprises have thousands of agents in their contact centers and collectively connect with billions of consumers each year. We leverage thought leadership and related events to showcase our leadership in mobile and online messaging and highlight our successes with existing reference customers.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our large and more complex customers, our sales methodology often begins with research and discovery meetings that enable us to develop a deep understanding of the value drivers and key performance metrics of a prospective customer. We then present an analytical review detailing how our solutions and industry expertise can affect these value drivers and metrics. Once we validate solution capabilities and prove financial return on investment, we transition to a program management model wherein we work hand-in-hand with the customer, providing detailed analysis, measurements and recommendations that help optimize their performance and ensure ongoing program success.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Small business and small mid-market. </w:t>
      </w:r>
      <w:r>
        <w:rPr>
          <w:rFonts w:ascii="Arial" w:cs="Arial" w:eastAsia="Arial" w:hAnsi="Arial"/>
          <w:sz w:val="18"/>
          <w:szCs w:val="18"/>
          <w:color w:val="auto"/>
        </w:rPr>
        <w:t>We target small business and small mid-market customers with a mix of direct, online self-service and third-party partner channels. Our customer acquisition strategy centers on leveraging customer word-of-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7"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mouth, our leading brand name, online marketing and partnerships. We also leverage marketing programs and partner resources to promote increased usage and product adoption within these customers.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Indirect Sales. </w:t>
      </w:r>
      <w:r>
        <w:rPr>
          <w:rFonts w:ascii="Arial" w:cs="Arial" w:eastAsia="Arial" w:hAnsi="Arial"/>
          <w:sz w:val="17"/>
          <w:szCs w:val="17"/>
          <w:color w:val="auto"/>
        </w:rPr>
        <w:t>Resources within our organization are focused on developing partnerships to generate revenues via referral partnerships and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through channel partners. By maximizing market coverage via partners who provide lead referrals and complementary products and services, we believe this channel supports revenue opportunities without incurring the costs associated with traditional direct sales.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8"/>
          <w:szCs w:val="18"/>
          <w:color w:val="auto"/>
        </w:rPr>
        <w:t>Our Professional Services group provides deployment support and ongoing business consulting to enterprise and mid-market customers and maintains involvement throughout the engagement lifecycle. All LivePerson customers have access to 24/7 help desk services through messaging, chat, and technical support ticketing.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firstLine="529"/>
        <w:spacing w:after="0" w:line="302" w:lineRule="auto"/>
        <w:rPr>
          <w:sz w:val="20"/>
          <w:szCs w:val="20"/>
          <w:color w:val="auto"/>
        </w:rPr>
      </w:pPr>
      <w:r>
        <w:rPr>
          <w:rFonts w:ascii="Arial" w:cs="Arial" w:eastAsia="Arial" w:hAnsi="Arial"/>
          <w:sz w:val="16"/>
          <w:szCs w:val="16"/>
          <w:color w:val="auto"/>
        </w:rPr>
        <w:t>Our marketing efforts in support of our business operations are organized around the needs, trends and characteristics of our existing and prospective customer base. Our deep relationship with existing customers fosters continuous feedback and critical data analysis, thereby allowing us to develop and refine marketing programs that drive adoption across multiple customer segments. We have a global team, spread across key geographies that is focused on marketing our brand, products and services to executives responsible for the digital channel and consumer service operations of their organization.</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main focus is on the automotive, financial services, retail, technology, telecommunications, and travel/hospitality industries. Our integrated marketing strategy is focused on driving demand, building customer and consumer advocacy, driving adoption of our LiveEngage platform, and supporting key areas of business, especially large enterprise, but including small business, international and the channel. We aim to achieve this by delivering high-touch, small group events for senior executives, to educate them on messaging and the transformational ways that digital communication can help their business. We also market our software via high-level thought leadership campaigns, industry event participation, personalized lead generation campaigns to reach potential and existing customers using mediums such as paid and organic search, direct email and mail, industry- and category-specific tradeshows and events, and telemarketing.</w:t>
      </w:r>
    </w:p>
    <w:p>
      <w:pPr>
        <w:spacing w:after="0" w:line="81" w:lineRule="exact"/>
        <w:rPr>
          <w:sz w:val="20"/>
          <w:szCs w:val="20"/>
          <w:color w:val="auto"/>
        </w:rPr>
      </w:pPr>
    </w:p>
    <w:p>
      <w:pPr>
        <w:jc w:val="both"/>
        <w:ind w:firstLine="700"/>
        <w:spacing w:after="0" w:line="279" w:lineRule="auto"/>
        <w:rPr>
          <w:sz w:val="20"/>
          <w:szCs w:val="20"/>
          <w:color w:val="auto"/>
        </w:rPr>
      </w:pPr>
      <w:r>
        <w:rPr>
          <w:rFonts w:ascii="Arial" w:cs="Arial" w:eastAsia="Arial" w:hAnsi="Arial"/>
          <w:sz w:val="17"/>
          <w:szCs w:val="17"/>
          <w:color w:val="auto"/>
        </w:rPr>
        <w:t>Our marketing strategy also encompasses a strategic communications approach that integrates public relations, social media, and analyst/influencer relations. We are focused on using those channels to communicate our brand value, to those key stakeholders, to increase overall brand and technology awareness. Communications seek to highlight key customer success stories, and promote executive thought leadership via contributed content, speaking opportunities and press interviews, to raise LivePerson’s profile and reinforce our position as an industry leader.</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3" w:lineRule="exact"/>
        <w:rPr>
          <w:sz w:val="20"/>
          <w:szCs w:val="20"/>
          <w:color w:val="auto"/>
        </w:rPr>
      </w:pPr>
    </w:p>
    <w:p>
      <w:pPr>
        <w:ind w:left="460" w:hanging="330"/>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Oracle, Salesforce.com, TouchCommerce (now part of Nuance) and Twilio;</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w:t>
      </w:r>
    </w:p>
    <w:p>
      <w:pPr>
        <w:spacing w:after="0" w:line="140" w:lineRule="exact"/>
        <w:rPr>
          <w:rFonts w:ascii="Arial" w:cs="Arial" w:eastAsia="Arial" w:hAnsi="Arial"/>
          <w:sz w:val="16"/>
          <w:szCs w:val="16"/>
          <w:color w:val="auto"/>
        </w:rPr>
      </w:pPr>
    </w:p>
    <w:p>
      <w:pPr>
        <w:ind w:left="460" w:hanging="330"/>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w:t>
      </w:r>
    </w:p>
    <w:p>
      <w:pPr>
        <w:spacing w:after="0" w:line="38" w:lineRule="exact"/>
        <w:rPr>
          <w:rFonts w:ascii="Arial" w:cs="Arial" w:eastAsia="Arial" w:hAnsi="Arial"/>
          <w:sz w:val="17"/>
          <w:szCs w:val="17"/>
          <w:color w:val="auto"/>
        </w:rPr>
      </w:pPr>
    </w:p>
    <w:p>
      <w:pPr>
        <w:ind w:left="460" w:hanging="33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companies that provide cross-category and vertical-specific advice, such as About.com, UpWork and Yahoo Answers.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9" w:name="page10"/>
    <w:bookmarkEnd w:id="9"/>
    <w:p>
      <w:pPr>
        <w:jc w:val="both"/>
        <w:ind w:firstLine="648"/>
        <w:spacing w:after="0" w:line="292"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key technological features distinguish the LivePerson services:</w:t>
      </w:r>
    </w:p>
    <w:p>
      <w:pPr>
        <w:spacing w:after="0" w:line="158" w:lineRule="exact"/>
        <w:rPr>
          <w:sz w:val="20"/>
          <w:szCs w:val="20"/>
          <w:color w:val="auto"/>
        </w:rPr>
      </w:pPr>
    </w:p>
    <w:p>
      <w:pPr>
        <w:jc w:val="both"/>
        <w:ind w:left="1300" w:hanging="320"/>
        <w:spacing w:after="0" w:line="25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support our customers through a secure, scalable server infrastructure.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w:t>
      </w:r>
    </w:p>
    <w:p>
      <w:pPr>
        <w:spacing w:after="0" w:line="8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73" w:lineRule="exact"/>
        <w:rPr>
          <w:rFonts w:ascii="Arial" w:cs="Arial" w:eastAsia="Arial" w:hAnsi="Arial"/>
          <w:sz w:val="18"/>
          <w:szCs w:val="18"/>
          <w:color w:val="auto"/>
        </w:rPr>
      </w:pPr>
    </w:p>
    <w:p>
      <w:pPr>
        <w:ind w:left="1300" w:right="20" w:hanging="320"/>
        <w:spacing w:after="0" w:line="342" w:lineRule="auto"/>
        <w:tabs>
          <w:tab w:leader="none" w:pos="1346"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Software Design. </w:t>
      </w:r>
      <w:r>
        <w:rPr>
          <w:rFonts w:ascii="Arial" w:cs="Arial" w:eastAsia="Arial" w:hAnsi="Arial"/>
          <w:sz w:val="18"/>
          <w:szCs w:val="18"/>
          <w:color w:val="auto"/>
        </w:rPr>
        <w:t>Our software design is based on client-server architecture. As a SaaS provider, LiveEngage customers and visitors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websites require only a standard Web browser and do not need to download software from LivePerson in order to interact with our customers’ operators or to use the LivePerson services. We also provide APIs that enable our customers and third-parties to integrate LiveEngage with custom designed applications.</w:t>
      </w:r>
    </w:p>
    <w:p>
      <w:pPr>
        <w:spacing w:after="0" w:line="79" w:lineRule="exact"/>
        <w:rPr>
          <w:sz w:val="20"/>
          <w:szCs w:val="20"/>
          <w:color w:val="auto"/>
        </w:rPr>
      </w:pPr>
    </w:p>
    <w:p>
      <w:pPr>
        <w:jc w:val="both"/>
        <w:ind w:firstLine="693"/>
        <w:spacing w:after="0" w:line="255" w:lineRule="auto"/>
        <w:rPr>
          <w:sz w:val="20"/>
          <w:szCs w:val="20"/>
          <w:color w:val="auto"/>
        </w:rPr>
      </w:pPr>
      <w:r>
        <w:rPr>
          <w:rFonts w:ascii="Arial" w:cs="Arial" w:eastAsia="Arial" w:hAnsi="Arial"/>
          <w:sz w:val="18"/>
          <w:szCs w:val="18"/>
          <w:b w:val="1"/>
          <w:bCs w:val="1"/>
          <w:i w:val="1"/>
          <w:iCs w:val="1"/>
          <w:color w:val="auto"/>
        </w:rPr>
        <w:t xml:space="preserve">Network Architecture. </w:t>
      </w:r>
      <w:r>
        <w:rPr>
          <w:rFonts w:ascii="Arial" w:cs="Arial" w:eastAsia="Arial" w:hAnsi="Arial"/>
          <w:sz w:val="18"/>
          <w:szCs w:val="18"/>
          <w:color w:val="auto"/>
        </w:rPr>
        <w:t>The software underlying our services is integrated with scalable and reliable network architecture. Our network is scalable;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need to add new hardware or network capacity for each new LivePerson customer. This network architecture is hosted in co-location facilities with redundant network connections, servers and other infrastructure, enabling superior availability. Our backup server infrastructure housed at separate locations provides our primary hosting facilities with effective disaster recovery capability. We maintain the highest level of compliance with standards such as SOC2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our customers are subject to a number of laws and regulations in the United States and abroad, including laws related to conducting business on the Internet, such as laws regarding privacy, data protection, information security, cybersecurity, restrictions or technological requirements regarding the collection, use, storage, protection or transfer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don’t have a local entity, employees or infrastructure. Often, foreign data protection, privacy, and other laws and regulations are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7" w:right="239" w:bottom="1440" w:gutter="0" w:footer="0" w:header="0"/>
        </w:sectPr>
      </w:pPr>
    </w:p>
    <w:bookmarkStart w:id="10" w:name="page11"/>
    <w:bookmarkEnd w:id="10"/>
    <w:p>
      <w:pPr>
        <w:jc w:val="both"/>
        <w:ind w:firstLine="648"/>
        <w:spacing w:after="0" w:line="272" w:lineRule="auto"/>
        <w:rPr>
          <w:sz w:val="20"/>
          <w:szCs w:val="20"/>
          <w:color w:val="auto"/>
        </w:rPr>
      </w:pPr>
      <w:r>
        <w:rPr>
          <w:rFonts w:ascii="Arial" w:cs="Arial" w:eastAsia="Arial" w:hAnsi="Arial"/>
          <w:sz w:val="17"/>
          <w:szCs w:val="17"/>
          <w:color w:val="auto"/>
        </w:rPr>
        <w:t>U.S. and international privacy laws and regulations are evolving and changing, are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privacy-related or data protection laws and regulations,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Laws and practices regarding handling and use of personal and other information by companies have come under increased public scrutiny, and governmental entities,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(“GDPR”), which will become effective in May 2018 and will apply across the European Union. The GDPR will replace the current EU Data Protection Directive and will impose significantly greater compliance burdens on companies with users and/or operations in the European Union and provides for considerable fines up to the higher of 20 million Euros and 4% of global annual revenue for noncompliance. One material change is that data processors (as that term is defined by applicable EU data protection law) have direct obligations, including implementing technical and organizational measures, and enhanced notification rules. The GDPR also imposes certain technological requirements that may impact the conduct of our business and how data protection is addressed in our customer and vendor agreements. The European Union has also released a proposed Regulation on Privacy and Electronic Communications (e-Privacy Regulation) to replace the EU’s current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or governmental orders requiring us to change our data practices, which could damage our reputation and harm our business.</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as Internet commerce continues to evolve, regulation by federal, state and foreign governments or agencies in the areas of data privacy and data security is likely to increase. For instance, the EU-US Safe Harbor program (“EU Safe Harbor”), which provided a valid legal basis for transfers of personal data from Europe to the United States, was invalidated on October 6, 2015, which has had a significant impact on the transfer of data from the European Union to U.S. companies, including us. The European Union and the United States recently agreed to a new framework called the EU-US Privacy Shield (“EU Privacy Shield”) that provides a mechanism for companies to transfer data from EU member states to the United States and that LivePerson certified to in September 2016. Similarly, a new Swiss-U.S. Privacy Shield (“Swiss Privacy Shield”) has recently been announced that will replace the former Swiss-U.S. Safe Harbor (“Swiss Safe Harbor”). The new EU Privacy Shield requirements could impact our business and result in substantial expense and require changes to our operations, and the EU Privacy Shield is subject to an annual review that could result in changes to our obligations. We may also have to require some of our vendors who process personal data to take on additional privacy and security obligations, and some may refuse, causing us to incur potential disruption and expense related to our business processes. If our policies and practices, or those of our vendors, are, or are perceived to be, insufficient or if our members and customers have concerns regarding the transfer of data from the European Union to the United States, we could be subject to enforcement actions or investigations by EU Data Protection Authorities or lawsuits by private parties, member engagement could decline and our business could be negatively impacted.</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EU Privacy Shield and other frameworks may be challenged by regulators and/or private parties and reviewed by the European courts, which may lead to uncertainty about the legal basis for data transfers outside the EU. Ongoing legal reviews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there are other legally recognized mechanisms, such as standard Model Contractual Clauses, that we believe allow for the lawful transfer of EU personal data to the United States these mechanisms have also been subjected to regulatory or judicial scrutiny and may be invalidated or evolve to include new legal requirements that could have an impact on how we move data between and among countries and regions in which we operate, which could affect how we provide our services or adversely impact our financial results.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If our privacy practices are deemed unacceptable by watchdog groups or privacy advocates, such groups may take measures that harm our business by, for example, disparaging our reputation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7"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and our business, which may have a material adverse effect on our results of operations and financial condition. In addition, privacy concerns may cause Internet users to avoid online sites that collect various forms of data or to resist providing the data necessary to allow our customers to use our services effectively. Even the perception of security and privacy concerns, whether or not valid, could inhibit sales and market acceptance of our products and services.</w:t>
      </w:r>
    </w:p>
    <w:p>
      <w:pPr>
        <w:spacing w:after="0" w:line="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Businesses using our products and services may collect data from their website users. Various federal, state and foreign government bodies and agencies impose laws regarding collection, use and retention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data security and other consumer protection areas could significantly increase the cost to us and our customers of regulatory compliance and could negatively impact our business.</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California has also adopted privacy guidelines with respect to mobile applications.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6" w:right="239" w:bottom="1440" w:gutter="0" w:footer="0" w:header="0"/>
        </w:sectPr>
      </w:pPr>
    </w:p>
    <w:bookmarkStart w:id="12" w:name="page13"/>
    <w:bookmarkEnd w:id="12"/>
    <w:p>
      <w:pPr>
        <w:jc w:val="both"/>
        <w:ind w:firstLine="648"/>
        <w:spacing w:after="0" w:line="254" w:lineRule="auto"/>
        <w:rPr>
          <w:sz w:val="20"/>
          <w:szCs w:val="20"/>
          <w:color w:val="auto"/>
        </w:rPr>
      </w:pPr>
      <w:r>
        <w:rPr>
          <w:rFonts w:ascii="Arial" w:cs="Arial" w:eastAsia="Arial" w:hAnsi="Arial"/>
          <w:sz w:val="18"/>
          <w:szCs w:val="18"/>
          <w:color w:val="auto"/>
        </w:rPr>
        <w:t>The U.S. Federal Trade Commission, or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8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might unintentionally violate such laws now and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21" w:lineRule="exact"/>
        <w:rPr>
          <w:sz w:val="20"/>
          <w:szCs w:val="20"/>
          <w:color w:val="auto"/>
        </w:rPr>
      </w:pPr>
    </w:p>
    <w:p>
      <w:pPr>
        <w:jc w:val="both"/>
        <w:ind w:firstLine="522"/>
        <w:spacing w:after="0" w:line="285" w:lineRule="auto"/>
        <w:rPr>
          <w:sz w:val="20"/>
          <w:szCs w:val="20"/>
          <w:color w:val="auto"/>
        </w:rPr>
      </w:pPr>
      <w:r>
        <w:rPr>
          <w:rFonts w:ascii="Arial" w:cs="Arial" w:eastAsia="Arial" w:hAnsi="Arial"/>
          <w:sz w:val="16"/>
          <w:szCs w:val="16"/>
          <w:color w:val="auto"/>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65"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7"/>
          <w:szCs w:val="17"/>
          <w:color w:val="auto"/>
        </w:rPr>
        <w:t>Substantial litigation regarding intellectual property rights exists in the software industry. In the ordinary course of our business, our services and/or our customers' use of our services have been and may be increasingly subject to third-party infringement claims as claims by non-practicing entities become more prevalent and as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develop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8"/>
          <w:szCs w:val="18"/>
          <w:color w:val="auto"/>
        </w:rPr>
        <w:t>As of December 31, 2016, we had 985 full-time employees. Our employees are not covered by collective bargaining agreements. We believe our relations with our employees are satisfactory.</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 and Geographic Areas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Information about segment and geographic revenue is set forth in Note 3 of the Notes to Consolidated Financial Statements included in Part II, Item 8 of this Annual Report on Form 10-K. For a discussion of the risks attendant to foreign operations, see the information under the heading “Risk Factors” under the caption “We may be unsuccessful in expanding our operations internationally and/or into direct-to-consumer services due to additional regulatory requirements, tax liabilities, currency exchange rate fluctuations and other risks, which could adversely affect our results of operations.” For a discussion of revenue, net income and total assets, see Item 8 of this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ind w:firstLine="244"/>
        <w:spacing w:after="0" w:line="276" w:lineRule="auto"/>
        <w:rPr>
          <w:sz w:val="20"/>
          <w:szCs w:val="20"/>
          <w:color w:val="auto"/>
        </w:rPr>
      </w:pPr>
      <w:r>
        <w:rPr>
          <w:rFonts w:ascii="Arial" w:cs="Arial" w:eastAsia="Arial" w:hAnsi="Arial"/>
          <w:sz w:val="17"/>
          <w:szCs w:val="17"/>
          <w:color w:val="auto"/>
        </w:rPr>
        <w:t xml:space="preserve">We make available, free of charge, on our website ( </w:t>
      </w:r>
      <w:r>
        <w:rPr>
          <w:rFonts w:ascii="Arial" w:cs="Arial" w:eastAsia="Arial" w:hAnsi="Arial"/>
          <w:sz w:val="17"/>
          <w:szCs w:val="17"/>
          <w:i w:val="1"/>
          <w:iCs w:val="1"/>
          <w:color w:val="auto"/>
        </w:rPr>
        <w:t>www.liveperson.com</w:t>
      </w:r>
      <w:r>
        <w:rPr>
          <w:rFonts w:ascii="Arial" w:cs="Arial" w:eastAsia="Arial" w:hAnsi="Arial"/>
          <w:sz w:val="17"/>
          <w:szCs w:val="17"/>
          <w:color w:val="auto"/>
        </w:rPr>
        <w:t xml:space="preserve"> ),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Securities and Exchange Commission.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web site address provided above is not intended to function as a hyperlink, and the information on the Company’s web site is not and should not be considered part of this Annual Report on Form 10-K and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 ones we face. Additional risks not presently known to us, or that we currently deem immaterial, may become important factors that impair our business operations. Prospective and existing investors are strongly urged to carefully consider the various cautionary statements and risks set forth in this report and other public filings before deciding to purchase, hold or sell our common stock.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quarterly revenue and operating results may fluctuate significantly, which may cause a substantial decline in the trading price of our common stock.</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w:t>
      </w:r>
    </w:p>
    <w:p>
      <w:pPr>
        <w:spacing w:after="0" w:line="57" w:lineRule="exact"/>
        <w:rPr>
          <w:sz w:val="20"/>
          <w:szCs w:val="20"/>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new customers;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customers;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demand for our services and business success;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demand for our services;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services by us or our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pricing models or policies or the pricing policies of our current and future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adoption by companies of mobile and cloud-based messaging solutions;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adoption by experts and consumers of web-based advice services;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avoid and/or manage service interruptions, disruptions, or security incidents;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 and timing of capital expenditures and other costs related to operation and expansion of our business, including those related to acquisitions.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13"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Our revenue and operating results may also fluctuate significantly in the future due to the following factors that are entirely outside of our control:</w:t>
      </w:r>
    </w:p>
    <w:p>
      <w:pPr>
        <w:spacing w:after="0" w:line="140" w:lineRule="exact"/>
        <w:rPr>
          <w:sz w:val="20"/>
          <w:szCs w:val="20"/>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specific to the Internet, electronic commerce and cloud computing; and</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regional and/or global economic and political conditions.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common stock could decline significantly.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markets in which we participate are highly competitive, and we may lose customers and revenue if we are not able to innovate or effectively compete.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resulting in the need to continually invest significant resources in research and development.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and from companies that range from large and established companies to smaller companies and emerging start-ups, including:</w:t>
      </w:r>
    </w:p>
    <w:p>
      <w:pPr>
        <w:spacing w:after="0" w:line="79" w:lineRule="exact"/>
        <w:rPr>
          <w:sz w:val="20"/>
          <w:szCs w:val="20"/>
          <w:color w:val="auto"/>
        </w:rPr>
      </w:pPr>
    </w:p>
    <w:p>
      <w:pPr>
        <w:ind w:left="460" w:right="760" w:hanging="330"/>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technology or service providers offering or powering competing digital engagement, contact center, communications or customer relationship management solutions, such as eGain, Genesys, Oracle, Salesforce.com,TouchCommerce (now part of Nuance) and Twilio;</w:t>
      </w:r>
    </w:p>
    <w:p>
      <w:pPr>
        <w:ind w:left="460" w:hanging="330"/>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 ;</w:t>
      </w:r>
    </w:p>
    <w:p>
      <w:pPr>
        <w:spacing w:after="0" w:line="32" w:lineRule="exact"/>
        <w:rPr>
          <w:rFonts w:ascii="Arial" w:cs="Arial" w:eastAsia="Arial" w:hAnsi="Arial"/>
          <w:sz w:val="16"/>
          <w:szCs w:val="16"/>
          <w:color w:val="auto"/>
        </w:rPr>
      </w:pPr>
    </w:p>
    <w:p>
      <w:pPr>
        <w:ind w:left="460" w:right="60" w:hanging="330"/>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solutions;</w:t>
      </w: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that develop and manage and their messaging solutions in-house;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companies that provide cross-category and vertical-specific advice, such as About.com, UpWork and Yahoo Answers.</w:t>
      </w:r>
    </w:p>
    <w:p>
      <w:pPr>
        <w:spacing w:after="0" w:line="1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retention of existing customers and their purchase of additional services, the migration of existing customers to our new platform, and attracting new customers and new consumer users of our consumer services.</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customers typically subscribe for our services for a twelve month term and may have no obligation to renew their subscription after expiration of the twelve 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could also lead customers to terminate our service. In addition, in 2014 we introduced LiveEngage, our first offering that integrates all of our messaging technologies into a single platform. If we are unable to continue to timely and effectively migrate our existing customers to the new platform, or if existing customers are reluctant or unwilling to migrate, we may lose customers and/or have increased costs related to duplicate infrastructure, and our revenue and operating results could be negatively impacted.</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Our revenue could decline unless we are able to obtain additional customers or alternate revenue sources.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impacted due to our exposure to foreign currency exchange rate fluctuations.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conduct business in currencies other than the U.S. dollar in Europe, Australia, Japan and Israel. As we continue to expand our international operations we become more exposed to the effects of fluctuations in currency exchange rates. As a result of the expanding size and scope of our international operations, our currency rate fluctuation risk associated with the exchange rate movement of the U.S. dollar has increased.</w:t>
      </w:r>
    </w:p>
    <w:p>
      <w:pPr>
        <w:spacing w:after="0" w:line="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Since we conduct business in currencies other than the U.S. dollar but report our financial results in U.S. dollars, fluctuations in currency exchange rates could adversely affect our results of operations. For example, during 2016 we experienced a foreign currency exchange impact of approximately 1% percent, or approximately $3.5 million if held in constant currency, to our revenue. Fluctuations in the value of the U.S. dollar relative to other foreign currencies could materially affect our revenue, cost of revenue and operating expenses, and result in foreign currency transaction gains and losses. In January 2015, we began hedging a portion of our foreign currency exchange rate exposure; however, significant fluctuations in exchange rates between the U.S. dollar and foreign currencies may nonetheless adversely affect our net income (loss). We may seek to enter into additional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w:t>
      </w:r>
    </w:p>
    <w:p>
      <w:pPr>
        <w:spacing w:after="0" w:line="6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scope of U.S. and international privacy laws and regulations is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privacy-related or data protection laws and regulations,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Laws and practices regarding handling and use of personal and other information by companies have come under increased public scrutiny, and governmental entities,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(“GDPR”), which will become effective in May 2018 and will apply across the European Union.. The GDPR will replace the current EU Data Protection Directive and will impose significantly greater compliance burdens on companies with users and/or operations in the European Union and provides for considerable fines up to the higher of 20 million Euros and 4% of global annual revenue for noncompliance. One material change is that data processors (as that term is defined by applicable EU data protection law) have direct obligations, including implementing technical and organizational measures, and enhanced notification rules. The GDPR also imposes certain technological requirements that may impact the conduct of our business and how data protection is addressed in our customer and vendor agreements. The European Union has also released a proposed Regulation on Privacy and Electronic Communications (e-Privacy Regulation) to replace the EU’s Privacy and Electronic Communications Directive (e-Privacy Directive) to, among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or governmental orders requiring us to change our data practices, which could damage our reputation and harm our business.</w:t>
      </w:r>
    </w:p>
    <w:p>
      <w:pPr>
        <w:spacing w:after="0" w:line="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as Internet commerce continues to evolve, regulation by federal, state and foreign governments or agencies in the areas of data privacy and data security is likely to increase. For instance, the EU-US Safe Harbor program (“EU Safe Harbor”), which provided a valid legal basis for transfers of personal data from Europe to the United States, was invalidated on October 6, 2015, which has had a significant impact on the transfer of data from the European Union to U.S. companies, including us. The European Union and the United States recently agreed to a new framework called the EU-US Privacy Shield (“EU Privacy Shield”) that provides a mechanism for companies to transfer data from EU member states to the United States and that LivePerson certified to in September 2016. Similarly, a new Swiss-U.S. Privacy Shield (“Swiss Privacy Shield”) has recently been announced that will replace the former Swiss-U.S. Safe Harbor (“Swiss Safe Harbor”). The new EU Privacy Shield requirements could impact our business and result in substantial expense and require changes to our operations, and the EU Privacy Shield is subject to an annual review that could result in changes to our obligations. We may also have to require some of our vendors who process personal data to take on additional privacy and security obligations, and some may refuse, causing us to incur potential disruption and expense related to our business processes. If our policies and practices, or those of our vendors, are, or are perceived to be, insufficient or if our members and customers have concerns regarding the transfer of data from the European Union to the United States, we could be subject to enforcement actions or investigations by EU Data Protection Authorities or lawsuits by private parties, member engagement could decline and our business could be negatively impacted.</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EU Privacy Shield and other frameworks may be challenged by regulators and/or private parties and reviewed by the European courts, which may lead to uncertainty about the legal basis for data transfers outside the EU. Ongoing legal reviews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there are other legally recognized mechanisms, such as standard Model Contractual Clauses, that we believe allow for the lawful transfer of EU personal data to the United States, these mechanisms have also been subjected to regulatory or judicial scrutiny and may be invalidated or evolve to include new legal requirements that could have an impact on how we move data between and among countries and regions in which we operate, which could affect how we provide our services or adversely impact our financial results.</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or may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Internet users to avoid online sites that collect various forms of data or to resist providing the data necessary to allow our customers to use our services effectively. Even the perception of security and privacy concerns, whether or not valid, could inhibit sales and market acceptance of our products and services.</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our customers are subject to a number of laws and regulations in the United States and abroad, including laws related to conducting business on the Internet, such as laws regarding privacy, data protection, information security, cybersecurity, restrictions or technological requirements regarding the collection, use, storage, protection or transfer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don’t have a local entity, employees or infrastructure. Often, foreign data protection, privacy, and other laws and regulations are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Businesses using our products and services may collect data from their website users. Various federal, state and foreign government bodies and agencies impose laws regarding collection, use and retention of data from website visitors. We offer our customers a variety of data security procedures and practices, such as encryption for data at rest and masking algorithms for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sensitive data prior to transfer to our database, in an effort to protect information. Changes to applicable laws and how they are interpreted relating to data security and other consumer protection areas could significantly increase the cost to us and our customers of regulatory compliance and could negatively impact our business.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California has also adopted privacy guidelines with respect to mobile applications.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and unsettled area of regulation, the imposition of any new significant restrictions or technological requirements could have a negative impact on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operate on mobile devices, our business could be adversely affected.</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number of people who access the Internet and complete transactions over the Internet through devices other than desktop computers, including smartphones, handheld tablets and mobile 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are not widely adopted by our customers and consumers, or create new risks related to privacy and security, we may fail to retain existing customers and we may have difficulty attracting new customers, and also be subject to investigations, litigation or reputational harm. If we are unable to rapidly innovate and grow mobile revenue, or if we incur excessive expenses in this effort, our financial performance and ability to continue to grow overall revenue may be negatively affected.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security breaches in our services or systems, those of our third party providers, or in the websites of our customers, including those resulting from cyber-attacks, security vulnerabilities, defects or errors, could harm our business.</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products and services involve the storage and transmission of proprietary information and personal data related to or customers and their users, and experts and consumers, and theft and security breaches expose us to a risk of loss of this information, improper use and disclosure of this information, litigation, and potential liability. We experience cyber-attacks of varying degrees on a regular basis. Our security measures may also be breached due to employee or other error, intentional malfeasance and other third party acts, and system errors or vulnerabilities, including vulnerabilities of our third party vendors, or customers, or otherwise. Any such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w:t>
      </w:r>
    </w:p>
    <w:p>
      <w:pPr>
        <w:spacing w:after="0" w:line="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continue to expand our focus on this issue and are taking measures to safeguard our products and services from cybersecurity threats and vulnerabilities in desktop computers, mobile phones, smartphones and handheld devices, cyber-attacks and other security incidents continue to evolve in sophistication and frequency. 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 A significant cyber-attack or other security incident involving our, our service providers’ or our customers’ systems could result in material harm to our brand and reputation, our ability to deliver our services or retain customers, and expose us to lawsuits, regulatory investigations, and significant damages, fines or penalties.</w:t>
      </w:r>
    </w:p>
    <w:p>
      <w:pPr>
        <w:spacing w:after="0" w:line="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customers may authorize third party access to their customer data located in our cloud environment. Because we do not control the transmissions between customer 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Such adverse impact could include a decrease in demand for our services, damage to our reputation and to our customer relationships, legal exposure, and other financial liability or harm to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customers and potential customers do business in a variety of industries, including financial services, the public sector, healthcare and telecommunications.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In addition, an inability to satisfy the standards of certain third-party certification bodies that our customers may expect, such as the Payment Card Industry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8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38" w:lineRule="exact"/>
        <w:rPr>
          <w:sz w:val="20"/>
          <w:szCs w:val="20"/>
          <w:color w:val="auto"/>
        </w:rPr>
      </w:pPr>
    </w:p>
    <w:p>
      <w:pPr>
        <w:jc w:val="both"/>
        <w:ind w:firstLine="59"/>
        <w:spacing w:after="0" w:line="277" w:lineRule="auto"/>
        <w:rPr>
          <w:sz w:val="20"/>
          <w:szCs w:val="20"/>
          <w:color w:val="auto"/>
        </w:rPr>
      </w:pPr>
      <w:r>
        <w:rPr>
          <w:rFonts w:ascii="Arial" w:cs="Arial" w:eastAsia="Arial" w:hAnsi="Arial"/>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United States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Further, there is increased uncertainty regarding social, political, immigration and trade policies in the United States,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Weak economic conditions may also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negatively impact our business.</w:t>
      </w:r>
    </w:p>
    <w:p>
      <w:pPr>
        <w:spacing w:after="0" w:line="1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United Kingdom (“U.K.”) held a referendum on June 23, 2016 on its membership in the European Union (“E.U.”), in which a majority of U.K. voters voted to exit the E.U. (commonly referred to as “Brexit”). The referendum was advisory, and the terms of any withdrawal are subject to a negotiation period that could last at least two years after the government of the U.K. formally initiates a withdrawal process. These negotiations will determine the future terms of the U.K.’s relationship with the E.U., including the terms of trade between the U.K. and the E.U.</w:t>
      </w:r>
    </w:p>
    <w:p>
      <w:pPr>
        <w:spacing w:after="0" w:line="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announcement of Brexit has resulted in significant volatility in global stock market and currency exchange rate fluctuations that resulted in strengthening of the U.S. dollar relative to other foreign currencies in which we conduct business. The announcement of Brexit and likely withdrawal of the U.K. from the E.U. has also created global economic uncertainty, which may cause our customers to closely monitor their costs and reduce their spending budgets. This could negatively impact our business, including affecting our relationships with our existing and future customers, suppliers and employees, which could have a negative impact on our business, prospects, results of operations, financial condition and cash flows.</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effects of Brexit will depend on any agreements the U.K. makes to retain access to E.U. markets either during a transitional period or more permanently. The measures could potentially disrupt the markets we serve and the tax jurisdictions in which we operate and adversely change tax benefits or liabilities in these or other jurisdictions, and may cause us to lose customers, suppliers and/or employees. In addition, Brexit could lead to legal uncertainty and potentially divergent national laws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regulations as the U.K. determines which E.U. laws to replace or replicate. Any of these effects of Brexit, among others, could negatively impact our prospects,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significantly on our ability to retain our key personnel, attract new personnel, and manage attrition.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which could significantly help our competitors.</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technology industry, there is substantial competition for key personnel, including skilled engineers, sales executives and operations personnel. We may not be able to successfully recruit, integrate and retain qualified personnel in the future, which could harm our business.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may not be able to outsource certain functions. 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we may not realize the expected business or financial benefits and our business could adversely impacted.</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business strategy, we have made and will continue to make acquisitions to add complementary businesses, products, technologies, revenue and intellectual property rights. We have made a number of acquisitions during the past decade, including three in 2014. In November 2014, we acquired Contact At Once!, LLC, a software company with a cloud-based platform that instantly connects consumers with businesses through instant messaging, text messaging, chat, social media and video over the internet for consumer-to-business sales conversions. In June 2014, we acquired Synchronite LLC, a German based start-up that provides co-browsing technology, and in March 2014, we acquired NexGraph, LLC, a company focused on analytic solutions.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and investments involve numerous risks to us, including:</w:t>
      </w:r>
    </w:p>
    <w:p>
      <w:pPr>
        <w:spacing w:after="0" w:line="117"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of the combination or acquisition;</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products and personnel;</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efforts related to existing operations;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entering new markets in which we have little or no experience or where competitors may have stronger market positions;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our existing key employees or key employees of the company we acquire;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alternative investment or compensation structures;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 effects of any such acquisitions.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opened an office in France in 2015, an office in Italy in 2014, and offices in Germany, Japan and the Netherlands in 2013, and we also have operations in the United Kingdom, Australia and Israel. We have also continued to invest in global e-commerce initiatives and in acquisitions. For example, in November 2014, we acquired “Contact At Once!, LLC” a software company with a cloud-based platform that instantly connects consumers with businesses through instant messaging, text messaging, chat, social media and video over the internet for consumer-to-business sales conversions. In 2014 we also acquired Synchronite LLC, a German based start-up that provides co-browsing technology, and NexGraph, LLC, a company focused on analytic solutions.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w:t>
      </w:r>
    </w:p>
    <w:p>
      <w:pPr>
        <w:spacing w:after="0" w:line="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international operations and direct-to-consumer services may also fail due to other risks inherent in foreign and/or online consumer operations, including:</w:t>
      </w:r>
    </w:p>
    <w:p>
      <w:pPr>
        <w:spacing w:after="0" w:line="62" w:lineRule="exact"/>
        <w:rPr>
          <w:sz w:val="20"/>
          <w:szCs w:val="20"/>
          <w:color w:val="auto"/>
        </w:rPr>
      </w:pPr>
    </w:p>
    <w:p>
      <w:pPr>
        <w:ind w:left="460" w:right="520" w:hanging="330"/>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varied, unfamiliar, unclear and changing legal and regulatory restrictions, including different legal and regulatory standards applicable to Internet services, communications, privacy, and data protection;</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differing intellectual property laws that may not provide sufficient protection for our intellectual property;</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tax consequences or additional tax liabilities;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addressing country-specific business requirements and regulations;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strains on financial and other systems to properly administer VAT and other taxes;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consumer preferences and requirements in specific international markets; and</w:t>
      </w:r>
    </w:p>
    <w:p>
      <w:pPr>
        <w:spacing w:after="0" w:line="9" w:lineRule="exact"/>
        <w:rPr>
          <w:rFonts w:ascii="Arial" w:cs="Arial" w:eastAsia="Arial" w:hAnsi="Arial"/>
          <w:sz w:val="18"/>
          <w:szCs w:val="18"/>
          <w:color w:val="auto"/>
        </w:rPr>
      </w:pPr>
    </w:p>
    <w:p>
      <w:pPr>
        <w:jc w:val="both"/>
        <w:ind w:left="460" w:hanging="330"/>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may be liable if third parties access or misappropriate confidential or personal data from our systems or services.</w:t>
      </w:r>
    </w:p>
    <w:p>
      <w:pPr>
        <w:spacing w:after="0" w:line="1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dialogue transcripts of the text-based chats, email interactions and other interactions between our customers and their users may include information, such as personal contact and demographic information.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Internet users or the text of customer service inquiries, our competitive position may be harmed and we could be subject to liability. In the event of a security incident, we could be liable for compliance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United States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Furthermore, certain software and services that we use to operate our business are hosted and/or operated by third parties or integrated with our systems. If these services were to be interrupted or their security breached, our business operations could be similarly disrupted and we could be exposed to liability and costly investigations or litigation. The need to physically secure and securely transmit and store confidential information online has historically been a significant barrier to e-commerce and online communications and will accelerate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we may be contractually obligated to provide these customers with service credits and/or pay financial penalties, which could significantly impact our revenue. In addition, even if our contracts provide otherwise, these customers may attempt to terminate their contracts and/or pursue other legal remedies. Recurring or extended service outages could also cause damage to our reputation and result in substantial customer dissatisfaction or loss, which could adversely affect our current and future revenue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technology systems and third-party content that are beyond our control.</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success of our services depends in part on our customers’ online services as well as the Internet connections of visitors to websites, both of which are outside of our control. As a result, it may be difficult to identify the source of problems if they occur. In the past, we have experienced problems related to connectivity which has resulted in slower than normal response times to Internet user chat requests and messages and interruptions in service. Our services rely both on the Internet and on our connectivity vendors for data transmission. Therefore, even when connectivity problems are not caused by our services, our customers or Internet users may attribute the problem to us. This could diminish our brand and harm our business, divert the attention of our technical personnel from our product development efforts or cause significant customer relations problems.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rely in part on third-party service providers and other third parties for various services, including, but not limited, to Internet connectivity, network infrastructure hosting, security and maintenance, and software and hardware from a variety of vendors. These providers may experience problems that result in slower than normal response times and/or interruptions in service. If we are unable to continue utilizing the third-party services that support our web hosting and infrastructure or if our services experience interruptions or delays due to third party providers, our reputation and business could be harmed, and we may be exposed to legal and reputational risk, and significant remediation costs.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the security of our third party providers to protect our proprietary information and information of our customers. Information technology system failures, including a breach of our or our third party providers’ data security, could disrupt our ability to function in the normal course of business by potentially causing, among other things, an unintentional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disclosure of customer information or loss of information. Additionally, despite our security procedures or those of our third party providers, information systems may be vulnerable to threats such as computer hacking,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depend on third parties for hardware and software, and our consumer services depend on third parties for content. Such products and content could contain defects or inaccurate information. Problems arising from our use of such hardware or software or third 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had patent and other infringement lawsuits filed against us claiming that certain of our products and services infringe third party intellectual property rights, and we are subject to the future risk of additional third 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would suffer if we are unable to protect and enforce our intellectual property rights.</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possible that:</w:t>
      </w:r>
    </w:p>
    <w:p>
      <w:pPr>
        <w:spacing w:after="0" w:line="117" w:lineRule="exact"/>
        <w:rPr>
          <w:sz w:val="20"/>
          <w:szCs w:val="20"/>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issued patent or patents issued in the future may not be broad enough to protect our intellectual property rights;</w:t>
      </w:r>
    </w:p>
    <w:p>
      <w:pPr>
        <w:spacing w:after="0" w:line="23" w:lineRule="exact"/>
        <w:rPr>
          <w:rFonts w:ascii="Arial" w:cs="Arial" w:eastAsia="Arial" w:hAnsi="Arial"/>
          <w:sz w:val="18"/>
          <w:szCs w:val="18"/>
          <w:color w:val="auto"/>
        </w:rPr>
      </w:pPr>
    </w:p>
    <w:p>
      <w:pPr>
        <w:ind w:left="460" w:right="20" w:hanging="330"/>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ind w:left="460" w:hanging="330"/>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current and future competitors may independently develop similar technologies, duplicate our services or design around any patents we may have; and</w:t>
      </w:r>
    </w:p>
    <w:p>
      <w:pPr>
        <w:spacing w:after="0" w:line="32" w:lineRule="exact"/>
        <w:rPr>
          <w:rFonts w:ascii="Arial" w:cs="Arial" w:eastAsia="Arial" w:hAnsi="Arial"/>
          <w:sz w:val="16"/>
          <w:szCs w:val="16"/>
          <w:color w:val="auto"/>
        </w:rPr>
      </w:pPr>
    </w:p>
    <w:p>
      <w:pPr>
        <w:jc w:val="both"/>
        <w:ind w:left="460" w:hanging="330"/>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to the extent that the invention described in any United States patent was made public prior to the filing of the patent application, we may not be able to obtain patent protection in certain foreign countries. We also rely upon copyright, trade secret, trademark and other common law in the United States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United States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legal liability and/or negative publicity for the services provided to consumers via our technology platforms.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technology platforms enable representatives of our customers as well as individual service providers to communicate with consumers and other persons seeking information or advice on the Internet. The law relating to the liability of online platform providers such as us for the activities of users of their online platforms is often challenged in the United States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Claims could be made against online services companies under both United States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Digital Millennium Copyright Act, or DMCA, is intended, among other things, to reduce the liability of online service providers for listing or linking to third party web properties that include materials that infringe copyrights or rights of others. Additionally, portions of The Communications Decency Act, or CDA, are intended to provide statutory protections to online service providers who distribute third party content. A safe harbor for copyright infringement is also available under the DMCA to certain online service providers that provide specific services, if the providers take certain affirmative steps as set forth in the DMCA.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jc w:val="both"/>
        <w:ind w:right="20" w:firstLine="648"/>
        <w:spacing w:after="0" w:line="264" w:lineRule="auto"/>
        <w:rPr>
          <w:sz w:val="20"/>
          <w:szCs w:val="20"/>
          <w:color w:val="auto"/>
        </w:rPr>
      </w:pPr>
      <w:r>
        <w:rPr>
          <w:rFonts w:ascii="Arial" w:cs="Arial" w:eastAsia="Arial" w:hAnsi="Arial"/>
          <w:sz w:val="18"/>
          <w:szCs w:val="18"/>
          <w:color w:val="auto"/>
        </w:rPr>
        <w:t>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transactions are unsettled.</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negative publicity and user sentiment generated as a result of fraudulent or deceptive conduct by users of our technology platforms could damage our reputation, reduce our ability to attract new users or retain our current users, and diminish the value of our brand.</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w:t>
      </w:r>
    </w:p>
    <w:p>
      <w:pPr>
        <w:spacing w:after="0" w:line="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software sales or export and/or the cloud or Software-as-a-Service industry, and/or the application of existing laws and regulations to the Internet, software sales or export and/or the cloud or Software-as-a-Service industry, could create new legal or regulatory burdens on our business that could have a material adverse effect on our business, results of operations and financial condition. Additionally, as we operate outside the United States, the international regulatory environment relating to the Internet, software sales or export, and/or the Software-as-a-Service industry could have a material adverse effect on our business, results of operations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or other defects could disrupt or negatively impact our services, which could harm our business and reputation.</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risks related to the technological capabilities of our services. We expect the number of interactions between our customers’ operators and Internet users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These problems, if not remedied, could harm our business.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73" w:lineRule="exact"/>
        <w:rPr>
          <w:sz w:val="20"/>
          <w:szCs w:val="20"/>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lost sales;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or loss of market acceptance of our products;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complex, and errors, failures or “bugs” may be difficult to correct.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2016, we increased our allowance for doubtful accounts from $1.2 million to approximately $1.7 million, principally due to analysis of the accounts receivable aging. During 2015, we decreased our allowance for doubtful accounts by $0.1 million to approximately $1.2 million, principally due to an increase in write-offs compared to 2014. A large proportion of receivables are due from larger corporate customers that typically have longer payment cycles.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our stock price to decline.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are subject to payment-related risks.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our implementation cycles could have an adverse effect on our results of operations.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of our products require some implementation services, including but not limited to, training our customers.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accounting principles generally accepted in the United States,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2016, we determined that it is not more-likely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is determined, resulting in a negative impact on our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1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7" w:name="page28"/>
    <w:bookmarkEnd w:id="27"/>
    <w:p>
      <w:pPr>
        <w:jc w:val="both"/>
        <w:spacing w:after="0" w:line="293" w:lineRule="auto"/>
        <w:rPr>
          <w:sz w:val="20"/>
          <w:szCs w:val="20"/>
          <w:color w:val="auto"/>
        </w:rPr>
      </w:pPr>
      <w:r>
        <w:rPr>
          <w:rFonts w:ascii="Arial" w:cs="Arial" w:eastAsia="Arial" w:hAnsi="Arial"/>
          <w:sz w:val="16"/>
          <w:szCs w:val="16"/>
          <w:color w:val="auto"/>
        </w:rPr>
        <w:t>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the past, we have experienced losses, we had an accumulated deficit of $144.9 million as of December 31, 2016 and we may incur losses in the future.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 the past incurred, and we may in the future, incur losses and experience negative cash flow, either or both of which may be significant. We recorded net losses from inception through the year ended December 31, 2003. We recorded net income for the years ended December 31, 2004 through 2007 and 2009 through 2012, while we recorded net losses for the years ended December 31, 2008, and 2013 through 2016. We recorded a net loss of $25.9 million for the year ended December 31, 2016. As of December 31, 2016, our accumulated deficit was approximately $144.9 million. We cannot assure you that we can sustain or increase profitability on a quarterly or annual basis in the future. Failure to maintain profitability may materially and adversely affect the market price of our common stock.</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With the recent volatility in the capital markets, there is a risk that we could suffer a loss of principal in our cash and cash equivalents and short term investments and suffer a reduction in our interest income or in our return on investments.</w:t>
      </w:r>
    </w:p>
    <w:p>
      <w:pPr>
        <w:spacing w:after="0" w:line="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2016, we had $50.9 million in cash and cash equivalents. We regularly invest excess funds from our cash and cash equivalents in short-term money market funds. We currently hold no mortgaged-backed or auction rate securities. However, some of our investments are subject to general credit, liquidity, market and interest rate risks, which may be exacerbated by the ongoing uncertainty in the United States and global credit markets that have affected various sectors of the financial markets and caused global credit and liquidity issues. In the future, these market risks associated with our investment portfolio may harm the results of our operations, liquidity and financial condition. Although we believe we have chosen a more cautious portfolio designed to preserve our existing cash position, it may not adequately protect the value of our investments. Furthermore, this more cautious portfolio is unlikely to provide us with any significant interest income in the near term.</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Capital needs necessary to execute our business strategy could increase substantially and we may not be able to secure additional financing to execute this strategy.</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and warrants.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license necessary third party software for use in our products and services, or failure to successfully integrate third party software, could cause delays or reductions in our sales, or errors or failures of our service.</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license third 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applications until we identify, license and integrate or develop equivalent software, and new licenses could require us to pay higher royalties. If we are unable to successfully license and integrate third party technology, we could experience a reduction in functionality and/or errors or failures of our products, which may reduce demand for our products and services.</w:t>
      </w:r>
    </w:p>
    <w:p>
      <w:pPr>
        <w:spacing w:after="0" w:line="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Third-party licenses may expose us to increased risks, including risks associated with the integration of new technology, the impact of new technology integration on our existing technology, open source software disclosure risks, the diversion of resources from the development of our own proprietary technology, and our inability to generate revenue from new technology sufficient to offset associated acquisition and maintenance costs.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reputation depends, in part, on factors which are partially or entirely outside of our control.</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services typically appear under the LivePerson brand or as a LivePerson-branded icon on our customers’ websites. The customer service operators who respond to the inquiries of our customers’ Internet users are employees or agents of our customers; they are not our employees. The experts who respond to the inquiries of Internet users are independent consultants or agents of our customers; they are not our employees. As a result, we are not able to control the actions of these operators or experts. In addition, an Internet user may not know that the operator or expert is not a LivePerson employee. If an Internet user were to have a negative experience in a LivePerson-powered real-time dialogue, it is possible that this experience could be attributed to us, which could diminish our brand and harm our business. Finally, we believe the success of our business services is aided by the prominent placement of the chat icon on a customer’s website, over which we also have no control.</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service over the term of the subscription, declines in business may not be immediately reflected in our operating results.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instantaneously.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sales cycles can be lengthy, and the timing of sales can be difficult to predict, which may cause our operating results to vary significantly.</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them about the value of our offerings. The increasingly complex needs of our customers can contribute to a longer sales cycle.</w:t>
      </w:r>
    </w:p>
    <w:p>
      <w:pPr>
        <w:spacing w:after="0" w:line="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negatively impact our Israeli operations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 development staff, help desk and online sales support operations are located in Israel. As of December 31, 2016, we had 412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the summer of 2006, Israel was engaged in an armed conflict with Hezbollah, a Lebanese Islamist Shiite militia group and political party, and since March 2011, there has been a civil war in Syria, Israel’s neighboring country to the north. Occasionally, violence from Syria has spilled over across Israel’s border, and Israel has responded militarily several times since the onset of the civil war. During November 2012 and July 2014, Israel was engaged in an armed conflict with Hamas, a militia group and political party which controls the Gaza Strip. These conflicts involved missile strikes against civilian targets in various parts of Israel, including areas in which our employees are located, and negatively affected business conditions in Israel. Any armed conflicts, terrorist activities or political instability in the region could adversely affect business conditions and could harm our results of operations.</w:t>
      </w:r>
    </w:p>
    <w:p>
      <w:pPr>
        <w:spacing w:after="0" w:line="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Recent popular uprisings in various countries in the Middle East and northern Africa are affecting the political stability of those countries. This instability may lead to deterioration of the political and trade relationships that exist between the State of Israel and these countries, as well as potentially affecting the global economy and marketplace through changes in oil and gas prices. In addition, Iran has publicly threatened to attack Israel. Iran is also believed to have a strong influence among extremist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groups in the region, such as Hamas in the Gaza Strip and Hezbollah in Lebanon. Additionally, a violent jihadist group named Islamic State of Iraq and Levant, commonly referred to as ISIS, is involved in hostilities in Iraq and Syria and have been growing in influence. Although ISIS’s activities have not directly affected the political and economic conditions in Israel, ISIS’s stated purpose is to take control of the Middle East, including Israel. These situations may potentially escalate in the future to violent events which may negatively affect Israel and us.</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Additional countries may impose restrictions on doing business with Israel and companies that have operations in Israel if hostilities in the region continue or intensify. Such restrictions may seriously limit our ability to sell our products to customers in those countries. 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In addition,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principles generally accepted in the United States are subject to interpretation by the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cannot assure our stockholders that our current or future stock repurchase programs will enhance/has enhanced long-term stockholder value and stock repurchases could increase the volatility of the price of our common stock and will diminish our cash reserves.</w:t>
      </w:r>
    </w:p>
    <w:p>
      <w:pPr>
        <w:spacing w:after="0" w:line="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stock repurchase program from $50.0 million to $64.0 million. On November 21, 2016, the Company's Board of Directors increased the aggregate purchase price of the stock repurchase program from $64.0 million to $74.0 million and extended the expiration date of the program out to December 31, 2017. The timing and actual number of shares repurchased depend on a variety of factors including the timing of open trading windows, price, corporate and regulatory requirements, and other market conditions. The program may be suspended or discontinued at any time without prior notice. Repurchases pursuant to our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stock. Additionally, our stock repurchase program will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 Although our stock repurchase program is intended to enhance long-term stockholder value, short-term stock price fluctuations could reduce the program’s effectiveness. As of December 31, 2016, approximately $20.1 million remained available for purchase under the program.</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systems and operations are vulnerable to damage or interruption from earthquakes, fires, floods, hurricanes, other acts of nature, power losses, telecommunications failures, terrorist attacks, acts of war, human errors, break-ins,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and our largest office is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disaster recovery capabilities, there can be no assurance that we will not suffer from business interruption, or unavailability or loss of data, as a result of any such events.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40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regulation of the Internet may slow our growth, resulting in decreased demand for our services and increased costs of doing business.</w:t>
      </w:r>
    </w:p>
    <w:p>
      <w:pPr>
        <w:spacing w:after="0" w:line="1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State, federal and foreign regulators could adopt laws and regulations that impose additional burdens on companies that conduct business online or that adversely affect the growth or use of the Internet.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including but not limited to laws affecting net neutrality could also decrease demand for our services and increase our costs. Further, regulatory focus on data privacy, data security and consumer protection continues to expand on a worldwide basis and is becoming more complex, which will increase the risks to our business on reputational, operational, and compliance bases.</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continued growth and development of the market for online services may prompt calls for more stringent consumer protection laws or laws that will inhibit the use of Internet-based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A decline in the growth of the Internet, particularly as it relates to online 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and other online services could increase our costs and harm our growth.</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respond to the rapid technological change and changing customer preferences in the online sales, marketing, customer service, and/or online consumer services industries and this may harm our business.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we are unable, for technological, legal, financial or other reasons, to adapt in a timely manner to changing market conditions in the online sales, marketing, customer service and/or e-commerce industry or our customers’ or Internet users’ requirements or preferences, our business, results of operations and financial condition would be materially and adversely affected. Business on the Internet is characterized by rapid technological change. In addition, the market for online sales, marketing, customer service and expert advice solutions is relatively new. Sudden changes in customer and Internet user requirements and preferences, frequent new product and service introductions embodying new technologies, such as broadband communications,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w:t>
      </w:r>
    </w:p>
    <w:p>
      <w:pPr>
        <w:spacing w:after="0" w:line="58"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the features and performance of our services;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offer new services that are valuable to companies doing business online as well as Internet users;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1" w:name="page32"/>
    <w:bookmarkEnd w:id="31"/>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technological advances and emerging industry and regulatory standards and practices in a cost-effective and timely manner.</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new services, including upgrades to our current services, do not meet our customers’ or Internet users’ expectations, we could lose customers and our business may be harmed. Updating our technology may require significant additional capital expenditures and could materially and adversely affect our business, results of operations and financial condition.</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continued viability of the infrastructure of the Internet.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 LivePerson dialogue windows) in particular. If the infrastructure of the Internet does not effectively support the growth of the Internet, we may not maintain profitability and our business, results of operations and financial condition will suffer.</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growth and acceptance of the Internet as a medium for commerce, and the related expansion of the Internet infrastructure.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be sure that a sufficiently broad base of consumers will continue to use the Internet for commerce. Convincing our customers to use our mobile and online messaging solutions to communicate with consumers may be difficult. The continuation of the Internet as a viable commercial marketplace is subject to a number of factors, including:</w:t>
      </w:r>
    </w:p>
    <w:p>
      <w:pPr>
        <w:spacing w:after="0" w:line="73"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transaction security or security problems such as “viruses” and “worms” or hackers;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cybersecurity attacks or the security of confidential information online;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growth in the number of users;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development of the necessary technological infrastructure;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of enabling technologies;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 and increasing government regulation;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complementary services and products.</w:t>
      </w:r>
    </w:p>
    <w:p>
      <w:pPr>
        <w:spacing w:after="0" w:line="31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may continue to be, highly volatile, which could reduce the value of your investment and subject us to litigation.</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w:t>
      </w:r>
    </w:p>
    <w:p>
      <w:pPr>
        <w:spacing w:after="0" w:line="73" w:lineRule="exact"/>
        <w:rPr>
          <w:sz w:val="20"/>
          <w:szCs w:val="20"/>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operating results or those of our competitors;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announcements that are not in line with analyst expectations;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recommendations or financial estimates by securities analysts;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or rumors about mergers or strategic acquisitions by us or by our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about customer additions and cancellations or failure to complete significant sales;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companies that investors believe are comparable to us;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9" w:lineRule="exact"/>
        <w:rPr>
          <w:rFonts w:ascii="Arial" w:cs="Arial" w:eastAsia="Arial" w:hAnsi="Arial"/>
          <w:sz w:val="18"/>
          <w:szCs w:val="18"/>
          <w:color w:val="auto"/>
        </w:rPr>
      </w:pPr>
    </w:p>
    <w:p>
      <w:pPr>
        <w:ind w:left="460" w:right="100" w:hanging="330"/>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such as recessions, political unrest or terrorist attacks, or in the specific locations where we operate, such as the United States, Israel and the United Kingdom.</w:t>
      </w:r>
    </w:p>
    <w:p>
      <w:pPr>
        <w:spacing w:after="0" w:line="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extreme price and volume fluctuations in the stock markets generally, and in the markets for technology companies in particular, could cause the market price for our common stock to decline. In the past, companies that have experienced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volatility in the market price of their stock have been the subject of securities class action litigation. We may in the future be the target of similar litigation, which could result in substantial costs and distract management’s attention and resources.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traded on more than one market and this may result in price variations.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common stock is currently traded on the NASDAQ Global Select Market and the Tel Aviv Stock Exchange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2016, our executive officers, directors and holders of 5% or more of our outstanding common stock and their affiliates in the aggregate beneficially owned approximately 42%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the company’s interests or the interests of other stockholders, and they may act in a manner that advances their best interests and not necessarily those of our other stockholders.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substantial amounts of our common stock may negatively affect our stock price.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or our stockholders sell substantial amounts of our common stock, including shares issuable upon the exercise of outstanding options and warrants,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could discourage, delay or prevent a takeover that stockholders may consider favorable.</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16" w:lineRule="exact"/>
        <w:rPr>
          <w:sz w:val="20"/>
          <w:szCs w:val="20"/>
          <w:color w:val="auto"/>
        </w:rPr>
      </w:pPr>
    </w:p>
    <w:p>
      <w:pPr>
        <w:ind w:left="460" w:right="260" w:hanging="330"/>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three-year staggered terms, which prevents stockholders from electing an entirely new board of directors at any annual meeting.</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Vacancies on our board of directors may only be filled by a vote of a majority of directors then in office, even if less than a quorum.</w:t>
      </w:r>
    </w:p>
    <w:p>
      <w:pPr>
        <w:spacing w:after="0" w:line="9" w:lineRule="exact"/>
        <w:rPr>
          <w:rFonts w:ascii="Arial" w:cs="Arial" w:eastAsia="Arial" w:hAnsi="Arial"/>
          <w:sz w:val="18"/>
          <w:szCs w:val="18"/>
          <w:color w:val="auto"/>
        </w:rPr>
      </w:pPr>
    </w:p>
    <w:p>
      <w:pPr>
        <w:ind w:left="460" w:right="2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or any other matters. This limits the ability of minority stockholders to elect director candidates.</w:t>
      </w: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only act at a duly called annual or special meeting and may not act by written consent.</w:t>
      </w:r>
    </w:p>
    <w:p>
      <w:pPr>
        <w:spacing w:after="0" w:line="9" w:lineRule="exact"/>
        <w:rPr>
          <w:rFonts w:ascii="Arial" w:cs="Arial" w:eastAsia="Arial" w:hAnsi="Arial"/>
          <w:sz w:val="18"/>
          <w:szCs w:val="18"/>
          <w:color w:val="auto"/>
        </w:rPr>
      </w:pPr>
    </w:p>
    <w:p>
      <w:pPr>
        <w:ind w:left="460" w:right="28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our board of directors or to propose other matters that can be acted upon at a stockholders’ meeting.</w:t>
      </w:r>
    </w:p>
    <w:p>
      <w:pPr>
        <w:ind w:left="46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require super-majority voting by stockholders to amend certain provisions in our amended and restated certificate of incorporation and to amend our amended and restated bylaws.</w:t>
      </w:r>
    </w:p>
    <w:p>
      <w:pPr>
        <w:ind w:left="460" w:hanging="33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amended and restated bylaws expressly authorize a super-majority of the board of directors to amend our amended and restated bylaws.</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corporate headquarters are located in New York City, where we lease approximately 37,000 square feet of office space under a lease that expires in 2020. We also lease office space of approximately 68,000 square feet in Raanana, Israel, for research and development, sales and support under leases that expire in 2018, of approximately 40,000 square feet in Alpharetta, Georgia, for sales and support under a lease that expires in 2024; and approximately 7,300 square feet in Reading, United Kingdom, for marketing, sales and support under a lease that expires in 2019.</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we also lease office space for marketing, sales and support of approximately 40,000 square feet in various locations in the United States, Europe, Asia and Australia. In addition,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Discovery in the New York case is in process. On June 22, 2015, [24]7 Customer, Inc. filed suit against us in the Northern District of California alleging patent infringement. On December 7, 2015, [24]7 Customer Inc. filed a second patent infringement suit against us, also in the Northern District of California. On January 5, 2016, the two California cases were consolidated for all pre-trial purposes. On March 9, 2017, the Court for the Southern District of New York in the Company's case against [24]7 granted the parties’ joint request to voluntarily transfer the Southern District of New York case to the Northern District of California for consolidation with the referenced California cases. We believe the claims filed by [24]7 Customer Inc. are entirely without merit and intend to defend them vigorously.</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right="20" w:firstLine="648"/>
        <w:spacing w:after="0" w:line="277" w:lineRule="auto"/>
        <w:rPr>
          <w:sz w:val="20"/>
          <w:szCs w:val="20"/>
          <w:color w:val="auto"/>
        </w:rPr>
      </w:pPr>
      <w:r>
        <w:rPr>
          <w:rFonts w:ascii="Arial" w:cs="Arial" w:eastAsia="Arial" w:hAnsi="Arial"/>
          <w:sz w:val="18"/>
          <w:szCs w:val="18"/>
          <w:color w:val="auto"/>
        </w:rPr>
        <w:t>The principal United States market on which our common stock is traded is The NASDAQ Global Select Market under the symbol LPSN. Our shares of common stock are also traded on the Tel Aviv Stock Exchange.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12" w:right="2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The following table sets forth, for each full quarterly period within the two most recent fiscal years, the high and low sales prices (in U.S. dollars per share) of our common stock as reported or quoted on The NASDAQ Global Select Market: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Year ended December 31, 2016:</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5.69</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10.24</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7.56</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21, 2017, there were approximately 127 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earnings, if any, to finance the operation and expansion of our business and do not anticipate paying any cash dividends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December 31, 2016 is as follows:</w:t>
      </w: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Total Number of Shares</w:t>
            </w: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w:t>
            </w:r>
          </w:p>
        </w:tc>
        <w:tc>
          <w:tcPr>
            <w:tcW w:w="160" w:type="dxa"/>
            <w:vAlign w:val="bottom"/>
          </w:tcPr>
          <w:p>
            <w:pPr>
              <w:spacing w:after="0"/>
              <w:rPr>
                <w:sz w:val="17"/>
                <w:szCs w:val="17"/>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2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Publicly Announced Plans</w:t>
            </w:r>
          </w:p>
        </w:tc>
        <w:tc>
          <w:tcPr>
            <w:tcW w:w="210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4"/>
              </w:rPr>
              <w:t>Purchased Under the Plans</w:t>
            </w:r>
          </w:p>
        </w:tc>
      </w:tr>
      <w:tr>
        <w:trPr>
          <w:trHeight w:val="243"/>
        </w:trPr>
        <w:tc>
          <w:tcPr>
            <w:tcW w:w="2900" w:type="dxa"/>
            <w:vAlign w:val="bottom"/>
            <w:gridSpan w:val="2"/>
          </w:tcPr>
          <w:p>
            <w:pPr>
              <w:ind w:left="1160"/>
              <w:spacing w:after="0"/>
              <w:rPr>
                <w:sz w:val="20"/>
                <w:szCs w:val="20"/>
                <w:color w:val="auto"/>
              </w:rPr>
            </w:pPr>
            <w:r>
              <w:rPr>
                <w:rFonts w:ascii="Arial" w:cs="Arial" w:eastAsia="Arial" w:hAnsi="Arial"/>
                <w:sz w:val="16"/>
                <w:szCs w:val="16"/>
                <w:b w:val="1"/>
                <w:bCs w:val="1"/>
                <w:color w:val="auto"/>
              </w:rPr>
              <w:t>Period</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 xml:space="preserve">Purchased </w:t>
            </w:r>
            <w:r>
              <w:rPr>
                <w:rFonts w:ascii="Arial" w:cs="Arial" w:eastAsia="Arial" w:hAnsi="Arial"/>
                <w:sz w:val="21"/>
                <w:szCs w:val="21"/>
                <w:b w:val="1"/>
                <w:bCs w:val="1"/>
                <w:color w:val="auto"/>
                <w:w w:val="85"/>
                <w:vertAlign w:val="superscript"/>
              </w:rPr>
              <w:t>(1) (2)</w:t>
            </w:r>
          </w:p>
        </w:tc>
        <w:tc>
          <w:tcPr>
            <w:tcW w:w="320" w:type="dxa"/>
            <w:vAlign w:val="bottom"/>
          </w:tcPr>
          <w:p>
            <w:pPr>
              <w:spacing w:after="0"/>
              <w:rPr>
                <w:sz w:val="21"/>
                <w:szCs w:val="21"/>
                <w:color w:val="auto"/>
              </w:rPr>
            </w:pPr>
          </w:p>
        </w:tc>
        <w:tc>
          <w:tcPr>
            <w:tcW w:w="1560" w:type="dxa"/>
            <w:vAlign w:val="bottom"/>
            <w:gridSpan w:val="2"/>
          </w:tcPr>
          <w:p>
            <w:pPr>
              <w:jc w:val="center"/>
              <w:ind w:right="440"/>
              <w:spacing w:after="0" w:line="243" w:lineRule="exact"/>
              <w:rPr>
                <w:sz w:val="20"/>
                <w:szCs w:val="20"/>
                <w:color w:val="auto"/>
              </w:rPr>
            </w:pPr>
            <w:r>
              <w:rPr>
                <w:rFonts w:ascii="Arial" w:cs="Arial" w:eastAsia="Arial" w:hAnsi="Arial"/>
                <w:sz w:val="28"/>
                <w:szCs w:val="28"/>
                <w:b w:val="1"/>
                <w:bCs w:val="1"/>
                <w:color w:val="auto"/>
                <w:w w:val="87"/>
                <w:vertAlign w:val="subscript"/>
              </w:rPr>
              <w:t>Share</w:t>
            </w:r>
            <w:r>
              <w:rPr>
                <w:rFonts w:ascii="Arial" w:cs="Arial" w:eastAsia="Arial" w:hAnsi="Arial"/>
                <w:sz w:val="10"/>
                <w:szCs w:val="10"/>
                <w:b w:val="1"/>
                <w:bCs w:val="1"/>
                <w:color w:val="auto"/>
                <w:w w:val="87"/>
              </w:rPr>
              <w:t xml:space="preserve"> (1) (2)</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 xml:space="preserve">or Programs </w:t>
            </w:r>
            <w:r>
              <w:rPr>
                <w:rFonts w:ascii="Arial" w:cs="Arial" w:eastAsia="Arial" w:hAnsi="Arial"/>
                <w:sz w:val="21"/>
                <w:szCs w:val="21"/>
                <w:b w:val="1"/>
                <w:bCs w:val="1"/>
                <w:color w:val="auto"/>
                <w:w w:val="87"/>
                <w:vertAlign w:val="superscript"/>
              </w:rPr>
              <w:t>(1) (2)</w:t>
            </w:r>
          </w:p>
        </w:tc>
        <w:tc>
          <w:tcPr>
            <w:tcW w:w="160" w:type="dxa"/>
            <w:vAlign w:val="bottom"/>
          </w:tcPr>
          <w:p>
            <w:pPr>
              <w:spacing w:after="0"/>
              <w:rPr>
                <w:sz w:val="21"/>
                <w:szCs w:val="21"/>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85"/>
              </w:rPr>
              <w:t xml:space="preserve">or Programs </w:t>
            </w:r>
            <w:r>
              <w:rPr>
                <w:rFonts w:ascii="Arial" w:cs="Arial" w:eastAsia="Arial" w:hAnsi="Arial"/>
                <w:sz w:val="21"/>
                <w:szCs w:val="21"/>
                <w:b w:val="1"/>
                <w:bCs w:val="1"/>
                <w:color w:val="auto"/>
                <w:w w:val="85"/>
                <w:vertAlign w:val="superscript"/>
              </w:rPr>
              <w:t>(1) (2) (3)</w:t>
            </w:r>
          </w:p>
        </w:tc>
      </w:tr>
      <w:tr>
        <w:trPr>
          <w:trHeight w:val="244"/>
        </w:trPr>
        <w:tc>
          <w:tcPr>
            <w:tcW w:w="2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CCFFCC"/>
            </w:tcBorders>
            <w:shd w:val="clear" w:color="auto" w:fill="CCFFCC"/>
          </w:tcPr>
          <w:p>
            <w:pPr>
              <w:spacing w:after="0"/>
              <w:rPr>
                <w:sz w:val="21"/>
                <w:szCs w:val="21"/>
                <w:color w:val="auto"/>
              </w:rPr>
            </w:pPr>
          </w:p>
        </w:tc>
        <w:tc>
          <w:tcPr>
            <w:tcW w:w="14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8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14,329,958</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10/1/2016 - 10/31/2016</w:t>
            </w:r>
          </w:p>
        </w:tc>
        <w:tc>
          <w:tcPr>
            <w:tcW w:w="12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14,329,958</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2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11/1/2016 - 11/30/2016</w:t>
            </w:r>
          </w:p>
        </w:tc>
        <w:tc>
          <w:tcPr>
            <w:tcW w:w="120" w:type="dxa"/>
            <w:vAlign w:val="bottom"/>
            <w:tcBorders>
              <w:bottom w:val="single" w:sz="8" w:color="CCFFCC"/>
            </w:tcBorders>
            <w:shd w:val="clear" w:color="auto" w:fill="CCFFCC"/>
          </w:tcPr>
          <w:p>
            <w:pPr>
              <w:spacing w:after="0"/>
              <w:rPr>
                <w:sz w:val="21"/>
                <w:szCs w:val="21"/>
                <w:color w:val="auto"/>
              </w:rPr>
            </w:pPr>
          </w:p>
        </w:tc>
        <w:tc>
          <w:tcPr>
            <w:tcW w:w="22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14,329,958</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12/1/2016 - 12/31/2016</w:t>
            </w:r>
          </w:p>
        </w:tc>
        <w:tc>
          <w:tcPr>
            <w:tcW w:w="120" w:type="dxa"/>
            <w:vAlign w:val="bottom"/>
          </w:tcPr>
          <w:p>
            <w:pPr>
              <w:spacing w:after="0"/>
              <w:rPr>
                <w:sz w:val="21"/>
                <w:szCs w:val="21"/>
                <w:color w:val="auto"/>
              </w:rPr>
            </w:pPr>
          </w:p>
        </w:tc>
        <w:tc>
          <w:tcPr>
            <w:tcW w:w="2100" w:type="dxa"/>
            <w:vAlign w:val="bottom"/>
          </w:tcPr>
          <w:p>
            <w:pPr>
              <w:jc w:val="right"/>
              <w:ind w:right="33"/>
              <w:spacing w:after="0"/>
              <w:rPr>
                <w:sz w:val="20"/>
                <w:szCs w:val="20"/>
                <w:color w:val="auto"/>
              </w:rPr>
            </w:pPr>
            <w:r>
              <w:rPr>
                <w:rFonts w:ascii="Arial" w:cs="Arial" w:eastAsia="Arial" w:hAnsi="Arial"/>
                <w:sz w:val="18"/>
                <w:szCs w:val="18"/>
                <w:color w:val="auto"/>
              </w:rPr>
              <w:t>491,000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491,000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20,136,441</w:t>
            </w:r>
          </w:p>
        </w:tc>
      </w:tr>
      <w:tr>
        <w:trPr>
          <w:trHeight w:val="27"/>
        </w:trPr>
        <w:tc>
          <w:tcPr>
            <w:tcW w:w="27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491,000</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8"/>
                <w:szCs w:val="18"/>
                <w:color w:val="auto"/>
              </w:rPr>
              <w:t>491,000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20,136,441</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jc w:val="both"/>
        <w:ind w:left="1300" w:right="2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stock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June 30, 2014, approximately $1.1 million remained available for purchases under the program as in effect at that time.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As of December 31, 2015, approximately $6.1 million remained available for purchases under the program. On February 16, 2016, the Company's Board of Directors increased the aggregate purchase price of the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w:t>
      </w:r>
    </w:p>
    <w:p>
      <w:pPr>
        <w:spacing w:after="0" w:line="70"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graph depicted below compares the annual percentage changes in the LivePerson’s cumulative total stockholder return 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48895</wp:posOffset>
            </wp:positionV>
            <wp:extent cx="525716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covers the period from December 31, 2011 to December 31, 2016.</w:t>
      </w:r>
    </w:p>
    <w:p>
      <w:pPr>
        <w:spacing w:after="0" w:line="117" w:lineRule="exact"/>
        <w:rPr>
          <w:rFonts w:ascii="Arial" w:cs="Arial" w:eastAsia="Arial" w:hAnsi="Arial"/>
          <w:sz w:val="18"/>
          <w:szCs w:val="18"/>
          <w:color w:val="auto"/>
        </w:rPr>
      </w:pPr>
    </w:p>
    <w:p>
      <w:pPr>
        <w:ind w:left="280" w:right="20" w:hanging="272"/>
        <w:spacing w:after="0" w:line="264"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assumes that $100 was invested at the market close on December 31, 2011 in LivePerson’s Common Stock, in the Standard &amp; Poor’s SmallCap 600 Index and in the Standard &amp; Poor’s Information Technology Index, and that all dividends were reinvested. No cash dividends have been declared on LivePerson’s Common Stock.</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Securities and Exchange Commission,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requests that such information be treated as soliciting material, in each case under those statutes.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selected consolidated financial data with respect to our consolidated balance sheets as of December 31, 2016 and 2015 and the related consolidated statements of operations for the years ended December 31, 2016, 2015 and 2014 have been derived from our audited consolidated financial statements which are included herein. The selected financial data with respect to our balance sheets as of December 31, 2014, 2013 and 2012 and the related statements of operations for the years ended December 31, 2013 and 2012 have been derived from our audited financial statements which are not included herein. Due to our acquisitions of CAO!, Synchronite and NexGraph in 2014, and Engage, LookIO and Amadesa in 2012, we believe that comparisons of our operating results with each other, or with those of prior periods, may not be meaningful. The following selected consolidated financial data should be read in conjunction with the consolidated financial statements and the notes thereto and the information contained in Item 7, “Management’s Discussion and Analysis of Financial Condition and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6"/>
          </w:tcPr>
          <w:p>
            <w:pPr>
              <w:jc w:val="center"/>
              <w:ind w:left="751"/>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2"/>
              </w:rPr>
              <w:t>(In Thousands, Except Share and per Share Data)</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222,779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239,012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209,931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177,805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157,409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35,579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89,529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94,728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83,253</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62,488</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49,614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43,046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31,606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Product development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40,198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38,974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36,397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30,051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4,873</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242,188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249,440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215,098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147,068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(Loss) income from operations</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(19,409)</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(10,428)</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3"/>
              </w:rPr>
              <w:t>(Loss) income before provision for (benefit from) income taxes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(19,939)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(25,873)</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(26,444)</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 income per share of common stock:</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FFCC"/>
          </w:tcPr>
          <w:p>
            <w:pPr>
              <w:ind w:left="40"/>
              <w:spacing w:after="0"/>
              <w:rPr>
                <w:sz w:val="20"/>
                <w:szCs w:val="20"/>
                <w:color w:val="auto"/>
              </w:rPr>
            </w:pPr>
            <w:r>
              <w:rPr>
                <w:rFonts w:ascii="Arial" w:cs="Arial" w:eastAsia="Arial" w:hAnsi="Arial"/>
                <w:sz w:val="18"/>
                <w:szCs w:val="18"/>
                <w:color w:val="auto"/>
                <w:w w:val="89"/>
              </w:rPr>
              <w:t>Weighted-average shares used to compute net (loss) income per</w:t>
            </w:r>
          </w:p>
        </w:tc>
        <w:tc>
          <w:tcPr>
            <w:tcW w:w="22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56,063,777</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56,452,408</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54,478,754</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54,725,236</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55,292,597</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56,063,777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56,452,408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54,478,754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5"/>
              </w:rPr>
              <w:t>54,725,236</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57,131,041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Financial and Operational Data:</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shd w:val="clear" w:color="auto" w:fill="CCFFCC"/>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19,198</w:t>
            </w:r>
          </w:p>
        </w:tc>
        <w:tc>
          <w:tcPr>
            <w:tcW w:w="12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21,244</w:t>
            </w:r>
          </w:p>
        </w:tc>
        <w:tc>
          <w:tcPr>
            <w:tcW w:w="1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22,672</w:t>
            </w:r>
          </w:p>
        </w:tc>
        <w:tc>
          <w:tcPr>
            <w:tcW w:w="100" w:type="dxa"/>
            <w:vAlign w:val="bottom"/>
            <w:tcBorders>
              <w:bottom w:val="single" w:sz="8" w:color="CCFFCC"/>
            </w:tcBorders>
            <w:shd w:val="clear" w:color="auto" w:fill="CCFFCC"/>
          </w:tcPr>
          <w:p>
            <w:pPr>
              <w:spacing w:after="0"/>
              <w:rPr>
                <w:sz w:val="24"/>
                <w:szCs w:val="24"/>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FFCC"/>
            </w:tcBorders>
            <w:shd w:val="clear" w:color="auto" w:fill="CCFFCC"/>
          </w:tcPr>
          <w:p>
            <w:pPr>
              <w:spacing w:after="0"/>
              <w:rPr>
                <w:sz w:val="24"/>
                <w:szCs w:val="24"/>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29,999</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40"/>
              <w:spacing w:after="0" w:line="251" w:lineRule="exact"/>
              <w:rPr>
                <w:sz w:val="20"/>
                <w:szCs w:val="20"/>
                <w:color w:val="auto"/>
              </w:rPr>
            </w:pPr>
            <w:r>
              <w:rPr>
                <w:rFonts w:ascii="Arial" w:cs="Arial" w:eastAsia="Arial" w:hAnsi="Arial"/>
                <w:sz w:val="18"/>
                <w:szCs w:val="18"/>
                <w:color w:val="auto"/>
              </w:rPr>
              <w:t xml:space="preserve">Adjusted net (loss) income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(7,688)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8,927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9,278</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firstLine="8"/>
        <w:spacing w:after="0" w:line="279" w:lineRule="auto"/>
        <w:tabs>
          <w:tab w:leader="none" w:pos="2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We define adjusted EBITDA as net (loss) income before provision for (benefit from) income taxes, other (expense) income, net, depreciation and amortization, stock-based compensation, restructuring costs, acquisition costs and other non-recurring charges. Please see </w:t>
      </w:r>
      <w:r>
        <w:rPr>
          <w:rFonts w:ascii="Arial" w:cs="Arial" w:eastAsia="Arial" w:hAnsi="Arial"/>
          <w:sz w:val="18"/>
          <w:szCs w:val="18"/>
          <w:color w:val="auto"/>
        </w:rPr>
        <w:t>“</w:t>
      </w:r>
      <w:r>
        <w:rPr>
          <w:rFonts w:ascii="Arial" w:cs="Arial" w:eastAsia="Arial" w:hAnsi="Arial"/>
          <w:sz w:val="16"/>
          <w:szCs w:val="16"/>
          <w:color w:val="auto"/>
        </w:rPr>
        <w:t>Adjusted EBITDA</w:t>
      </w:r>
      <w:r>
        <w:rPr>
          <w:rFonts w:ascii="Arial" w:cs="Arial" w:eastAsia="Arial" w:hAnsi="Arial"/>
          <w:sz w:val="18"/>
          <w:szCs w:val="18"/>
          <w:color w:val="auto"/>
        </w:rPr>
        <w:t>”</w:t>
      </w:r>
      <w:r>
        <w:rPr>
          <w:rFonts w:ascii="Arial" w:cs="Arial" w:eastAsia="Arial" w:hAnsi="Arial"/>
          <w:sz w:val="16"/>
          <w:szCs w:val="16"/>
          <w:color w:val="auto"/>
        </w:rPr>
        <w:t xml:space="preserve"> below for more information and for a reconciliation of adjusted EBITDA to net (loss) income, the most directly comparable financial measure calculated and presented in accordance with U.S. generally accepted accounting principles, or GAAP.</w:t>
      </w:r>
    </w:p>
    <w:p>
      <w:pPr>
        <w:spacing w:after="0" w:line="90" w:lineRule="exact"/>
        <w:rPr>
          <w:rFonts w:ascii="Arial" w:cs="Arial" w:eastAsia="Arial" w:hAnsi="Arial"/>
          <w:sz w:val="16"/>
          <w:szCs w:val="16"/>
          <w:color w:val="auto"/>
        </w:rPr>
      </w:pPr>
    </w:p>
    <w:p>
      <w:pPr>
        <w:jc w:val="both"/>
        <w:ind w:firstLine="8"/>
        <w:spacing w:after="0" w:line="279"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We define adjusted net income as net (loss) income excluding amortization, stock-based compensation, restructuring costs, acquisition costs, deferred tax asset valuation allowance, other non-recurring charges and the related income tax effect of these adjustments. Please see </w:t>
      </w:r>
      <w:r>
        <w:rPr>
          <w:rFonts w:ascii="Arial" w:cs="Arial" w:eastAsia="Arial" w:hAnsi="Arial"/>
          <w:sz w:val="18"/>
          <w:szCs w:val="18"/>
          <w:color w:val="auto"/>
        </w:rPr>
        <w:t>“</w:t>
      </w:r>
      <w:r>
        <w:rPr>
          <w:rFonts w:ascii="Arial" w:cs="Arial" w:eastAsia="Arial" w:hAnsi="Arial"/>
          <w:sz w:val="16"/>
          <w:szCs w:val="16"/>
          <w:color w:val="auto"/>
        </w:rPr>
        <w:t>Adjusted Net Income</w:t>
      </w:r>
      <w:r>
        <w:rPr>
          <w:rFonts w:ascii="Arial" w:cs="Arial" w:eastAsia="Arial" w:hAnsi="Arial"/>
          <w:sz w:val="18"/>
          <w:szCs w:val="18"/>
          <w:color w:val="auto"/>
        </w:rPr>
        <w:t>”</w:t>
      </w:r>
      <w:r>
        <w:rPr>
          <w:rFonts w:ascii="Arial" w:cs="Arial" w:eastAsia="Arial" w:hAnsi="Arial"/>
          <w:sz w:val="16"/>
          <w:szCs w:val="16"/>
          <w:color w:val="auto"/>
        </w:rPr>
        <w:t xml:space="preserve"> below for more information and for a reconciliation of adjusted net income to net (loss) income, the most directly comparable financial measure calculated and presented in accordance with U.S. generally accepted accounting principles, or GAAP.</w:t>
      </w:r>
    </w:p>
    <w:p>
      <w:pPr>
        <w:sectPr>
          <w:pgSz w:w="11900" w:h="16838" w:orient="portrait"/>
          <w:cols w:equalWidth="0" w:num="1">
            <w:col w:w="11420"/>
          </w:cols>
          <w:pgMar w:left="240" w:top="364"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6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Stock-based compensation included in the statements of operations above was as follows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1,396</w:t>
            </w:r>
          </w:p>
        </w:tc>
        <w:tc>
          <w:tcPr>
            <w:tcW w:w="420" w:type="dxa"/>
            <w:vAlign w:val="bottom"/>
            <w:tcBorders>
              <w:bottom w:val="single" w:sz="8" w:color="CCFFCC"/>
            </w:tcBorders>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1,579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2,878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3,692</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4,148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3,294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2,964</w:t>
            </w:r>
          </w:p>
        </w:tc>
      </w:tr>
      <w:tr>
        <w:trPr>
          <w:trHeight w:val="27"/>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stock-based compensation</w:t>
            </w:r>
          </w:p>
        </w:tc>
        <w:tc>
          <w:tcPr>
            <w:tcW w:w="2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9,736</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11,814</w:t>
            </w:r>
          </w:p>
        </w:tc>
        <w:tc>
          <w:tcPr>
            <w:tcW w:w="420" w:type="dxa"/>
            <w:vAlign w:val="bottom"/>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12,306</w:t>
            </w: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12,508</w:t>
            </w: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10,715</w:t>
            </w: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 Thousands)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50,889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48,803</w:t>
            </w:r>
          </w:p>
        </w:tc>
        <w:tc>
          <w:tcPr>
            <w:tcW w:w="42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49,372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91,906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103,339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17,468</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39,122</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34,954</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88,877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100,593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219,638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226,194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239,817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205,090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208,576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138,476</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165,305</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180,337</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159,053</w:t>
            </w: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170,243</w:t>
            </w:r>
          </w:p>
        </w:tc>
      </w:tr>
      <w:tr>
        <w:trPr>
          <w:trHeight w:val="27"/>
        </w:trPr>
        <w:tc>
          <w:tcPr>
            <w:tcW w:w="52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income,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jc w:val="both"/>
        <w:ind w:left="130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32"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non-recurring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7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(loss) income and our other GAAP results. The following table presents a reconciliation of adjusted EBITDA for each of the periods indicated (amounts in thousands):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8" w:name="page39"/>
    <w:bookmarkEnd w:id="38"/>
    <w:p>
      <w:pPr>
        <w:jc w:val="center"/>
        <w:ind w:left="4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37465</wp:posOffset>
            </wp:positionV>
            <wp:extent cx="4150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80" w:lineRule="exact"/>
        <w:rPr>
          <w:sz w:val="20"/>
          <w:szCs w:val="20"/>
          <w:color w:val="auto"/>
        </w:rPr>
      </w:pPr>
    </w:p>
    <w:p>
      <w:pPr>
        <w:ind w:left="5240"/>
        <w:spacing w:after="0"/>
        <w:tabs>
          <w:tab w:leader="none" w:pos="6700" w:val="left"/>
          <w:tab w:leader="none" w:pos="8160" w:val="left"/>
          <w:tab w:leader="none" w:pos="9380" w:val="left"/>
          <w:tab w:leader="none" w:pos="106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37465</wp:posOffset>
            </wp:positionV>
            <wp:extent cx="716915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8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Adjusted EBITDA:</w:t>
      </w:r>
    </w:p>
    <w:p>
      <w:pPr>
        <w:spacing w:after="0" w:line="6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(25,873)</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6,673</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9,736</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Contingent earn-out adjustments</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2,369</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12,011</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Other non-recurring costs</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7,818</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5,934</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Acquisition costs</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530</w:t>
            </w:r>
          </w:p>
        </w:tc>
      </w:tr>
      <w:tr>
        <w:trPr>
          <w:trHeight w:val="27"/>
        </w:trPr>
        <w:tc>
          <w:tcPr>
            <w:tcW w:w="4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19,198</w:t>
            </w:r>
          </w:p>
        </w:tc>
      </w:tr>
      <w:tr>
        <w:trPr>
          <w:trHeight w:val="20"/>
        </w:trPr>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-1748790</wp:posOffset>
            </wp:positionV>
            <wp:extent cx="71691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-1405890</wp:posOffset>
            </wp:positionV>
            <wp:extent cx="71691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-1062990</wp:posOffset>
            </wp:positionV>
            <wp:extent cx="71691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-719455</wp:posOffset>
            </wp:positionV>
            <wp:extent cx="71691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-376555</wp:posOffset>
            </wp:positionV>
            <wp:extent cx="71691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(26,444)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8,040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11,814</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12,508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 w:type="dxa"/>
            <w:vAlign w:val="bottom"/>
          </w:tcPr>
          <w:p>
            <w:pPr>
              <w:jc w:val="right"/>
              <w:ind w:right="108"/>
              <w:spacing w:after="0"/>
              <w:rPr>
                <w:sz w:val="20"/>
                <w:szCs w:val="20"/>
                <w:color w:val="auto"/>
              </w:rPr>
            </w:pPr>
            <w:r>
              <w:rPr>
                <w:rFonts w:ascii="Arial" w:cs="Arial" w:eastAsia="Arial" w:hAnsi="Arial"/>
                <w:sz w:val="11"/>
                <w:szCs w:val="11"/>
                <w:color w:val="auto"/>
                <w:w w:val="74"/>
              </w:rPr>
              <w:t>(1)</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3,384</w:t>
            </w:r>
          </w:p>
        </w:tc>
        <w:tc>
          <w:tcPr>
            <w:tcW w:w="340" w:type="dxa"/>
            <w:vAlign w:val="bottom"/>
          </w:tcPr>
          <w:p>
            <w:pPr>
              <w:jc w:val="right"/>
              <w:ind w:right="102"/>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12,114</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08"/>
              <w:spacing w:after="0"/>
              <w:rPr>
                <w:sz w:val="20"/>
                <w:szCs w:val="20"/>
                <w:color w:val="auto"/>
              </w:rPr>
            </w:pPr>
            <w:r>
              <w:rPr>
                <w:rFonts w:ascii="Arial" w:cs="Arial" w:eastAsia="Arial" w:hAnsi="Arial"/>
                <w:sz w:val="11"/>
                <w:szCs w:val="11"/>
                <w:color w:val="auto"/>
                <w:w w:val="74"/>
              </w:rPr>
              <w:t>(3)</w:t>
            </w:r>
          </w:p>
        </w:tc>
        <w:tc>
          <w:tcPr>
            <w:tcW w:w="280" w:type="dxa"/>
            <w:vAlign w:val="bottom"/>
          </w:tcPr>
          <w:p>
            <w:pPr>
              <w:spacing w:after="0"/>
              <w:rPr>
                <w:sz w:val="14"/>
                <w:szCs w:val="14"/>
                <w:color w:val="auto"/>
              </w:rPr>
            </w:pPr>
          </w:p>
        </w:tc>
        <w:tc>
          <w:tcPr>
            <w:tcW w:w="840" w:type="dxa"/>
            <w:vAlign w:val="bottom"/>
          </w:tcPr>
          <w:p>
            <w:pPr>
              <w:jc w:val="right"/>
              <w:ind w:right="10"/>
              <w:spacing w:after="0" w:line="16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800" w:type="dxa"/>
            <w:vAlign w:val="bottom"/>
          </w:tcPr>
          <w:p>
            <w:pPr>
              <w:jc w:val="right"/>
              <w:ind w:right="1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3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15,814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21,244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22,672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18,767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29,999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000" w:space="20"/>
            <w:col w:w="5400"/>
          </w:cols>
          <w:pgMar w:left="240" w:top="544" w:right="239" w:bottom="1440" w:gutter="0" w:footer="0" w:header="0"/>
          <w:type w:val="continuous"/>
        </w:sectPr>
      </w:pPr>
    </w:p>
    <w:p>
      <w:pPr>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ind w:left="1300" w:hanging="320"/>
        <w:spacing w:after="0" w:line="30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although amortization are non-cash charges, the assets being amortized may have to be replaced in the future, and adjusted net income does not reflect cash capital expenditure requirements for such replacements or for new capital expenditure requirements;</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other non-recurring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deferred tax asset valuation allowance; and</w:t>
      </w:r>
    </w:p>
    <w:p>
      <w:pPr>
        <w:spacing w:after="0" w:line="7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44" w:right="239" w:bottom="1440" w:gutter="0" w:footer="0" w:header="0"/>
          <w:type w:val="continuous"/>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income and our other GAAP results. The following table presents a reconciliation of adjusted net income for each of the periods indicated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20"/>
                <w:szCs w:val="20"/>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Reconciliation of Adjusted Net (Loss) Income</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(25,873)</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(26,444)</w:t>
            </w:r>
          </w:p>
        </w:tc>
        <w:tc>
          <w:tcPr>
            <w:tcW w:w="3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(7,348)</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(3,499)</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6,355</w:t>
            </w:r>
          </w:p>
        </w:tc>
        <w:tc>
          <w:tcPr>
            <w:tcW w:w="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Amortization of purchased intangibles</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6,673</w:t>
            </w:r>
          </w:p>
        </w:tc>
        <w:tc>
          <w:tcPr>
            <w:tcW w:w="36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8,040</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5,090</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2,643</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580</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9,736</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11,814</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12,306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12,508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10,715</w:t>
            </w:r>
          </w:p>
        </w:tc>
        <w:tc>
          <w:tcPr>
            <w:tcW w:w="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Contingent earn-out adjustments</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(3,680)</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692</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15,820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2,369</w:t>
            </w:r>
          </w:p>
        </w:tc>
        <w:tc>
          <w:tcPr>
            <w:tcW w:w="360" w:type="dxa"/>
            <w:vAlign w:val="bottom"/>
            <w:tcBorders>
              <w:bottom w:val="single" w:sz="8" w:color="CCFFCC"/>
            </w:tcBorders>
            <w:shd w:val="clear" w:color="auto" w:fill="CCFFCC"/>
          </w:tcPr>
          <w:p>
            <w:pPr>
              <w:jc w:val="right"/>
              <w:ind w:right="146"/>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3,384</w:t>
            </w:r>
          </w:p>
        </w:tc>
        <w:tc>
          <w:tcPr>
            <w:tcW w:w="340" w:type="dxa"/>
            <w:vAlign w:val="bottom"/>
            <w:tcBorders>
              <w:bottom w:val="single" w:sz="8" w:color="CCFFCC"/>
            </w:tcBorders>
            <w:shd w:val="clear" w:color="auto" w:fill="CCFFCC"/>
          </w:tcPr>
          <w:p>
            <w:pPr>
              <w:jc w:val="right"/>
              <w:ind w:right="146"/>
              <w:spacing w:after="0"/>
              <w:rPr>
                <w:sz w:val="20"/>
                <w:szCs w:val="20"/>
                <w:color w:val="auto"/>
              </w:rPr>
            </w:pPr>
            <w:r>
              <w:rPr>
                <w:rFonts w:ascii="Arial" w:cs="Arial" w:eastAsia="Arial" w:hAnsi="Arial"/>
                <w:sz w:val="11"/>
                <w:szCs w:val="11"/>
                <w:color w:val="auto"/>
                <w:w w:val="88"/>
              </w:rPr>
              <w:t>(2)</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non-recurring costs</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8,134</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Acquisition costs</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1,372</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1,034</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8"/>
                <w:szCs w:val="18"/>
                <w:color w:val="auto"/>
              </w:rPr>
              <w:t>Income tax effect of non-GAAP items</w:t>
            </w: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(9,419)</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(5)</w:t>
            </w:r>
          </w:p>
        </w:tc>
        <w:tc>
          <w:tcPr>
            <w:tcW w:w="160" w:type="dxa"/>
            <w:vAlign w:val="bottom"/>
          </w:tcPr>
          <w:p>
            <w:pPr>
              <w:spacing w:after="0"/>
              <w:rPr>
                <w:sz w:val="23"/>
                <w:szCs w:val="23"/>
                <w:color w:val="auto"/>
              </w:rPr>
            </w:pPr>
          </w:p>
        </w:tc>
        <w:tc>
          <w:tcPr>
            <w:tcW w:w="1080" w:type="dxa"/>
            <w:vAlign w:val="bottom"/>
            <w:gridSpan w:val="2"/>
          </w:tcPr>
          <w:p>
            <w:pPr>
              <w:jc w:val="right"/>
              <w:ind w:right="146"/>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21"/>
                <w:szCs w:val="21"/>
                <w:color w:val="auto"/>
                <w:vertAlign w:val="superscript"/>
              </w:rPr>
              <w:t>(6)</w:t>
            </w:r>
          </w:p>
        </w:tc>
        <w:tc>
          <w:tcPr>
            <w:tcW w:w="20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(6,352) </w:t>
            </w:r>
            <w:r>
              <w:rPr>
                <w:rFonts w:ascii="Arial" w:cs="Arial" w:eastAsia="Arial" w:hAnsi="Arial"/>
                <w:sz w:val="10"/>
                <w:szCs w:val="10"/>
                <w:color w:val="auto"/>
              </w:rPr>
              <w:t>(6)</w:t>
            </w:r>
          </w:p>
        </w:tc>
        <w:tc>
          <w:tcPr>
            <w:tcW w:w="20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(2,374) </w:t>
            </w:r>
            <w:r>
              <w:rPr>
                <w:rFonts w:ascii="Arial" w:cs="Arial" w:eastAsia="Arial" w:hAnsi="Arial"/>
                <w:sz w:val="10"/>
                <w:szCs w:val="10"/>
                <w:color w:val="auto"/>
              </w:rPr>
              <w:t>(6)</w:t>
            </w:r>
          </w:p>
        </w:tc>
        <w:tc>
          <w:tcPr>
            <w:tcW w:w="20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(4,600) </w:t>
            </w:r>
            <w:r>
              <w:rPr>
                <w:rFonts w:ascii="Arial" w:cs="Arial" w:eastAsia="Arial" w:hAnsi="Arial"/>
                <w:sz w:val="10"/>
                <w:szCs w:val="10"/>
                <w:color w:val="auto"/>
              </w:rPr>
              <w:t>(6)</w:t>
            </w:r>
          </w:p>
        </w:tc>
      </w:tr>
      <w:tr>
        <w:trPr>
          <w:trHeight w:val="257"/>
        </w:trPr>
        <w:tc>
          <w:tcPr>
            <w:tcW w:w="5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Adjusted net (loss) income</w:t>
            </w: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(7,688)</w:t>
            </w:r>
          </w:p>
        </w:tc>
        <w:tc>
          <w:tcPr>
            <w:tcW w:w="360" w:type="dxa"/>
            <w:vAlign w:val="bottom"/>
            <w:tcBorders>
              <w:top w:val="single" w:sz="8" w:color="CCFFCC"/>
              <w:bottom w:val="single" w:sz="8" w:color="CCFFCC"/>
            </w:tcBorders>
            <w:shd w:val="clear" w:color="auto" w:fill="CCFFCC"/>
          </w:tcPr>
          <w:p>
            <w:pPr>
              <w:spacing w:after="0"/>
              <w:rPr>
                <w:sz w:val="22"/>
                <w:szCs w:val="22"/>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8,927</w:t>
            </w:r>
          </w:p>
        </w:tc>
        <w:tc>
          <w:tcPr>
            <w:tcW w:w="340" w:type="dxa"/>
            <w:vAlign w:val="bottom"/>
            <w:tcBorders>
              <w:top w:val="single" w:sz="8" w:color="CCFFCC"/>
              <w:bottom w:val="single" w:sz="8" w:color="CCFFCC"/>
            </w:tcBorders>
            <w:shd w:val="clear" w:color="auto" w:fill="CCFFCC"/>
          </w:tcPr>
          <w:p>
            <w:pPr>
              <w:spacing w:after="0"/>
              <w:rPr>
                <w:sz w:val="22"/>
                <w:szCs w:val="22"/>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5,068</w:t>
            </w:r>
          </w:p>
        </w:tc>
        <w:tc>
          <w:tcPr>
            <w:tcW w:w="340" w:type="dxa"/>
            <w:vAlign w:val="bottom"/>
            <w:tcBorders>
              <w:top w:val="single" w:sz="8" w:color="CCFFCC"/>
              <w:bottom w:val="single" w:sz="8" w:color="CCFFCC"/>
            </w:tcBorders>
            <w:shd w:val="clear" w:color="auto" w:fill="CCFFCC"/>
          </w:tcPr>
          <w:p>
            <w:pPr>
              <w:spacing w:after="0"/>
              <w:rPr>
                <w:sz w:val="22"/>
                <w:szCs w:val="22"/>
                <w:color w:val="auto"/>
              </w:rPr>
            </w:pPr>
          </w:p>
        </w:tc>
        <w:tc>
          <w:tcPr>
            <w:tcW w:w="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9,278</w:t>
            </w:r>
          </w:p>
        </w:tc>
        <w:tc>
          <w:tcPr>
            <w:tcW w:w="340" w:type="dxa"/>
            <w:vAlign w:val="bottom"/>
            <w:tcBorders>
              <w:top w:val="single" w:sz="8" w:color="CCFFCC"/>
              <w:bottom w:val="single" w:sz="8" w:color="CCFFCC"/>
            </w:tcBorders>
            <w:shd w:val="clear" w:color="auto" w:fill="CCFFCC"/>
          </w:tcPr>
          <w:p>
            <w:pPr>
              <w:spacing w:after="0"/>
              <w:rPr>
                <w:sz w:val="22"/>
                <w:szCs w:val="22"/>
                <w:color w:val="auto"/>
              </w:rPr>
            </w:pPr>
          </w:p>
        </w:tc>
        <w:tc>
          <w:tcPr>
            <w:tcW w:w="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14,084</w:t>
            </w:r>
          </w:p>
        </w:tc>
        <w:tc>
          <w:tcPr>
            <w:tcW w:w="340" w:type="dxa"/>
            <w:vAlign w:val="bottom"/>
            <w:tcBorders>
              <w:top w:val="single" w:sz="8" w:color="CCFFCC"/>
              <w:bottom w:val="single" w:sz="8" w:color="CCFFCC"/>
            </w:tcBorders>
            <w:shd w:val="clear" w:color="auto" w:fill="CCFFCC"/>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3" w:lineRule="exact"/>
        <w:rPr>
          <w:sz w:val="20"/>
          <w:szCs w:val="20"/>
          <w:color w:val="auto"/>
        </w:rPr>
      </w:pPr>
    </w:p>
    <w:p>
      <w:pPr>
        <w:ind w:right="440" w:firstLine="8"/>
        <w:spacing w:after="0" w:line="250" w:lineRule="auto"/>
        <w:tabs>
          <w:tab w:leader="none" w:pos="127" w:val="left"/>
        </w:tabs>
        <w:numPr>
          <w:ilvl w:val="0"/>
          <w:numId w:val="21"/>
        </w:numPr>
        <w:rPr>
          <w:rFonts w:ascii="Arial" w:cs="Arial" w:eastAsia="Arial" w:hAnsi="Arial"/>
          <w:sz w:val="9"/>
          <w:szCs w:val="9"/>
          <w:b w:val="1"/>
          <w:bCs w:val="1"/>
          <w:color w:val="auto"/>
        </w:rPr>
      </w:pPr>
      <w:r>
        <w:rPr>
          <w:rFonts w:ascii="Arial" w:cs="Arial" w:eastAsia="Arial" w:hAnsi="Arial"/>
          <w:sz w:val="14"/>
          <w:szCs w:val="14"/>
          <w:color w:val="auto"/>
        </w:rPr>
        <w:t>Includes severance costs of $1.6 million, wind down costs of legacy platform of $1.2 million and a benefit of $0.4 million of cash collected on previously written off bad debt for the twelve months ended December 31, 2016.</w:t>
      </w:r>
    </w:p>
    <w:p>
      <w:pPr>
        <w:ind w:right="400" w:firstLine="8"/>
        <w:spacing w:after="0" w:line="241" w:lineRule="auto"/>
        <w:tabs>
          <w:tab w:leader="none" w:pos="127" w:val="left"/>
        </w:tabs>
        <w:numPr>
          <w:ilvl w:val="0"/>
          <w:numId w:val="21"/>
        </w:numPr>
        <w:rPr>
          <w:rFonts w:ascii="Arial" w:cs="Arial" w:eastAsia="Arial" w:hAnsi="Arial"/>
          <w:sz w:val="9"/>
          <w:szCs w:val="9"/>
          <w:b w:val="1"/>
          <w:bCs w:val="1"/>
          <w:color w:val="auto"/>
        </w:rPr>
      </w:pPr>
      <w:r>
        <w:rPr>
          <w:rFonts w:ascii="Arial" w:cs="Arial" w:eastAsia="Arial" w:hAnsi="Arial"/>
          <w:sz w:val="14"/>
          <w:szCs w:val="14"/>
          <w:color w:val="auto"/>
        </w:rPr>
        <w:t>Includes approximately $1.7 million of termination costs associated with a large customer contract that ended in 2015 and $1.7 million of severance and other associated costs for the twelve months ended December 31, 2016.</w:t>
      </w:r>
    </w:p>
    <w:p>
      <w:pPr>
        <w:ind w:left="140" w:hanging="132"/>
        <w:spacing w:after="0"/>
        <w:tabs>
          <w:tab w:leader="none" w:pos="140" w:val="left"/>
        </w:tabs>
        <w:numPr>
          <w:ilvl w:val="0"/>
          <w:numId w:val="21"/>
        </w:numPr>
        <w:rPr>
          <w:rFonts w:ascii="Arial" w:cs="Arial" w:eastAsia="Arial" w:hAnsi="Arial"/>
          <w:sz w:val="9"/>
          <w:szCs w:val="9"/>
          <w:b w:val="1"/>
          <w:bCs w:val="1"/>
          <w:color w:val="auto"/>
        </w:rPr>
      </w:pPr>
      <w:r>
        <w:rPr>
          <w:rFonts w:ascii="Arial" w:cs="Arial" w:eastAsia="Arial" w:hAnsi="Arial"/>
          <w:sz w:val="14"/>
          <w:szCs w:val="14"/>
          <w:color w:val="auto"/>
        </w:rPr>
        <w:t>Includes litigation costs of $4.7 million, write off of technology licenses of $2.6 million, and severance costs of $0.5 million for the twelve months ended December 31, 2016.</w:t>
      </w:r>
    </w:p>
    <w:p>
      <w:pPr>
        <w:spacing w:after="0" w:line="1" w:lineRule="exact"/>
        <w:rPr>
          <w:rFonts w:ascii="Arial" w:cs="Arial" w:eastAsia="Arial" w:hAnsi="Arial"/>
          <w:sz w:val="9"/>
          <w:szCs w:val="9"/>
          <w:b w:val="1"/>
          <w:bCs w:val="1"/>
          <w:color w:val="auto"/>
        </w:rPr>
      </w:pPr>
    </w:p>
    <w:p>
      <w:pPr>
        <w:ind w:right="100" w:firstLine="8"/>
        <w:spacing w:after="0" w:line="241" w:lineRule="auto"/>
        <w:tabs>
          <w:tab w:leader="none" w:pos="141" w:val="left"/>
        </w:tabs>
        <w:numPr>
          <w:ilvl w:val="0"/>
          <w:numId w:val="21"/>
        </w:numPr>
        <w:rPr>
          <w:rFonts w:ascii="Arial" w:cs="Arial" w:eastAsia="Arial" w:hAnsi="Arial"/>
          <w:sz w:val="9"/>
          <w:szCs w:val="9"/>
          <w:b w:val="1"/>
          <w:bCs w:val="1"/>
          <w:color w:val="auto"/>
        </w:rPr>
      </w:pPr>
      <w:r>
        <w:rPr>
          <w:rFonts w:ascii="Arial" w:cs="Arial" w:eastAsia="Arial" w:hAnsi="Arial"/>
          <w:sz w:val="14"/>
          <w:szCs w:val="14"/>
          <w:color w:val="auto"/>
        </w:rPr>
        <w:t>Includes litigation costs of $4.7 million, write off of technology licenses of $2.6 million, severance costs of $0.5 million, and write off of office facility depreciation of $0.3 million for the twelve months ended December 31, 2016.</w:t>
      </w:r>
    </w:p>
    <w:p>
      <w:pPr>
        <w:ind w:left="140" w:hanging="132"/>
        <w:spacing w:after="0"/>
        <w:tabs>
          <w:tab w:leader="none" w:pos="140" w:val="left"/>
        </w:tabs>
        <w:numPr>
          <w:ilvl w:val="0"/>
          <w:numId w:val="21"/>
        </w:numPr>
        <w:rPr>
          <w:rFonts w:ascii="Arial" w:cs="Arial" w:eastAsia="Arial" w:hAnsi="Arial"/>
          <w:sz w:val="9"/>
          <w:szCs w:val="9"/>
          <w:b w:val="1"/>
          <w:bCs w:val="1"/>
          <w:color w:val="auto"/>
        </w:rPr>
      </w:pPr>
      <w:r>
        <w:rPr>
          <w:rFonts w:ascii="Arial" w:cs="Arial" w:eastAsia="Arial" w:hAnsi="Arial"/>
          <w:sz w:val="14"/>
          <w:szCs w:val="14"/>
          <w:color w:val="auto"/>
        </w:rPr>
        <w:t>The Company's non-GAAP income tax effect for the current period uses a long-term projected tax rate of 35%.</w:t>
      </w:r>
    </w:p>
    <w:p>
      <w:pPr>
        <w:spacing w:after="0" w:line="1" w:lineRule="exact"/>
        <w:rPr>
          <w:rFonts w:ascii="Arial" w:cs="Arial" w:eastAsia="Arial" w:hAnsi="Arial"/>
          <w:sz w:val="9"/>
          <w:szCs w:val="9"/>
          <w:b w:val="1"/>
          <w:bCs w:val="1"/>
          <w:color w:val="auto"/>
        </w:rPr>
      </w:pPr>
    </w:p>
    <w:p>
      <w:pPr>
        <w:ind w:left="140" w:hanging="132"/>
        <w:spacing w:after="0"/>
        <w:tabs>
          <w:tab w:leader="none" w:pos="140" w:val="left"/>
        </w:tabs>
        <w:numPr>
          <w:ilvl w:val="0"/>
          <w:numId w:val="21"/>
        </w:numPr>
        <w:rPr>
          <w:rFonts w:ascii="Arial" w:cs="Arial" w:eastAsia="Arial" w:hAnsi="Arial"/>
          <w:sz w:val="9"/>
          <w:szCs w:val="9"/>
          <w:b w:val="1"/>
          <w:bCs w:val="1"/>
          <w:color w:val="auto"/>
        </w:rPr>
      </w:pPr>
      <w:r>
        <w:rPr>
          <w:rFonts w:ascii="Arial" w:cs="Arial" w:eastAsia="Arial" w:hAnsi="Arial"/>
          <w:sz w:val="14"/>
          <w:szCs w:val="14"/>
          <w:color w:val="auto"/>
        </w:rPr>
        <w:t>The Company's non-GAAP income tax effect was based on the effective tax rate, excluding discrete items.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0" w:name="page41"/>
    <w:bookmarkEnd w:id="40"/>
    <w:p>
      <w:pPr>
        <w:ind w:right="4000"/>
        <w:spacing w:after="0" w:line="3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General</w:t>
      </w: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 November 1998. We are a leading provider of mobile and online business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outdated email systems or call a 1-800 number. Brands leverage LiveEngage’s sophisticated intelligence engine and suite of text and mobile messaging, real-time chat messaging, content delivery, and cobrowsing offerings to proactively engage with consumers through mobile apps, mobile and desktop web browsers, social media and third-party consumer messaging platforms. More than 18,000 businesses, including Citibank, EE, IBM, Orbitz, PNC, The Home Depot and T-Mobile employ our technology to keep pace with rising customer service expectations and to align with preferences for digital communication channels.</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270" w:lineRule="auto"/>
        <w:tabs>
          <w:tab w:leader="none" w:pos="460"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Strengthening Our Position in both Existing and New Markets and Growing Our Recurring Revenue Base. </w:t>
      </w:r>
      <w:r>
        <w:rPr>
          <w:rFonts w:ascii="Arial" w:cs="Arial" w:eastAsia="Arial" w:hAnsi="Arial"/>
          <w:sz w:val="17"/>
          <w:szCs w:val="17"/>
          <w:color w:val="auto"/>
        </w:rPr>
        <w:t>LivePerson plans to continue to develop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intelligent business campaigns across our customer's online properties that target consumers with real-time messaging. We intend to collaborate with our large installed customer base to optimize the value and effectiveness that brands derive from our services. We are also focused on strengthening our recurring revenue stream by signing larger, long-term, and more strategic deals which empower brands to run business campaigns on their websites that engage consumers via messaging</w:t>
      </w:r>
    </w:p>
    <w:p>
      <w:pPr>
        <w:spacing w:after="0" w:line="73" w:lineRule="exact"/>
        <w:rPr>
          <w:rFonts w:ascii="Arial" w:cs="Arial" w:eastAsia="Arial" w:hAnsi="Arial"/>
          <w:sz w:val="17"/>
          <w:szCs w:val="17"/>
          <w:b w:val="1"/>
          <w:bCs w:val="1"/>
          <w:i w:val="1"/>
          <w:iCs w:val="1"/>
          <w:color w:val="auto"/>
        </w:rPr>
      </w:pPr>
    </w:p>
    <w:p>
      <w:pPr>
        <w:jc w:val="both"/>
        <w:ind w:left="460" w:hanging="330"/>
        <w:spacing w:after="0" w:line="289"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Fuel Increased Usage by Expanding our Engagement Tools and Offering Platform Pricing. </w:t>
      </w:r>
      <w:r>
        <w:rPr>
          <w:rFonts w:ascii="Arial" w:cs="Arial" w:eastAsia="Arial" w:hAnsi="Arial"/>
          <w:sz w:val="16"/>
          <w:szCs w:val="16"/>
          <w:color w:val="auto"/>
        </w:rPr>
        <w:t>In 2011, we began expanding on our market leading real-time chat messaging product by adding new technologies that augment digital consumer engagement, including targeted content delivery and transcript analytics. In 2014, we introduced LiveEngage, whereby we seamlessly integrated into a single platform an expanded suite of mobile and online business messaging technologies, including traditional desktop chat messaging, mobile chat messaging, content delivery, analytics, cobrowse, PCI, customer sentiment, and mobile messaging via in-app, SMS, browser-based search and Facebook Messenger. LiveEngage delivers rich, contextually aware targeting and personalized experiences across mobile and desktop devices. We also began offering a new platform pricing model, which provides brands access to our entire suite of messaging technologies across their entire agent pool for a pre-negotiated cost per interaction. We believe this model is more attractive and will lead to increased usage versus our historic approach of requiring brands to negotiate each agent seat and product license separately. In late 2016, we began launching product programs designed to promote usage of our broader suite of capabilities for targeted customers.</w:t>
      </w:r>
    </w:p>
    <w:p>
      <w:pPr>
        <w:spacing w:after="0" w:line="58" w:lineRule="exact"/>
        <w:rPr>
          <w:rFonts w:ascii="Arial" w:cs="Arial" w:eastAsia="Arial" w:hAnsi="Arial"/>
          <w:sz w:val="16"/>
          <w:szCs w:val="16"/>
          <w:color w:val="auto"/>
        </w:rPr>
      </w:pPr>
    </w:p>
    <w:p>
      <w:pPr>
        <w:jc w:val="both"/>
        <w:ind w:left="460" w:hanging="330"/>
        <w:spacing w:after="0" w:line="273"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Partners to Enhance our Offering. </w:t>
      </w:r>
      <w:r>
        <w:rPr>
          <w:rFonts w:ascii="Arial" w:cs="Arial" w:eastAsia="Arial" w:hAnsi="Arial"/>
          <w:sz w:val="17"/>
          <w:szCs w:val="17"/>
          <w:color w:val="auto"/>
        </w:rPr>
        <w:t>In addition to developing our own applications, we continue to cultivate a partner eco-system capable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additional applications and services to our customers. For example, in 2015 we integrated LiveEngage with one of the leading consumer messaging platforms and in 2016 we integrated LiveEngage with one of the leading mobile search ad extensions. We have also integrated LiveEngage with several artificial intelligence/bots vendors.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3" w:right="239" w:bottom="1440" w:gutter="0" w:footer="0" w:header="0"/>
        </w:sectPr>
      </w:pPr>
    </w:p>
    <w:bookmarkStart w:id="41" w:name="page42"/>
    <w:bookmarkEnd w:id="41"/>
    <w:p>
      <w:pPr>
        <w:jc w:val="both"/>
        <w:ind w:left="460" w:hanging="330"/>
        <w:spacing w:after="0" w:line="27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rFonts w:ascii="Arial" w:cs="Arial" w:eastAsia="Arial" w:hAnsi="Arial"/>
          <w:sz w:val="17"/>
          <w:szCs w:val="17"/>
          <w:color w:val="auto"/>
        </w:rPr>
      </w:pPr>
    </w:p>
    <w:p>
      <w:pPr>
        <w:jc w:val="both"/>
        <w:ind w:left="460" w:hanging="330"/>
        <w:spacing w:after="0" w:line="25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Presence. </w:t>
      </w:r>
      <w:r>
        <w:rPr>
          <w:rFonts w:ascii="Arial" w:cs="Arial" w:eastAsia="Arial" w:hAnsi="Arial"/>
          <w:sz w:val="18"/>
          <w:szCs w:val="18"/>
          <w:color w:val="auto"/>
        </w:rPr>
        <w:t>LivePerson is focused on expanding its international revenue contribution, which increased to 34% of total revenue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 in 2015, despite approximately $3.5 million of adverse foreign currency exchange impact. LivePerson generated positive results from previous investments in direct sales and services personnel in the United Kingdom and Western Europe. We also continued to focus on expanding our presence in the Asia Pacific region, leveraging our relationships with partners such as NTT Solco, a subsidiary of telecom firm NTT Docomo and Information Services International-Dentsu, Ltd. (ISID).</w:t>
      </w:r>
    </w:p>
    <w:p>
      <w:pPr>
        <w:spacing w:after="0" w:line="80" w:lineRule="exact"/>
        <w:rPr>
          <w:rFonts w:ascii="Arial" w:cs="Arial" w:eastAsia="Arial" w:hAnsi="Arial"/>
          <w:sz w:val="18"/>
          <w:szCs w:val="18"/>
          <w:color w:val="auto"/>
        </w:rPr>
      </w:pPr>
    </w:p>
    <w:p>
      <w:pPr>
        <w:jc w:val="both"/>
        <w:ind w:left="460" w:hanging="330"/>
        <w:spacing w:after="0" w:line="29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 In addition, we continue to develop relationships with the media, industry analysts and relevant business associations to enhance awareness of our leadership within the industry. Our brand name is also visible to both business users and consumers. When a consumer messages a customer care professional on a brand’s website, our brand name is usually displayed on the dialog messaging window. We believe that this high-visibility placement will continue to create brand awareness for our solutions.</w:t>
      </w:r>
    </w:p>
    <w:p>
      <w:pPr>
        <w:spacing w:after="0" w:line="59" w:lineRule="exact"/>
        <w:rPr>
          <w:rFonts w:ascii="Arial" w:cs="Arial" w:eastAsia="Arial" w:hAnsi="Arial"/>
          <w:sz w:val="16"/>
          <w:szCs w:val="16"/>
          <w:color w:val="auto"/>
        </w:rPr>
      </w:pPr>
    </w:p>
    <w:p>
      <w:pPr>
        <w:jc w:val="both"/>
        <w:ind w:left="460" w:hanging="330"/>
        <w:spacing w:after="0" w:line="270"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We believe the introduction of LiveEngage marks the most important product launch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as it empowers brands to deploy messaging at scale for customer care and sales, instead of demanding that consumers use email or call a 1-800 number. Furthermore,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3"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overview of the three and twelve months ended December 31, 2016 compared to the comparable periods in 2015 are as follows:</w:t>
      </w:r>
    </w:p>
    <w:p>
      <w:pPr>
        <w:spacing w:after="0" w:line="129" w:lineRule="exact"/>
        <w:rPr>
          <w:sz w:val="20"/>
          <w:szCs w:val="20"/>
          <w:color w:val="auto"/>
        </w:rPr>
      </w:pPr>
    </w:p>
    <w:p>
      <w:pPr>
        <w:ind w:left="460" w:right="2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decreased 5% and 7% to $56.1 million and $222.8 million in the three and twelve months ended December 31, 2016, respectively, from $59.2 million and $239.0 million in the comparable periods in 2015.</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from our Business segment decreased 6% and 8% to $51.9 million and $206.5 million in the three and twelve months ended December 31, 2016, respectively, from $55.2 million and $223.8 million in the comparable periods in 2015.</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margin increased to 73% and 72% in the three and twelve months ended December 31, 2016 from 70% and 71% in the comparable periods in 2015.</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and expenses increased 4% and decreased 3% to $64.4 million and $242.2 million in the three and twelve months ended December 31, 2016, respectively, from $61.6 million and $249.4 million in the comparable periods in 2015.</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loss decreased to $9.6 million and $25.9 million in the three and twelve months ended December 31, 2016, respectively, from net loss of $20.9 million and $26.4 million for the three and twelve months ended December 31, 2015, respectively.</w:t>
      </w:r>
    </w:p>
    <w:p>
      <w:pPr>
        <w:spacing w:after="0" w:line="62" w:lineRule="exact"/>
        <w:rPr>
          <w:rFonts w:ascii="Arial" w:cs="Arial" w:eastAsia="Arial" w:hAnsi="Arial"/>
          <w:sz w:val="18"/>
          <w:szCs w:val="18"/>
          <w:color w:val="auto"/>
        </w:rPr>
      </w:pPr>
    </w:p>
    <w:p>
      <w:pPr>
        <w:jc w:val="both"/>
        <w:ind w:left="460" w:right="20" w:hanging="330"/>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Trailing-twelve-month average revenue per enterprise and mid-market customer was greater than $200,000 in 2016, as compared to $197,000 in 2015. The trailing-twelve-month revenue figures are pro forma to exclude contributions from a previously disclosed customer contract that ended in the second quarter of 2015.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17" w:right="239" w:bottom="1440" w:gutter="0" w:footer="0" w:header="0"/>
        </w:sectPr>
      </w:pPr>
    </w:p>
    <w:bookmarkStart w:id="42" w:name="page43"/>
    <w:bookmarkEnd w:id="42"/>
    <w:p>
      <w:pPr>
        <w:ind w:left="460" w:hanging="330"/>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83% and 84% over the trailing twelve months ended December 31,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from our Business segment accounted for 93%, 94%, and 92% of total revenue for the year ended December 31, 2016, 2015, and 2014, respectively. Revenue attributable to our monthly hosted Business services accounted for 89% of total Business revenue for the year ended December 31, 2016. Revenue attributable to our monthly hosted Business services accounted for 90% and 89% of total Business revenue for the years ended December 31, 2015 and 2014, respectively.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has typically ranged from 30 to 90 days, it may take more time between contract signing and recognizing revenue in certain situations.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is generated from online transactions between Experts and Users is recognized net of Expert fees and accounted for approximately 7%, 6%, and 8% of total revenue for the years ended December 31, 2016, 2015, and 2014, respectively.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63" w:lineRule="exact"/>
        <w:rPr>
          <w:sz w:val="20"/>
          <w:szCs w:val="20"/>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86" w:lineRule="exact"/>
        <w:rPr>
          <w:rFonts w:ascii="Arial" w:cs="Arial" w:eastAsia="Arial" w:hAnsi="Arial"/>
          <w:sz w:val="16"/>
          <w:szCs w:val="16"/>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the consumer and SMB services; and</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litigation,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2016, we increased our allowance for doubtful accounts from $1.2 million to approximately $1.7 million, principally due to analysis of the accounts receivable aging. During 2015, we decreased our allowance for doubtful accounts by approximately $0.1 million to approximately $1.2 million, principally due to an increase in write-offs compared to 2014. A large proportion of receivables are due from larger corporate customers that typically have longer payment cycles. We base our allowance for doubtful accounts on specifically identified credit risks of customers, historical trends and other information that we believe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color w:val="auto"/>
        </w:rPr>
        <w:t>to be reasonable.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for the years ended December 31, 2016, 2015 and 2014 consist of (amounts in thousands):</w:t>
      </w:r>
    </w:p>
    <w:p>
      <w:pPr>
        <w:spacing w:after="0" w:line="185" w:lineRule="exact"/>
        <w:rPr>
          <w:sz w:val="20"/>
          <w:szCs w:val="20"/>
          <w:color w:val="auto"/>
        </w:rPr>
      </w:pPr>
    </w:p>
    <w:p>
      <w:pPr>
        <w:ind w:left="7900"/>
        <w:spacing w:after="0"/>
        <w:tabs>
          <w:tab w:leader="none" w:pos="9240" w:val="left"/>
          <w:tab w:leader="none" w:pos="106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440" w:val="left"/>
          <w:tab w:leader="none" w:pos="8160" w:val="left"/>
          <w:tab w:leader="none" w:pos="8800" w:val="left"/>
          <w:tab w:leader="none" w:pos="9440" w:val="left"/>
          <w:tab w:leader="none" w:pos="10180" w:val="left"/>
          <w:tab w:leader="none" w:pos="10800" w:val="left"/>
        </w:tabs>
        <w:rPr>
          <w:sz w:val="20"/>
          <w:szCs w:val="20"/>
          <w:color w:val="auto"/>
        </w:rPr>
      </w:pPr>
      <w:r>
        <w:rPr>
          <w:rFonts w:ascii="Arial" w:cs="Arial" w:eastAsia="Arial" w:hAnsi="Arial"/>
          <w:sz w:val="18"/>
          <w:szCs w:val="18"/>
          <w:color w:val="auto"/>
        </w:rPr>
        <w:t>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9,736</w:t>
        <w:tab/>
        <w:t>$</w:t>
      </w:r>
      <w:r>
        <w:rPr>
          <w:sz w:val="20"/>
          <w:szCs w:val="20"/>
          <w:color w:val="auto"/>
        </w:rPr>
        <w:tab/>
      </w:r>
      <w:r>
        <w:rPr>
          <w:rFonts w:ascii="Arial" w:cs="Arial" w:eastAsia="Arial" w:hAnsi="Arial"/>
          <w:sz w:val="18"/>
          <w:szCs w:val="18"/>
          <w:color w:val="auto"/>
        </w:rPr>
        <w:t>11,814</w:t>
        <w:tab/>
        <w:t>$</w:t>
      </w:r>
      <w:r>
        <w:rPr>
          <w:sz w:val="20"/>
          <w:szCs w:val="20"/>
          <w:color w:val="auto"/>
        </w:rPr>
        <w:tab/>
      </w:r>
      <w:r>
        <w:rPr>
          <w:rFonts w:ascii="Arial" w:cs="Arial" w:eastAsia="Arial" w:hAnsi="Arial"/>
          <w:sz w:val="16"/>
          <w:szCs w:val="16"/>
          <w:color w:val="auto"/>
        </w:rPr>
        <w:t>12,306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48895</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is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Experts and Users seeking information and knowledge for a fee via real-time chat.</w:t>
      </w:r>
    </w:p>
    <w:p>
      <w:pPr>
        <w:spacing w:after="0" w:line="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30"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37465</wp:posOffset>
            </wp:positionV>
            <wp:extent cx="2615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98"/>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417"/>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97"/>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17"/>
        </w:trPr>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9"/>
          </w:tcPr>
          <w:p>
            <w:pPr>
              <w:ind w:left="460"/>
              <w:spacing w:after="0"/>
              <w:rPr>
                <w:sz w:val="20"/>
                <w:szCs w:val="20"/>
                <w:color w:val="auto"/>
              </w:rPr>
            </w:pPr>
            <w:r>
              <w:rPr>
                <w:rFonts w:ascii="Arial" w:cs="Arial" w:eastAsia="Arial" w:hAnsi="Arial"/>
                <w:sz w:val="16"/>
                <w:szCs w:val="16"/>
                <w:b w:val="1"/>
                <w:bCs w:val="1"/>
                <w:color w:val="auto"/>
                <w:w w:val="90"/>
              </w:rPr>
              <w:t>(as a percentage of revenue)</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
        </w:trPr>
        <w:tc>
          <w:tcPr>
            <w:tcW w:w="34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3460" w:type="dxa"/>
            <w:vAlign w:val="bottom"/>
            <w:gridSpan w:val="2"/>
            <w:shd w:val="clear" w:color="auto" w:fill="CCFFCC"/>
          </w:tcPr>
          <w:p>
            <w:pPr>
              <w:ind w:left="40"/>
              <w:spacing w:after="0"/>
              <w:rPr>
                <w:sz w:val="20"/>
                <w:szCs w:val="20"/>
                <w:color w:val="auto"/>
              </w:rPr>
            </w:pPr>
            <w:r>
              <w:rPr>
                <w:rFonts w:ascii="Arial" w:cs="Arial" w:eastAsia="Arial" w:hAnsi="Arial"/>
                <w:sz w:val="16"/>
                <w:szCs w:val="16"/>
                <w:b w:val="1"/>
                <w:bCs w:val="1"/>
                <w:color w:val="auto"/>
                <w:w w:val="92"/>
              </w:rPr>
              <w:t xml:space="preserve">Consolidated Statements of Operations Data: </w:t>
            </w:r>
            <w:r>
              <w:rPr>
                <w:rFonts w:ascii="Arial" w:cs="Arial" w:eastAsia="Arial" w:hAnsi="Arial"/>
                <w:sz w:val="21"/>
                <w:szCs w:val="21"/>
                <w:b w:val="1"/>
                <w:bCs w:val="1"/>
                <w:color w:val="auto"/>
                <w:w w:val="92"/>
                <w:vertAlign w:val="superscript"/>
              </w:rPr>
              <w:t>(1)</w:t>
            </w:r>
          </w:p>
        </w:tc>
        <w:tc>
          <w:tcPr>
            <w:tcW w:w="9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44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6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340" w:type="dxa"/>
            <w:vAlign w:val="bottom"/>
          </w:tcPr>
          <w:p>
            <w:pPr>
              <w:spacing w:after="0"/>
              <w:rPr>
                <w:sz w:val="23"/>
                <w:szCs w:val="23"/>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100 %</w:t>
            </w:r>
          </w:p>
        </w:tc>
        <w:tc>
          <w:tcPr>
            <w:tcW w:w="3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80" w:type="dxa"/>
            <w:vAlign w:val="bottom"/>
            <w:tcBorders>
              <w:bottom w:val="single" w:sz="8" w:color="CCFFCC"/>
            </w:tcBorders>
          </w:tcPr>
          <w:p>
            <w:pPr>
              <w:spacing w:after="0"/>
              <w:rPr>
                <w:sz w:val="2"/>
                <w:szCs w:val="2"/>
                <w:color w:val="auto"/>
              </w:rPr>
            </w:pPr>
          </w:p>
        </w:tc>
        <w:tc>
          <w:tcPr>
            <w:tcW w:w="9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0"/>
        </w:trPr>
        <w:tc>
          <w:tcPr>
            <w:tcW w:w="3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Costs and expenses:</w:t>
            </w:r>
          </w:p>
        </w:tc>
        <w:tc>
          <w:tcPr>
            <w:tcW w:w="28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spacing w:after="0"/>
              <w:rPr>
                <w:sz w:val="20"/>
                <w:szCs w:val="20"/>
                <w:color w:val="auto"/>
              </w:rPr>
            </w:pPr>
          </w:p>
        </w:tc>
        <w:tc>
          <w:tcPr>
            <w:tcW w:w="340" w:type="dxa"/>
            <w:vAlign w:val="bottom"/>
          </w:tcPr>
          <w:p>
            <w:pPr>
              <w:spacing w:after="0"/>
              <w:rPr>
                <w:sz w:val="20"/>
                <w:szCs w:val="20"/>
                <w:color w:val="auto"/>
              </w:rPr>
            </w:pPr>
          </w:p>
        </w:tc>
      </w:tr>
      <w:tr>
        <w:trPr>
          <w:trHeight w:val="237"/>
        </w:trPr>
        <w:tc>
          <w:tcPr>
            <w:tcW w:w="3180" w:type="dxa"/>
            <w:vAlign w:val="bottom"/>
          </w:tcPr>
          <w:p>
            <w:pPr>
              <w:ind w:left="20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25 %</w:t>
            </w:r>
          </w:p>
        </w:tc>
        <w:tc>
          <w:tcPr>
            <w:tcW w:w="340" w:type="dxa"/>
            <w:vAlign w:val="bottom"/>
          </w:tcPr>
          <w:p>
            <w:pPr>
              <w:spacing w:after="0"/>
              <w:rPr>
                <w:sz w:val="20"/>
                <w:szCs w:val="20"/>
                <w:color w:val="auto"/>
              </w:rPr>
            </w:pPr>
          </w:p>
        </w:tc>
      </w:tr>
      <w:tr>
        <w:trPr>
          <w:trHeight w:val="33"/>
        </w:trPr>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c>
          <w:tcPr>
            <w:tcW w:w="340" w:type="dxa"/>
            <w:vAlign w:val="bottom"/>
          </w:tcPr>
          <w:p>
            <w:pPr>
              <w:spacing w:after="0"/>
              <w:rPr>
                <w:sz w:val="21"/>
                <w:szCs w:val="21"/>
                <w:color w:val="auto"/>
              </w:rPr>
            </w:pPr>
          </w:p>
        </w:tc>
      </w:tr>
      <w:tr>
        <w:trPr>
          <w:trHeight w:val="237"/>
        </w:trPr>
        <w:tc>
          <w:tcPr>
            <w:tcW w:w="31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19 %</w:t>
            </w:r>
          </w:p>
        </w:tc>
        <w:tc>
          <w:tcPr>
            <w:tcW w:w="340" w:type="dxa"/>
            <w:vAlign w:val="bottom"/>
          </w:tcPr>
          <w:p>
            <w:pPr>
              <w:spacing w:after="0"/>
              <w:rPr>
                <w:sz w:val="20"/>
                <w:szCs w:val="20"/>
                <w:color w:val="auto"/>
              </w:rPr>
            </w:pPr>
          </w:p>
        </w:tc>
      </w:tr>
      <w:tr>
        <w:trPr>
          <w:trHeight w:val="33"/>
        </w:trPr>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Product development</w:t>
            </w:r>
          </w:p>
        </w:tc>
        <w:tc>
          <w:tcPr>
            <w:tcW w:w="2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c>
          <w:tcPr>
            <w:tcW w:w="340" w:type="dxa"/>
            <w:vAlign w:val="bottom"/>
          </w:tcPr>
          <w:p>
            <w:pPr>
              <w:spacing w:after="0"/>
              <w:rPr>
                <w:sz w:val="21"/>
                <w:szCs w:val="21"/>
                <w:color w:val="auto"/>
              </w:rPr>
            </w:pPr>
          </w:p>
        </w:tc>
      </w:tr>
      <w:tr>
        <w:trPr>
          <w:trHeight w:val="243"/>
        </w:trPr>
        <w:tc>
          <w:tcPr>
            <w:tcW w:w="318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 %</w:t>
            </w:r>
          </w:p>
        </w:tc>
      </w:tr>
      <w:tr>
        <w:trPr>
          <w:trHeight w:val="27"/>
        </w:trPr>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3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340" w:type="dxa"/>
            <w:vAlign w:val="bottom"/>
          </w:tcPr>
          <w:p>
            <w:pPr>
              <w:spacing w:after="0"/>
              <w:rPr>
                <w:sz w:val="23"/>
                <w:szCs w:val="23"/>
                <w:color w:val="auto"/>
              </w:rPr>
            </w:pPr>
          </w:p>
        </w:tc>
      </w:tr>
      <w:tr>
        <w:trPr>
          <w:trHeight w:val="217"/>
        </w:trPr>
        <w:tc>
          <w:tcPr>
            <w:tcW w:w="318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102 %</w:t>
            </w:r>
          </w:p>
        </w:tc>
        <w:tc>
          <w:tcPr>
            <w:tcW w:w="340" w:type="dxa"/>
            <w:vAlign w:val="bottom"/>
          </w:tcPr>
          <w:p>
            <w:pPr>
              <w:spacing w:after="0"/>
              <w:rPr>
                <w:sz w:val="18"/>
                <w:szCs w:val="18"/>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80" w:type="dxa"/>
            <w:vAlign w:val="bottom"/>
            <w:tcBorders>
              <w:bottom w:val="single" w:sz="8" w:color="CCFFCC"/>
            </w:tcBorders>
          </w:tcPr>
          <w:p>
            <w:pPr>
              <w:spacing w:after="0"/>
              <w:rPr>
                <w:sz w:val="2"/>
                <w:szCs w:val="2"/>
                <w:color w:val="auto"/>
              </w:rPr>
            </w:pPr>
          </w:p>
        </w:tc>
        <w:tc>
          <w:tcPr>
            <w:tcW w:w="9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0"/>
        </w:trPr>
        <w:tc>
          <w:tcPr>
            <w:tcW w:w="3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from operations</w:t>
            </w:r>
          </w:p>
        </w:tc>
        <w:tc>
          <w:tcPr>
            <w:tcW w:w="28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20"/>
                <w:szCs w:val="20"/>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4"/>
          </w:tcPr>
          <w:p>
            <w:pPr>
              <w:ind w:left="2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0"/>
                <w:szCs w:val="20"/>
                <w:color w:val="auto"/>
              </w:rPr>
            </w:pPr>
          </w:p>
        </w:tc>
        <w:tc>
          <w:tcPr>
            <w:tcW w:w="1220" w:type="dxa"/>
            <w:vAlign w:val="bottom"/>
            <w:gridSpan w:val="4"/>
          </w:tcPr>
          <w:p>
            <w:pPr>
              <w:ind w:left="440"/>
              <w:spacing w:after="0"/>
              <w:rPr>
                <w:sz w:val="20"/>
                <w:szCs w:val="20"/>
                <w:color w:val="auto"/>
              </w:rPr>
            </w:pPr>
            <w:r>
              <w:rPr>
                <w:rFonts w:ascii="Arial" w:cs="Arial" w:eastAsia="Arial" w:hAnsi="Arial"/>
                <w:sz w:val="16"/>
                <w:szCs w:val="16"/>
                <w:color w:val="auto"/>
              </w:rPr>
              <w:t>— %</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 %</w:t>
            </w:r>
          </w:p>
        </w:tc>
      </w:tr>
      <w:tr>
        <w:trPr>
          <w:trHeight w:val="33"/>
        </w:trPr>
        <w:tc>
          <w:tcPr>
            <w:tcW w:w="3180" w:type="dxa"/>
            <w:vAlign w:val="bottom"/>
            <w:tcBorders>
              <w:bottom w:val="single" w:sz="8" w:color="CCFFCC"/>
            </w:tcBorders>
          </w:tcPr>
          <w:p>
            <w:pPr>
              <w:spacing w:after="0"/>
              <w:rPr>
                <w:sz w:val="2"/>
                <w:szCs w:val="2"/>
                <w:color w:val="auto"/>
              </w:rPr>
            </w:pPr>
          </w:p>
        </w:tc>
        <w:tc>
          <w:tcPr>
            <w:tcW w:w="280" w:type="dxa"/>
            <w:vAlign w:val="bottom"/>
            <w:tcBorders>
              <w:bottom w:val="single" w:sz="8" w:color="CCFFCC"/>
            </w:tcBorders>
          </w:tcPr>
          <w:p>
            <w:pPr>
              <w:spacing w:after="0"/>
              <w:rPr>
                <w:sz w:val="2"/>
                <w:szCs w:val="2"/>
                <w:color w:val="auto"/>
              </w:rPr>
            </w:pPr>
          </w:p>
        </w:tc>
        <w:tc>
          <w:tcPr>
            <w:tcW w:w="9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0"/>
        </w:trPr>
        <w:tc>
          <w:tcPr>
            <w:tcW w:w="3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before provision for income taxes</w:t>
            </w:r>
          </w:p>
        </w:tc>
        <w:tc>
          <w:tcPr>
            <w:tcW w:w="28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20"/>
                <w:szCs w:val="20"/>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3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80" w:type="dxa"/>
            <w:vAlign w:val="bottom"/>
            <w:tcBorders>
              <w:bottom w:val="single" w:sz="8" w:color="CCFFCC"/>
            </w:tcBorders>
          </w:tcPr>
          <w:p>
            <w:pPr>
              <w:spacing w:after="0"/>
              <w:rPr>
                <w:sz w:val="2"/>
                <w:szCs w:val="2"/>
                <w:color w:val="auto"/>
              </w:rPr>
            </w:pPr>
          </w:p>
        </w:tc>
        <w:tc>
          <w:tcPr>
            <w:tcW w:w="9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21"/>
                <w:szCs w:val="21"/>
                <w:color w:val="auto"/>
              </w:rPr>
            </w:pPr>
          </w:p>
        </w:tc>
      </w:tr>
      <w:tr>
        <w:trPr>
          <w:trHeight w:val="20"/>
        </w:trPr>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7"/>
        </w:trPr>
        <w:tc>
          <w:tcPr>
            <w:tcW w:w="3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3180" w:type="dxa"/>
            <w:vAlign w:val="bottom"/>
            <w:shd w:val="clear" w:color="auto" w:fill="CCFFCC"/>
          </w:tcPr>
          <w:p>
            <w:pPr>
              <w:ind w:left="40"/>
              <w:spacing w:after="0"/>
              <w:rPr>
                <w:sz w:val="20"/>
                <w:szCs w:val="20"/>
                <w:color w:val="auto"/>
              </w:rPr>
            </w:pPr>
            <w:r>
              <w:rPr>
                <w:rFonts w:ascii="Arial" w:cs="Arial" w:eastAsia="Arial" w:hAnsi="Arial"/>
                <w:sz w:val="21"/>
                <w:szCs w:val="21"/>
                <w:color w:val="auto"/>
                <w:w w:val="93"/>
                <w:vertAlign w:val="superscript"/>
              </w:rPr>
              <w:t>(1)</w:t>
            </w:r>
            <w:r>
              <w:rPr>
                <w:rFonts w:ascii="Arial" w:cs="Arial" w:eastAsia="Arial" w:hAnsi="Arial"/>
                <w:sz w:val="16"/>
                <w:szCs w:val="16"/>
                <w:color w:val="auto"/>
                <w:w w:val="93"/>
              </w:rPr>
              <w:t xml:space="preserve"> Certain items may not total due to rounding.</w:t>
            </w:r>
          </w:p>
        </w:tc>
        <w:tc>
          <w:tcPr>
            <w:tcW w:w="28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44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6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340" w:type="dxa"/>
            <w:vAlign w:val="bottom"/>
          </w:tcPr>
          <w:p>
            <w:pPr>
              <w:spacing w:after="0"/>
              <w:rPr>
                <w:sz w:val="23"/>
                <w:szCs w:val="23"/>
                <w:color w:val="auto"/>
              </w:rPr>
            </w:pPr>
          </w:p>
        </w:tc>
      </w:tr>
      <w:tr>
        <w:trPr>
          <w:trHeight w:val="648"/>
        </w:trPr>
        <w:tc>
          <w:tcPr>
            <w:tcW w:w="31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0"/>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7"/>
              </w:rPr>
              <w:t>Year Ended December 31,</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9"/>
          </w:tcPr>
          <w:p>
            <w:pPr>
              <w:jc w:val="center"/>
              <w:ind w:right="360"/>
              <w:spacing w:after="0"/>
              <w:rPr>
                <w:sz w:val="20"/>
                <w:szCs w:val="20"/>
                <w:color w:val="auto"/>
              </w:rPr>
            </w:pPr>
            <w:r>
              <w:rPr>
                <w:rFonts w:ascii="Arial" w:cs="Arial" w:eastAsia="Arial" w:hAnsi="Arial"/>
                <w:sz w:val="16"/>
                <w:szCs w:val="16"/>
                <w:b w:val="1"/>
                <w:bCs w:val="1"/>
                <w:color w:val="auto"/>
                <w:w w:val="91"/>
              </w:rPr>
              <w:t>Year Ended December 31,</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1480" w:type="dxa"/>
            <w:vAlign w:val="bottom"/>
            <w:gridSpan w:val="3"/>
          </w:tcPr>
          <w:p>
            <w:pPr>
              <w:ind w:left="320"/>
              <w:spacing w:after="0"/>
              <w:rPr>
                <w:sz w:val="20"/>
                <w:szCs w:val="20"/>
                <w:color w:val="auto"/>
              </w:rPr>
            </w:pPr>
            <w:r>
              <w:rPr>
                <w:rFonts w:ascii="Arial" w:cs="Arial" w:eastAsia="Arial" w:hAnsi="Arial"/>
                <w:sz w:val="16"/>
                <w:szCs w:val="16"/>
                <w:b w:val="1"/>
                <w:bCs w:val="1"/>
                <w:color w:val="auto"/>
              </w:rPr>
              <w:t>% Change</w:t>
            </w:r>
          </w:p>
        </w:tc>
        <w:tc>
          <w:tcPr>
            <w:tcW w:w="260" w:type="dxa"/>
            <w:vAlign w:val="bottom"/>
          </w:tcPr>
          <w:p>
            <w:pPr>
              <w:spacing w:after="0"/>
              <w:rPr>
                <w:sz w:val="20"/>
                <w:szCs w:val="20"/>
                <w:color w:val="auto"/>
              </w:rPr>
            </w:pPr>
          </w:p>
        </w:tc>
        <w:tc>
          <w:tcPr>
            <w:tcW w:w="640" w:type="dxa"/>
            <w:vAlign w:val="bottom"/>
          </w:tcPr>
          <w:p>
            <w:pPr>
              <w:jc w:val="right"/>
              <w:ind w:right="3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17"/>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8"/>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8"/>
              </w:rPr>
              <w:t>(in thousands)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80" w:type="dxa"/>
            <w:vAlign w:val="bottom"/>
            <w:tcBorders>
              <w:bottom w:val="single" w:sz="8" w:color="CCFFCC"/>
            </w:tcBorders>
          </w:tcPr>
          <w:p>
            <w:pPr>
              <w:spacing w:after="0"/>
              <w:rPr>
                <w:sz w:val="2"/>
                <w:szCs w:val="2"/>
                <w:color w:val="auto"/>
              </w:rPr>
            </w:pPr>
          </w:p>
        </w:tc>
        <w:tc>
          <w:tcPr>
            <w:tcW w:w="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2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 by Segment:</w:t>
            </w:r>
          </w:p>
        </w:tc>
        <w:tc>
          <w:tcPr>
            <w:tcW w:w="2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Business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206,521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223,803</w:t>
            </w:r>
          </w:p>
        </w:tc>
        <w:tc>
          <w:tcPr>
            <w:tcW w:w="10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223,803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193,302</w:t>
            </w:r>
          </w:p>
        </w:tc>
        <w:tc>
          <w:tcPr>
            <w:tcW w:w="1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r>
      <w:tr>
        <w:trPr>
          <w:trHeight w:val="27"/>
        </w:trPr>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70"/>
        </w:trPr>
        <w:tc>
          <w:tcPr>
            <w:tcW w:w="31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16,258</w:t>
            </w:r>
          </w:p>
        </w:tc>
        <w:tc>
          <w:tcPr>
            <w:tcW w:w="1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15,209</w:t>
            </w:r>
          </w:p>
        </w:tc>
        <w:tc>
          <w:tcPr>
            <w:tcW w:w="10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15,209</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16,629</w:t>
            </w:r>
          </w:p>
        </w:tc>
        <w:tc>
          <w:tcPr>
            <w:tcW w:w="1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w:t>
            </w:r>
          </w:p>
        </w:tc>
      </w:tr>
      <w:tr>
        <w:trPr>
          <w:trHeight w:val="257"/>
        </w:trPr>
        <w:tc>
          <w:tcPr>
            <w:tcW w:w="318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222,779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239,012</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239,012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209,931</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14 %</w:t>
            </w:r>
          </w:p>
        </w:tc>
      </w:tr>
      <w:tr>
        <w:trPr>
          <w:trHeight w:val="20"/>
        </w:trPr>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54"/>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44" w:name="page45"/>
    <w:bookmarkEnd w:id="44"/>
    <w:p>
      <w:pPr>
        <w:jc w:val="both"/>
        <w:ind w:firstLine="648"/>
        <w:spacing w:after="0" w:line="287" w:lineRule="auto"/>
        <w:rPr>
          <w:sz w:val="20"/>
          <w:szCs w:val="20"/>
          <w:color w:val="auto"/>
        </w:rPr>
      </w:pPr>
      <w:r>
        <w:rPr>
          <w:rFonts w:ascii="Arial" w:cs="Arial" w:eastAsia="Arial" w:hAnsi="Arial"/>
          <w:sz w:val="16"/>
          <w:szCs w:val="16"/>
          <w:color w:val="auto"/>
        </w:rPr>
        <w:t>Our business revenue growth has traditionally been driven by a mix of revenue from new customers as well as expansion from existing customers. Business revenue decreased by 8% to $206.5 million for the year ended December 31, 2016, from $223.8 million for the year ended December 31, 2015. This decrease is primarily attributable to revenue from existing customers of approximately $22.5 million, net of cancellations, and revenue that is variable based on interactions and usage in the amount of $5.3 million. This is partially offset by increases in revenue from new customers of approximately $10.0 million and from professional services of approximately $0.5 million. Overall decrease in business revenue is primarily attributable to delays in anticipated upsells and in increases in cancellations from existing customers. This is a reflection of the rapid pace of migrations from our old platform to LiveEngage, and the migration commitments we have seen in recent months, as customers typically prefer to complete upgrades before expanding services. Additionally, there was also a foreign exchange impact primarily tied to the British pound. Business revenue increased by 16% to $223.8 million for the year ended December 31, 2015, from $193.3 million for the year ended December 31, 2014. The increase is primarily attributable to revenue from new customers of approximately $33.7 million, revenue that is variable based on interactions and usage in the amount of $5.4 million and revenue from professional services of approximately $2.6 million; offset in part by a decrease in revenue from existing customers in the amount of approximately $11.2 million, net of cancellations.</w:t>
      </w:r>
    </w:p>
    <w:p>
      <w:pPr>
        <w:spacing w:after="0" w:line="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Consumer revenue increased by 7% to $16.3 million for the year ended December 31, 2016, from the year ended December 31, 2015. This increase is primarily attributable to an increase in chat minutes, along with an increase in gross fees and a decrease in fees we charge experts. Consumer revenue decreased by 9% to $15.2 million for the year ended December 31, 2015, from the year ended December 31, 2014. This decrease is primarily attributable to decrease in chat minutes partially offset by an increase in fees we charge experts.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 of revenue consists of compensation costs relating to employees who provide customer service to our customers, compensation costs relating to our network support staff, the cost of supporting our server and network infrastructure, and allocated occupancy costs and related overhead.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6"/>
              </w:rPr>
              <w:t>Year Ended 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2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44"/>
        </w:trPr>
        <w:tc>
          <w:tcPr>
            <w:tcW w:w="3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60,352</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67,901</w:t>
            </w:r>
          </w:p>
        </w:tc>
        <w:tc>
          <w:tcPr>
            <w:tcW w:w="1760" w:type="dxa"/>
            <w:vAlign w:val="bottom"/>
            <w:tcBorders>
              <w:bottom w:val="single" w:sz="8" w:color="CCFFCC"/>
            </w:tcBorders>
            <w:gridSpan w:val="4"/>
            <w:shd w:val="clear" w:color="auto" w:fill="CCFFCC"/>
          </w:tcPr>
          <w:p>
            <w:pPr>
              <w:ind w:left="940"/>
              <w:spacing w:after="0"/>
              <w:rPr>
                <w:sz w:val="20"/>
                <w:szCs w:val="20"/>
                <w:color w:val="auto"/>
              </w:rPr>
            </w:pPr>
            <w:r>
              <w:rPr>
                <w:rFonts w:ascii="Arial" w:cs="Arial" w:eastAsia="Arial" w:hAnsi="Arial"/>
                <w:sz w:val="18"/>
                <w:szCs w:val="18"/>
                <w:color w:val="auto"/>
              </w:rPr>
              <w:t>(11)%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67,901</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50,192</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286</w:t>
            </w:r>
          </w:p>
        </w:tc>
        <w:tc>
          <w:tcPr>
            <w:tcW w:w="142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w w:val="95"/>
              </w:rPr>
              <w:t>(17)%</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301</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2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Cost of revenue decreased by 11% to $60.4 million in 2016, from $67.9 million in 2015. This decrease in expense is primarily attributable to a decrease in salary and related employee expenses of approximately $1.6 million, a decrease in business services and outsourced subcontracted labor of approximately $4.8 million, and a decrease in depreciation and amortization of fixed assets of approximately $1.5 million. The decrease in cost of revenue was tied to our ability to operationalize cost savings by moving brands off legacy platform and realigning our go-to-market strategy around LiveEngage.</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revenue increased by 35% to $67.9 million in 2015, from $50.2 million in 2014. This increase in expense is primarily attributable to an increase in outside labor provider fees of approximately $11.0 million, an increase in primary and backup server facilities and allocated overhead related to costs of supporting our server and network infrastructure of approximately $2.5 million, an increase in depreciation of fixed assets of approximately $2.4 million, and an increase in total compensation and related costs for additional and existing customer service and network operations personnel in the amount of approximately $1.5 million. This increase in cost of revenue was driven primarily by increased investment in enhancing our business continuity capabilities at our hosting facilities. Additionally, data collection and storage costs have increased in support of expanded scope and quality of the analytical reporting to our customers.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5" w:name="page46"/>
    <w:bookmarkEnd w:id="45"/>
    <w:tbl>
      <w:tblPr>
        <w:tblLayout w:type="fixed"/>
        <w:tblInd w:w="1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Cost of revenue - Consumer</w:t>
            </w:r>
          </w:p>
        </w:tc>
        <w:tc>
          <w:tcPr>
            <w:tcW w:w="26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2,809</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2,409</w:t>
            </w:r>
          </w:p>
        </w:tc>
        <w:tc>
          <w:tcPr>
            <w:tcW w:w="1720" w:type="dxa"/>
            <w:vAlign w:val="bottom"/>
            <w:tcBorders>
              <w:bottom w:val="single" w:sz="8" w:color="CCFFCC"/>
            </w:tcBorders>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17 %  $</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2,409</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2,511</w:t>
            </w:r>
          </w:p>
        </w:tc>
        <w:tc>
          <w:tcPr>
            <w:tcW w:w="14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20" w:type="dxa"/>
            <w:vAlign w:val="bottom"/>
            <w:shd w:val="clear" w:color="auto" w:fill="CCFFCC"/>
          </w:tcPr>
          <w:p>
            <w:pPr>
              <w:jc w:val="right"/>
              <w:ind w:right="134"/>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32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revenue increased by 17% to $2.8 million in 2016, from $2.4 million in 2015. This is primarily attributable to an increase in backup server facilities of approximately $0.6 million, an increase in business services and outsourced labor of approximately $0.2 million, an increase in depreciation of approximately $0.2 million, and an increase of credit card processing fees of approximately $0.2 million. This is partially offset by a decrease in salary of approximately $0.8 million. Cost of revenue remained relatively flat for the years ended December 31, 2015 and 2014.</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6"/>
              </w:rPr>
              <w:t>Year Ended 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2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44"/>
        </w:trPr>
        <w:tc>
          <w:tcPr>
            <w:tcW w:w="3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82,063</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87,975</w:t>
            </w:r>
          </w:p>
        </w:tc>
        <w:tc>
          <w:tcPr>
            <w:tcW w:w="1760" w:type="dxa"/>
            <w:vAlign w:val="bottom"/>
            <w:tcBorders>
              <w:bottom w:val="single" w:sz="8" w:color="CCFFCC"/>
            </w:tcBorders>
            <w:gridSpan w:val="4"/>
            <w:shd w:val="clear" w:color="auto" w:fill="CCFFCC"/>
          </w:tcPr>
          <w:p>
            <w:pPr>
              <w:ind w:left="1020"/>
              <w:spacing w:after="0"/>
              <w:rPr>
                <w:sz w:val="20"/>
                <w:szCs w:val="20"/>
                <w:color w:val="auto"/>
              </w:rPr>
            </w:pPr>
            <w:r>
              <w:rPr>
                <w:rFonts w:ascii="Arial" w:cs="Arial" w:eastAsia="Arial" w:hAnsi="Arial"/>
                <w:sz w:val="18"/>
                <w:szCs w:val="18"/>
                <w:color w:val="auto"/>
              </w:rPr>
              <w:t>(7)%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87,975</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77,118</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310</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324</w:t>
            </w:r>
          </w:p>
        </w:tc>
        <w:tc>
          <w:tcPr>
            <w:tcW w:w="1420" w:type="dxa"/>
            <w:vAlign w:val="bottom"/>
            <w:gridSpan w:val="2"/>
            <w:shd w:val="clear" w:color="auto" w:fill="CCFFCC"/>
          </w:tcPr>
          <w:p>
            <w:pPr>
              <w:ind w:left="102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355</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2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Sales and marketing expenses decreased by 7% to $82.1 million in 2016, from $88.0 million in 2015. This decrease is primarily attributable to a decrease in salary and related employee expenses of approximately $7.1 million and a decrease in marketing expenses of approximately $1.1 million. This is partially offset by an increase in business services and outsourced labor of approximately $3.0 million. The decrease in sales and marketing expenses is part of the realignment on our go-to-market strategy around LiveEngage in 2016. Our outreach efforts are primarily focused on a few hundred of the world's largest brands. This approach enables LivePerson to run a leaner, nimbler field organization.</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Sales and marketing expenses increased by 14% to $88.0 million in 2015, from $77.1 million in 2014. This increase is primarily attributable to an increase in compensation and related costs for additional and existing sales and marketing personnel of approximately $5.8 million, an increase in allocated occupancy costs and related overhead in the amount of approximately $3.3 million, and an increase in advertising, public relations and trade show exhibit expenses of approximately $0.6 million. The increase relates to our continued investment in our marketing and sales capabilities. The increase in expense as compared to our revenue growth is primarily related to the investment in our global sales team, global expansion and continuing advertising of the LiveEngage product. The increase also relates to our continued efforts to enhance our brand recognition and increase sales lead activity.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and trade show exhibit expenses and allocated occupancy costs and related overhead.</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65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Sales and Marketing - Consumer</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7,466</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6,753</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6,753</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6,135</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1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11% to $7.5 million in 2016, from $6.8 million in 2015. This increase is primarily attributable to an increase in advertising and online expenses of approximately $0.7 million.</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10% to $6.8 million in 2015, from $6.1 million in 2014. This increase is primarily attributable to an increase in advertising and online expenses of approximately $0.3 million and an increase in compensation and related costs for additional and existing sales and marketing personnel of approximately $0.3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44"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human resources and administrative personnel, professional fees and other general corporate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8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r>
      <w:tr>
        <w:trPr>
          <w:trHeight w:val="244"/>
        </w:trPr>
        <w:tc>
          <w:tcPr>
            <w:tcW w:w="3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43,046</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37,171</w:t>
            </w:r>
          </w:p>
        </w:tc>
        <w:tc>
          <w:tcPr>
            <w:tcW w:w="178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16 %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37,171</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40,192</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28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2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34"/>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115</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125</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28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General and administrative expenses increased by 16% to $43.0 million in 2016, from $37.2 million in 2015. This increase is primarily attributable to an increase in allocated occupancy costs, related overhead, information technology and other general corporate expenses of approximately $5.0 million. Furthermore, there were litigation costs of $4.7 million and a write off of technology licenses of $2.6 million in 2016. This is partially offset by a decrease in business services and outsourced labor of approximately $4.1 million and a decrease in salary and related employee expenses of approximately $2.2 million.</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decreased by 8% to $37.2 million in 2015, from $40.2 million in 2014. This decrease is primarily attributable to a decrease in allocated occupancy costs, related overhead, and other general corporate expenses in the amount of approximately $7.2 million. This is partially offset by increases in salary and related employee expenses of $2.6 million, outsourcing and other business services expenses of $0.8 million, and information technology expenses of $0.8 million.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as well as allocated occupancy costs and related overhead and outsourced labor and expenses for testing new versions of our software.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80" w:type="dxa"/>
            <w:vAlign w:val="bottom"/>
          </w:tcPr>
          <w:p>
            <w:pPr>
              <w:jc w:val="right"/>
              <w:ind w:right="19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3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40,198</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38,974</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38,974</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37,329</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3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28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253</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Product development costs increased by 3% to $40.2 million in 2016, from $39.0 million in 2015. This increase is primarily attributable to an increase in compensation and related costs for additional and existing product development personnel of approximately $1.2 million as a result of our increased efforts to expand our product offerings and an increase in allocated occupancy costs and related overhead in the amount of approximately $0.6 million. We are increasing our investment in new product development efforts to expand future product offerings. We are also investing in partner programs that enable third-parties to develop value-added software applications for our existing and future customers.</w:t>
      </w:r>
    </w:p>
    <w:p>
      <w:pPr>
        <w:spacing w:after="0" w:line="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 development costs increased by 4% to $39.0 million in 2015, from $37.3 million in 2014. This increase is primarily attributable to an increase in compensation and related costs for additional and existing product development personnel of approximately $0.9 million as a result of our increased efforts to expand our product offerings and an increase in outsourced labor expense of approximately $0.4 million. We are increasing our investment in new product development efforts to expand future product offerings. We are also investing in partner programs that enable third-parties to develop value-added software applications for our existing and future customers.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center"/>
              <w:ind w:left="55"/>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2015</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center"/>
              <w:ind w:left="55"/>
              <w:spacing w:after="0"/>
              <w:rPr>
                <w:sz w:val="20"/>
                <w:szCs w:val="20"/>
                <w:color w:val="auto"/>
              </w:rPr>
            </w:pPr>
            <w:r>
              <w:rPr>
                <w:rFonts w:ascii="Arial" w:cs="Arial" w:eastAsia="Arial" w:hAnsi="Arial"/>
                <w:sz w:val="16"/>
                <w:szCs w:val="16"/>
                <w:b w:val="1"/>
                <w:bCs w:val="1"/>
                <w:color w:val="auto"/>
                <w:w w:val="90"/>
              </w:rPr>
              <w:t>($ in thousands)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3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r>
      <w:tr>
        <w:trPr>
          <w:trHeight w:val="244"/>
        </w:trPr>
        <w:tc>
          <w:tcPr>
            <w:tcW w:w="3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5"/>
              <w:spacing w:after="0"/>
              <w:rPr>
                <w:sz w:val="20"/>
                <w:szCs w:val="20"/>
                <w:color w:val="auto"/>
              </w:rPr>
            </w:pPr>
            <w:r>
              <w:rPr>
                <w:rFonts w:ascii="Arial" w:cs="Arial" w:eastAsia="Arial" w:hAnsi="Arial"/>
                <w:sz w:val="18"/>
                <w:szCs w:val="18"/>
                <w:color w:val="auto"/>
              </w:rPr>
              <w:t>2,369</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3,384</w:t>
            </w:r>
          </w:p>
        </w:tc>
        <w:tc>
          <w:tcPr>
            <w:tcW w:w="1740" w:type="dxa"/>
            <w:vAlign w:val="bottom"/>
            <w:tcBorders>
              <w:bottom w:val="single" w:sz="8" w:color="CCFFCC"/>
            </w:tcBorders>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(30)%  $</w:t>
            </w:r>
          </w:p>
        </w:tc>
        <w:tc>
          <w:tcPr>
            <w:tcW w:w="106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3,384</w:t>
            </w:r>
          </w:p>
        </w:tc>
        <w:tc>
          <w:tcPr>
            <w:tcW w:w="920" w:type="dxa"/>
            <w:vAlign w:val="bottom"/>
            <w:tcBorders>
              <w:bottom w:val="single" w:sz="8" w:color="CCFFCC"/>
            </w:tcBorders>
            <w:shd w:val="clear" w:color="auto" w:fill="CCFFCC"/>
          </w:tcPr>
          <w:p>
            <w:pPr>
              <w:jc w:val="right"/>
              <w:ind w:right="6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 incurred $2.4 million of restructuring costs in 2016. Restructuring costs were due to approximately $1.6 million of severance and other associated costs and approximately $1.2 million of wind down costs related to shutting down the legacy platform. This was partially offset by a benefit of $0.4 million of cash collected on previously written off bad debt for the year ended December 31, 2016.</w:t>
      </w:r>
    </w:p>
    <w:p>
      <w:pPr>
        <w:spacing w:after="0" w:line="73" w:lineRule="exact"/>
        <w:rPr>
          <w:sz w:val="20"/>
          <w:szCs w:val="20"/>
          <w:color w:val="auto"/>
        </w:rPr>
      </w:pPr>
    </w:p>
    <w:p>
      <w:pPr>
        <w:jc w:val="both"/>
        <w:ind w:right="20" w:firstLine="270"/>
        <w:spacing w:after="0" w:line="342" w:lineRule="auto"/>
        <w:rPr>
          <w:sz w:val="20"/>
          <w:szCs w:val="20"/>
          <w:color w:val="auto"/>
        </w:rPr>
      </w:pPr>
      <w:r>
        <w:rPr>
          <w:rFonts w:ascii="Arial" w:cs="Arial" w:eastAsia="Arial" w:hAnsi="Arial"/>
          <w:sz w:val="16"/>
          <w:szCs w:val="16"/>
          <w:color w:val="auto"/>
        </w:rPr>
        <w:t>We incurred $3.4 million of restructuring costs in 2015. Restructuring costs were due to approximately $1.7 million of termination costs primarily due to outside labor provider fees associated with a large customer contract that ended, and approximately $1.7 million of severance and other associated costs.</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55"/>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41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3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r>
      <w:tr>
        <w:trPr>
          <w:trHeight w:val="244"/>
        </w:trPr>
        <w:tc>
          <w:tcPr>
            <w:tcW w:w="3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3,885</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rPr>
              <w:t>4,873</w:t>
            </w:r>
          </w:p>
        </w:tc>
        <w:tc>
          <w:tcPr>
            <w:tcW w:w="1720" w:type="dxa"/>
            <w:vAlign w:val="bottom"/>
            <w:tcBorders>
              <w:bottom w:val="single" w:sz="8" w:color="CCFFCC"/>
            </w:tcBorders>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(20)%  $</w:t>
            </w:r>
          </w:p>
        </w:tc>
        <w:tc>
          <w:tcPr>
            <w:tcW w:w="106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4,873</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rPr>
              <w:t>1,621</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Amortization expense for purchased intangibles decreased by 20% to $3.9 million in 2016, from $4.9 million in 2015 and increased by 201% to $4.9 million in 2015, from $1.6 million in 2014. The variance in 2016 was primarily attributable the decrease in amortization of Engage and Look.Io of approximately $0.4 million and the decrease in CAO intangible assets of approximately $0.6 million. The variance in 2015 was primarily attributable to our 2014 acquisitions of CAO!, Synchronite, NexGraph, and our investments in technology licenses. Additional amortization expense in the amount of $2.8 million, $3.2 million, and $3.5 million was included in cost of revenue for the years ended December 31, 2016, 2015 and 2014, respectively.</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primarily consists of interest income on cash and cash equivalents, investment income and financial (expense) income which is a result of currency rate fluctuations associated with exchange rate movement of the U.S. dollar against the New Israeli Shekel, Pound Sterling, Japanese Yen, AUS dollar and the Euro.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7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417"/>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417"/>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90"/>
              </w:rPr>
              <w:t>($ in thousands)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4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37"/>
        </w:trPr>
        <w:tc>
          <w:tcPr>
            <w:tcW w:w="3440" w:type="dxa"/>
            <w:vAlign w:val="bottom"/>
            <w:shd w:val="clear" w:color="auto" w:fill="CCFFCC"/>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168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162%  $</w:t>
            </w:r>
          </w:p>
        </w:tc>
        <w:tc>
          <w:tcPr>
            <w:tcW w:w="102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4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expense increased $0.3 million in 2016 compared to 2015.</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 income decreased by $0.7 million in 2015 compared to 2014 primarily due to a decrease in income earned on the investment in technology licenses purchased during 2014. Financial income increased $0.6 million in 2015 compared to 2014.</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7"/>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337"/>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0"/>
              </w:rPr>
              <w:t>($ in thousands)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0"/>
              </w:rPr>
              <w:t>($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388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r>
      <w:tr>
        <w:trPr>
          <w:trHeight w:val="237"/>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5,934</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15,814</w:t>
            </w:r>
          </w:p>
        </w:tc>
        <w:tc>
          <w:tcPr>
            <w:tcW w:w="168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(62)%  $</w:t>
            </w:r>
          </w:p>
        </w:tc>
        <w:tc>
          <w:tcPr>
            <w:tcW w:w="94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15,814</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1,859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38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Income tax expense decreased $9.9 million resulting in a tax expense of $5.9 million for the year ended December 31, 2016, compared to $15.8 million for the year ended December 31, 2015. Our consolidated effective tax rate was impacted by the statutory income tax rates applicable to each of the jurisdictions in which we operate. The decrease was a result of the valuation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allowance established in 2015 for a significant portion of our deferred tax asset on our balance sheet as it was determined to be more likely than not that we would not realize a portion of our deferred tax asset.</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Income tax expense increased $14.0 million resulting in a tax expense of $15.8 million for the year ended December 31, 2015, compared to $1.9 million for the year ended December 31, 2014. Our consolidated effective tax rate was impacted by the statutory income tax rates applicable to each of the jurisdictions in which we operate. The increase was a result of a valuation allowance established for a significant portion of our deferred tax asset on our balance sheet as it was determined to be more likely than not that we would not realize a portion of our deferred tax asset.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a net loss of $25.9 million in 2016 compared to a net loss of $26.4 million in 2015. Revenue decreased approximately $16.2 million while operating expenses decreased by approximately $7.3 million, the provision for income taxes decreased approximately $9.9 million, and other expense increased by $0.3 million, contributing to a net decrease in net loss of approximately $0.6 million.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a net loss of $26.4 million in 2015 compared to a net loss of $7.3 million in 2014. Revenue increased approximately $29.1 million while operating expenses increased by approximately $34.3 million and the provision for (benefit from) income taxes increased approximately $14.0 million contributing to a net increase in net loss of approximately $19.1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for the periods indicated, the Company’s financial information for the eight most recent quarters ended December 31, 2016.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 This information should be read in conjunction with the consolidated financial statements, including the related notes, included herein.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89"/>
              </w:rPr>
              <w:t>For the Three Months Ended</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53"/>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3"/>
                <w:szCs w:val="13"/>
                <w:color w:val="auto"/>
              </w:rPr>
            </w:pPr>
          </w:p>
        </w:tc>
        <w:tc>
          <w:tcPr>
            <w:tcW w:w="8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3"/>
                <w:szCs w:val="13"/>
                <w:color w:val="auto"/>
              </w:rPr>
            </w:pPr>
          </w:p>
        </w:tc>
        <w:tc>
          <w:tcPr>
            <w:tcW w:w="8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3"/>
                <w:szCs w:val="13"/>
                <w:color w:val="auto"/>
              </w:rPr>
            </w:pPr>
          </w:p>
        </w:tc>
        <w:tc>
          <w:tcPr>
            <w:tcW w:w="70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w w:val="93"/>
              </w:rPr>
              <w:t>Sept.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3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r>
      <w:tr>
        <w:trPr>
          <w:trHeight w:val="248"/>
        </w:trPr>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10"/>
          </w:tcPr>
          <w:p>
            <w:pPr>
              <w:jc w:val="center"/>
              <w:ind w:left="56"/>
              <w:spacing w:after="0"/>
              <w:rPr>
                <w:sz w:val="20"/>
                <w:szCs w:val="20"/>
                <w:color w:val="auto"/>
              </w:rPr>
            </w:pPr>
            <w:r>
              <w:rPr>
                <w:rFonts w:ascii="Arial" w:cs="Arial" w:eastAsia="Arial" w:hAnsi="Arial"/>
                <w:sz w:val="13"/>
                <w:szCs w:val="13"/>
                <w:b w:val="1"/>
                <w:bCs w:val="1"/>
                <w:color w:val="auto"/>
                <w:w w:val="85"/>
              </w:rPr>
              <w:t>(in thousands, except share and per share data)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2"/>
        </w:trPr>
        <w:tc>
          <w:tcPr>
            <w:tcW w:w="3780" w:type="dxa"/>
            <w:vAlign w:val="bottom"/>
            <w:shd w:val="clear" w:color="auto" w:fill="CCFFCC"/>
          </w:tcPr>
          <w:p>
            <w:pPr>
              <w:ind w:left="40"/>
              <w:spacing w:after="0"/>
              <w:rPr>
                <w:sz w:val="20"/>
                <w:szCs w:val="20"/>
                <w:color w:val="auto"/>
              </w:rPr>
            </w:pPr>
            <w:r>
              <w:rPr>
                <w:rFonts w:ascii="Arial" w:cs="Arial" w:eastAsia="Arial" w:hAnsi="Arial"/>
                <w:sz w:val="13"/>
                <w:szCs w:val="13"/>
                <w:b w:val="1"/>
                <w:bCs w:val="1"/>
                <w:color w:val="auto"/>
              </w:rPr>
              <w:t>Consolidated Statements of Operations Data:</w:t>
            </w: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r>
      <w:tr>
        <w:trPr>
          <w:trHeight w:val="250"/>
        </w:trPr>
        <w:tc>
          <w:tcPr>
            <w:tcW w:w="378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56,118</w:t>
            </w:r>
          </w:p>
        </w:tc>
        <w:tc>
          <w:tcPr>
            <w:tcW w:w="1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54,518</w:t>
            </w:r>
          </w:p>
        </w:tc>
        <w:tc>
          <w:tcPr>
            <w:tcW w:w="1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56,679</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55,464</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59,151</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60,757</w:t>
            </w:r>
          </w:p>
        </w:tc>
        <w:tc>
          <w:tcPr>
            <w:tcW w:w="2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59,334</w:t>
            </w:r>
          </w:p>
        </w:tc>
        <w:tc>
          <w:tcPr>
            <w:tcW w:w="2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59,770</w:t>
            </w:r>
          </w:p>
        </w:tc>
      </w:tr>
      <w:tr>
        <w:trPr>
          <w:trHeight w:val="284"/>
        </w:trPr>
        <w:tc>
          <w:tcPr>
            <w:tcW w:w="37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8"/>
        </w:trPr>
        <w:tc>
          <w:tcPr>
            <w:tcW w:w="37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Cost of revenue</w:t>
            </w: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14,952</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14,837</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17,508</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15,864</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17,779</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18,225</w:t>
            </w:r>
          </w:p>
        </w:tc>
        <w:tc>
          <w:tcPr>
            <w:tcW w:w="200" w:type="dxa"/>
            <w:vAlign w:val="bottom"/>
            <w:shd w:val="clear" w:color="auto" w:fill="CCFFCC"/>
          </w:tcPr>
          <w:p>
            <w:pPr>
              <w:jc w:val="right"/>
              <w:ind w:right="35"/>
              <w:spacing w:after="0"/>
              <w:rPr>
                <w:sz w:val="20"/>
                <w:szCs w:val="20"/>
                <w:color w:val="auto"/>
              </w:rPr>
            </w:pPr>
            <w:r>
              <w:rPr>
                <w:rFonts w:ascii="Arial" w:cs="Arial" w:eastAsia="Arial" w:hAnsi="Arial"/>
                <w:sz w:val="9"/>
                <w:szCs w:val="9"/>
                <w:color w:val="auto"/>
                <w:w w:val="90"/>
              </w:rPr>
              <w:t>(1)</w:t>
            </w: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18,052</w:t>
            </w:r>
          </w:p>
        </w:tc>
        <w:tc>
          <w:tcPr>
            <w:tcW w:w="200" w:type="dxa"/>
            <w:vAlign w:val="bottom"/>
            <w:shd w:val="clear" w:color="auto" w:fill="CCFFCC"/>
          </w:tcPr>
          <w:p>
            <w:pPr>
              <w:jc w:val="right"/>
              <w:ind w:right="35"/>
              <w:spacing w:after="0"/>
              <w:rPr>
                <w:sz w:val="20"/>
                <w:szCs w:val="20"/>
                <w:color w:val="auto"/>
              </w:rPr>
            </w:pPr>
            <w:r>
              <w:rPr>
                <w:rFonts w:ascii="Arial" w:cs="Arial" w:eastAsia="Arial" w:hAnsi="Arial"/>
                <w:sz w:val="9"/>
                <w:szCs w:val="9"/>
                <w:color w:val="auto"/>
                <w:w w:val="90"/>
              </w:rPr>
              <w:t>(1)</w:t>
            </w: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16,254</w:t>
            </w:r>
          </w:p>
        </w:tc>
      </w:tr>
      <w:tr>
        <w:trPr>
          <w:trHeight w:val="262"/>
        </w:trPr>
        <w:tc>
          <w:tcPr>
            <w:tcW w:w="378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21,698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22,067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23,088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22,676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22,766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23,286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24,382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24,294</w:t>
            </w:r>
          </w:p>
        </w:tc>
      </w:tr>
      <w:tr>
        <w:trPr>
          <w:trHeight w:val="278"/>
        </w:trPr>
        <w:tc>
          <w:tcPr>
            <w:tcW w:w="37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13,287</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10,069</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10,161</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9,529</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10,014</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6,587</w:t>
            </w:r>
          </w:p>
        </w:tc>
        <w:tc>
          <w:tcPr>
            <w:tcW w:w="200" w:type="dxa"/>
            <w:vAlign w:val="bottom"/>
            <w:shd w:val="clear" w:color="auto" w:fill="CCFFCC"/>
          </w:tcPr>
          <w:p>
            <w:pPr>
              <w:jc w:val="right"/>
              <w:ind w:right="35"/>
              <w:spacing w:after="0"/>
              <w:rPr>
                <w:sz w:val="20"/>
                <w:szCs w:val="20"/>
                <w:color w:val="auto"/>
              </w:rPr>
            </w:pPr>
            <w:r>
              <w:rPr>
                <w:rFonts w:ascii="Arial" w:cs="Arial" w:eastAsia="Arial" w:hAnsi="Arial"/>
                <w:sz w:val="9"/>
                <w:szCs w:val="9"/>
                <w:color w:val="auto"/>
                <w:w w:val="90"/>
              </w:rPr>
              <w:t>(1)</w:t>
            </w: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10,306</w:t>
            </w:r>
          </w:p>
        </w:tc>
        <w:tc>
          <w:tcPr>
            <w:tcW w:w="200" w:type="dxa"/>
            <w:vAlign w:val="bottom"/>
            <w:shd w:val="clear" w:color="auto" w:fill="CCFFCC"/>
          </w:tcPr>
          <w:p>
            <w:pPr>
              <w:jc w:val="right"/>
              <w:ind w:right="35"/>
              <w:spacing w:after="0"/>
              <w:rPr>
                <w:sz w:val="20"/>
                <w:szCs w:val="20"/>
                <w:color w:val="auto"/>
              </w:rPr>
            </w:pPr>
            <w:r>
              <w:rPr>
                <w:rFonts w:ascii="Arial" w:cs="Arial" w:eastAsia="Arial" w:hAnsi="Arial"/>
                <w:sz w:val="9"/>
                <w:szCs w:val="9"/>
                <w:color w:val="auto"/>
                <w:w w:val="90"/>
              </w:rPr>
              <w:t>(1)</w:t>
            </w: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10,164</w:t>
            </w:r>
          </w:p>
        </w:tc>
      </w:tr>
      <w:tr>
        <w:trPr>
          <w:trHeight w:val="262"/>
        </w:trPr>
        <w:tc>
          <w:tcPr>
            <w:tcW w:w="3780" w:type="dxa"/>
            <w:vAlign w:val="bottom"/>
          </w:tcPr>
          <w:p>
            <w:pPr>
              <w:ind w:left="180"/>
              <w:spacing w:after="0"/>
              <w:rPr>
                <w:sz w:val="20"/>
                <w:szCs w:val="20"/>
                <w:color w:val="auto"/>
              </w:rPr>
            </w:pPr>
            <w:r>
              <w:rPr>
                <w:rFonts w:ascii="Arial" w:cs="Arial" w:eastAsia="Arial" w:hAnsi="Arial"/>
                <w:sz w:val="13"/>
                <w:szCs w:val="13"/>
                <w:color w:val="auto"/>
              </w:rPr>
              <w:t>Product development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10,770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9,495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10,719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9,214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9,498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9,567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10,109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9,800</w:t>
            </w:r>
          </w:p>
        </w:tc>
      </w:tr>
      <w:tr>
        <w:trPr>
          <w:trHeight w:val="278"/>
        </w:trPr>
        <w:tc>
          <w:tcPr>
            <w:tcW w:w="37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Restructuring costs</w:t>
            </w: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2,753</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(384)</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840" w:type="dxa"/>
            <w:vAlign w:val="bottom"/>
            <w:gridSpan w:val="2"/>
            <w:shd w:val="clear" w:color="auto" w:fill="CCFFC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396</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2,988</w:t>
            </w:r>
          </w:p>
        </w:tc>
        <w:tc>
          <w:tcPr>
            <w:tcW w:w="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264"/>
        </w:trPr>
        <w:tc>
          <w:tcPr>
            <w:tcW w:w="3780" w:type="dxa"/>
            <w:vAlign w:val="bottom"/>
            <w:tcBorders>
              <w:bottom w:val="single" w:sz="8" w:color="CCFFCC"/>
            </w:tcBorders>
          </w:tcPr>
          <w:p>
            <w:pPr>
              <w:ind w:left="180"/>
              <w:spacing w:after="0"/>
              <w:rPr>
                <w:sz w:val="20"/>
                <w:szCs w:val="20"/>
                <w:color w:val="auto"/>
              </w:rPr>
            </w:pPr>
            <w:r>
              <w:rPr>
                <w:rFonts w:ascii="Arial" w:cs="Arial" w:eastAsia="Arial" w:hAnsi="Arial"/>
                <w:sz w:val="13"/>
                <w:szCs w:val="13"/>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931</w:t>
            </w:r>
          </w:p>
        </w:tc>
        <w:tc>
          <w:tcPr>
            <w:tcW w:w="12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1,013</w:t>
            </w:r>
          </w:p>
        </w:tc>
        <w:tc>
          <w:tcPr>
            <w:tcW w:w="12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1,017</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924</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1,189</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1,193</w:t>
            </w:r>
          </w:p>
        </w:tc>
        <w:tc>
          <w:tcPr>
            <w:tcW w:w="20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1,178</w:t>
            </w:r>
          </w:p>
        </w:tc>
        <w:tc>
          <w:tcPr>
            <w:tcW w:w="20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1,313</w:t>
            </w:r>
          </w:p>
        </w:tc>
      </w:tr>
      <w:tr>
        <w:trPr>
          <w:trHeight w:val="250"/>
        </w:trPr>
        <w:tc>
          <w:tcPr>
            <w:tcW w:w="3780" w:type="dxa"/>
            <w:vAlign w:val="bottom"/>
            <w:shd w:val="clear" w:color="auto" w:fill="CCFFCC"/>
          </w:tcPr>
          <w:p>
            <w:pPr>
              <w:ind w:left="280"/>
              <w:spacing w:after="0"/>
              <w:rPr>
                <w:sz w:val="20"/>
                <w:szCs w:val="20"/>
                <w:color w:val="auto"/>
              </w:rPr>
            </w:pPr>
            <w:r>
              <w:rPr>
                <w:rFonts w:ascii="Arial" w:cs="Arial" w:eastAsia="Arial" w:hAnsi="Arial"/>
                <w:sz w:val="13"/>
                <w:szCs w:val="13"/>
                <w:color w:val="auto"/>
              </w:rPr>
              <w:t>Total costs and expenses</w:t>
            </w: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64,391</w:t>
            </w:r>
          </w:p>
        </w:tc>
        <w:tc>
          <w:tcPr>
            <w:tcW w:w="12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57,097</w:t>
            </w:r>
          </w:p>
        </w:tc>
        <w:tc>
          <w:tcPr>
            <w:tcW w:w="12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62,493</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58,207</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61,642</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58,858</w:t>
            </w:r>
          </w:p>
        </w:tc>
        <w:tc>
          <w:tcPr>
            <w:tcW w:w="2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67,015</w:t>
            </w:r>
          </w:p>
        </w:tc>
        <w:tc>
          <w:tcPr>
            <w:tcW w:w="2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61,825</w:t>
            </w:r>
          </w:p>
        </w:tc>
      </w:tr>
      <w:tr>
        <w:trPr>
          <w:trHeight w:val="249"/>
        </w:trPr>
        <w:tc>
          <w:tcPr>
            <w:tcW w:w="3780" w:type="dxa"/>
            <w:vAlign w:val="bottom"/>
          </w:tcPr>
          <w:p>
            <w:pPr>
              <w:ind w:left="40"/>
              <w:spacing w:after="0"/>
              <w:rPr>
                <w:sz w:val="20"/>
                <w:szCs w:val="20"/>
                <w:color w:val="auto"/>
              </w:rPr>
            </w:pPr>
            <w:r>
              <w:rPr>
                <w:rFonts w:ascii="Arial" w:cs="Arial" w:eastAsia="Arial" w:hAnsi="Arial"/>
                <w:sz w:val="13"/>
                <w:szCs w:val="13"/>
                <w:color w:val="auto"/>
              </w:rPr>
              <w:t>(Loss) income from operations</w:t>
            </w:r>
          </w:p>
        </w:tc>
        <w:tc>
          <w:tcPr>
            <w:tcW w:w="1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(8,273)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(2,579)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(5,814)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(2,743)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1,899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(7,681)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(2,055)</w:t>
            </w:r>
          </w:p>
        </w:tc>
      </w:tr>
      <w:tr>
        <w:trPr>
          <w:trHeight w:val="272"/>
        </w:trPr>
        <w:tc>
          <w:tcPr>
            <w:tcW w:w="3780" w:type="dxa"/>
            <w:vAlign w:val="bottom"/>
            <w:shd w:val="clear" w:color="auto" w:fill="CCFFCC"/>
          </w:tcPr>
          <w:p>
            <w:pPr>
              <w:ind w:left="40"/>
              <w:spacing w:after="0"/>
              <w:rPr>
                <w:sz w:val="20"/>
                <w:szCs w:val="20"/>
                <w:color w:val="auto"/>
              </w:rPr>
            </w:pPr>
            <w:r>
              <w:rPr>
                <w:rFonts w:ascii="Arial" w:cs="Arial" w:eastAsia="Arial" w:hAnsi="Arial"/>
                <w:sz w:val="13"/>
                <w:szCs w:val="13"/>
                <w:color w:val="auto"/>
              </w:rPr>
              <w:t>Other income (expense) income</w:t>
            </w: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(395)</w:t>
            </w:r>
          </w:p>
        </w:tc>
        <w:tc>
          <w:tcPr>
            <w:tcW w:w="12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(646)</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(369)</w:t>
            </w:r>
          </w:p>
        </w:tc>
        <w:tc>
          <w:tcPr>
            <w:tcW w:w="2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229</w:t>
            </w:r>
          </w:p>
        </w:tc>
        <w:tc>
          <w:tcPr>
            <w:tcW w:w="2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(231)</w:t>
            </w:r>
          </w:p>
        </w:tc>
      </w:tr>
      <w:tr>
        <w:trPr>
          <w:trHeight w:val="250"/>
        </w:trPr>
        <w:tc>
          <w:tcPr>
            <w:tcW w:w="378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(Loss) income before provision for (benefit from) income taxes</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(8,668)</w:t>
            </w:r>
          </w:p>
        </w:tc>
        <w:tc>
          <w:tcPr>
            <w:tcW w:w="1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(2,702)</w:t>
            </w:r>
          </w:p>
        </w:tc>
        <w:tc>
          <w:tcPr>
            <w:tcW w:w="1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(6,460)</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(2,109)</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(2,322)</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1,530</w:t>
            </w:r>
          </w:p>
        </w:tc>
        <w:tc>
          <w:tcPr>
            <w:tcW w:w="2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(7,452)</w:t>
            </w:r>
          </w:p>
        </w:tc>
        <w:tc>
          <w:tcPr>
            <w:tcW w:w="2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(2,286)</w:t>
            </w:r>
          </w:p>
        </w:tc>
      </w:tr>
      <w:tr>
        <w:trPr>
          <w:trHeight w:val="250"/>
        </w:trPr>
        <w:tc>
          <w:tcPr>
            <w:tcW w:w="3780" w:type="dxa"/>
            <w:vAlign w:val="bottom"/>
            <w:shd w:val="clear" w:color="auto" w:fill="CCFFCC"/>
          </w:tcPr>
          <w:p>
            <w:pPr>
              <w:ind w:left="40"/>
              <w:spacing w:after="0"/>
              <w:rPr>
                <w:sz w:val="20"/>
                <w:szCs w:val="20"/>
                <w:color w:val="auto"/>
              </w:rPr>
            </w:pPr>
            <w:r>
              <w:rPr>
                <w:rFonts w:ascii="Arial" w:cs="Arial" w:eastAsia="Arial" w:hAnsi="Arial"/>
                <w:sz w:val="13"/>
                <w:szCs w:val="13"/>
                <w:color w:val="auto"/>
              </w:rPr>
              <w:t>Provision for (benefit from) income taxes</w:t>
            </w: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897</w:t>
            </w:r>
          </w:p>
        </w:tc>
        <w:tc>
          <w:tcPr>
            <w:tcW w:w="12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3,177</w:t>
            </w:r>
          </w:p>
        </w:tc>
        <w:tc>
          <w:tcPr>
            <w:tcW w:w="12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1,306</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554</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18,535</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(395)</w:t>
            </w:r>
          </w:p>
        </w:tc>
        <w:tc>
          <w:tcPr>
            <w:tcW w:w="2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(2,098)</w:t>
            </w:r>
          </w:p>
        </w:tc>
        <w:tc>
          <w:tcPr>
            <w:tcW w:w="2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(228)</w:t>
            </w:r>
          </w:p>
        </w:tc>
      </w:tr>
      <w:tr>
        <w:trPr>
          <w:trHeight w:val="282"/>
        </w:trPr>
        <w:tc>
          <w:tcPr>
            <w:tcW w:w="378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Net (loss)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(9,565)</w:t>
            </w: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(5,879)</w:t>
            </w: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(7,766)</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(2,663)</w:t>
            </w:r>
          </w:p>
        </w:tc>
        <w:tc>
          <w:tcPr>
            <w:tcW w:w="10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(20,857)</w:t>
            </w:r>
          </w:p>
        </w:tc>
        <w:tc>
          <w:tcPr>
            <w:tcW w:w="10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1,925</w:t>
            </w:r>
          </w:p>
        </w:tc>
        <w:tc>
          <w:tcPr>
            <w:tcW w:w="20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(5,354)</w:t>
            </w:r>
          </w:p>
        </w:tc>
        <w:tc>
          <w:tcPr>
            <w:tcW w:w="20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(2,058)</w:t>
            </w:r>
          </w:p>
        </w:tc>
      </w:tr>
      <w:tr>
        <w:trPr>
          <w:trHeight w:val="265"/>
        </w:trPr>
        <w:tc>
          <w:tcPr>
            <w:tcW w:w="37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3"/>
                <w:szCs w:val="13"/>
                <w:color w:val="auto"/>
              </w:rPr>
              <w:t>Net (loss) income per share of common stock:</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3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(0.17)</w:t>
            </w:r>
          </w:p>
        </w:tc>
        <w:tc>
          <w:tcPr>
            <w:tcW w:w="1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(0.10)</w:t>
            </w:r>
          </w:p>
        </w:tc>
        <w:tc>
          <w:tcPr>
            <w:tcW w:w="1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(0.14)</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(0.05)</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(0.37)</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0.03</w:t>
            </w:r>
          </w:p>
        </w:tc>
        <w:tc>
          <w:tcPr>
            <w:tcW w:w="2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(0.09)</w:t>
            </w:r>
          </w:p>
        </w:tc>
        <w:tc>
          <w:tcPr>
            <w:tcW w:w="2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(0.04)</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Diluted</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(0.17)</w:t>
            </w:r>
          </w:p>
        </w:tc>
        <w:tc>
          <w:tcPr>
            <w:tcW w:w="1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(0.10)</w:t>
            </w:r>
          </w:p>
        </w:tc>
        <w:tc>
          <w:tcPr>
            <w:tcW w:w="12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(0.14)</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(0.05)</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(0.37)</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0.03</w:t>
            </w:r>
          </w:p>
        </w:tc>
        <w:tc>
          <w:tcPr>
            <w:tcW w:w="2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(0.09)</w:t>
            </w:r>
          </w:p>
        </w:tc>
        <w:tc>
          <w:tcPr>
            <w:tcW w:w="2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(0.04)</w:t>
            </w:r>
          </w:p>
        </w:tc>
      </w:tr>
      <w:tr>
        <w:trPr>
          <w:trHeight w:val="265"/>
        </w:trPr>
        <w:tc>
          <w:tcPr>
            <w:tcW w:w="37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3"/>
                <w:szCs w:val="13"/>
                <w:color w:val="auto"/>
                <w:w w:val="90"/>
              </w:rPr>
              <w:t>Weighted-average shares used to compute net (loss) income per share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3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9"/>
              </w:rPr>
              <w:t>55,861,872</w:t>
            </w:r>
          </w:p>
        </w:tc>
        <w:tc>
          <w:tcPr>
            <w:tcW w:w="1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6"/>
              </w:rPr>
              <w:t>56,047,645</w:t>
            </w:r>
          </w:p>
        </w:tc>
        <w:tc>
          <w:tcPr>
            <w:tcW w:w="1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w w:val="86"/>
              </w:rPr>
              <w:t>55,965,525</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56,386,003</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56,497,544</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6"/>
              </w:rPr>
              <w:t>56,525,647</w:t>
            </w:r>
          </w:p>
        </w:tc>
        <w:tc>
          <w:tcPr>
            <w:tcW w:w="2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6"/>
              </w:rPr>
              <w:t>56,491,989</w:t>
            </w:r>
          </w:p>
        </w:tc>
        <w:tc>
          <w:tcPr>
            <w:tcW w:w="2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56,291,383</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3"/>
                <w:szCs w:val="13"/>
                <w:color w:val="auto"/>
              </w:rPr>
              <w:t>Diluted</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9"/>
              </w:rPr>
              <w:t>55,861,872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6"/>
              </w:rPr>
              <w:t>56,047,645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6"/>
              </w:rPr>
              <w:t>55,965,525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56,386,003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56,497,544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6"/>
              </w:rPr>
              <w:t>57,084,437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6"/>
              </w:rPr>
              <w:t>56,491,989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56,291,383</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right="100" w:firstLine="8"/>
        <w:spacing w:after="0" w:line="249" w:lineRule="auto"/>
        <w:tabs>
          <w:tab w:leader="none" w:pos="153" w:val="left"/>
        </w:tabs>
        <w:numPr>
          <w:ilvl w:val="0"/>
          <w:numId w:val="27"/>
        </w:numPr>
        <w:rPr>
          <w:rFonts w:ascii="Arial" w:cs="Arial" w:eastAsia="Arial" w:hAnsi="Arial"/>
          <w:sz w:val="11"/>
          <w:szCs w:val="11"/>
          <w:color w:val="auto"/>
        </w:rPr>
      </w:pPr>
      <w:r>
        <w:rPr>
          <w:rFonts w:ascii="Arial" w:cs="Arial" w:eastAsia="Arial" w:hAnsi="Arial"/>
          <w:sz w:val="11"/>
          <w:szCs w:val="11"/>
          <w:color w:val="auto"/>
        </w:rPr>
        <w:t>Decreases in the fair value of contingent consideration of $1.9 million and $0.5 million for the quarters ended September 30, 2015 and June 30, 2015, respectively, have been reclassified to general and administrative expenses from cost of revenue to conform to full year presentation.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6"/>
                <w:szCs w:val="16"/>
                <w:b w:val="1"/>
                <w:bCs w:val="1"/>
                <w:color w:val="auto"/>
              </w:rPr>
              <w:t>2016</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jc w:val="right"/>
              <w:ind w:right="75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240" w:type="dxa"/>
            <w:vAlign w:val="bottom"/>
            <w:tcBorders>
              <w:bottom w:val="single" w:sz="8" w:color="CCFFCC"/>
            </w:tcBorders>
            <w:shd w:val="clear" w:color="auto" w:fill="CCFFCC"/>
          </w:tcPr>
          <w:p>
            <w:pPr>
              <w:jc w:val="right"/>
              <w:ind w:right="10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FFCC"/>
            </w:tcBorders>
            <w:shd w:val="clear" w:color="auto" w:fill="CCFFCC"/>
          </w:tcPr>
          <w:p>
            <w:pPr>
              <w:jc w:val="right"/>
              <w:ind w:right="54"/>
              <w:spacing w:after="0"/>
              <w:rPr>
                <w:sz w:val="20"/>
                <w:szCs w:val="20"/>
                <w:color w:val="auto"/>
              </w:rPr>
            </w:pPr>
            <w:r>
              <w:rPr>
                <w:rFonts w:ascii="Arial" w:cs="Arial" w:eastAsia="Arial" w:hAnsi="Arial"/>
                <w:sz w:val="18"/>
                <w:szCs w:val="18"/>
                <w:color w:val="auto"/>
              </w:rPr>
              <w:t>24,560</w:t>
            </w:r>
          </w:p>
        </w:tc>
        <w:tc>
          <w:tcPr>
            <w:tcW w:w="720" w:type="dxa"/>
            <w:vAlign w:val="bottom"/>
            <w:tcBorders>
              <w:bottom w:val="single" w:sz="8" w:color="CCFFCC"/>
            </w:tcBorders>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(11,452)</w:t>
            </w:r>
          </w:p>
        </w:tc>
        <w:tc>
          <w:tcPr>
            <w:tcW w:w="7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24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(7,068)</w:t>
            </w:r>
          </w:p>
        </w:tc>
        <w:tc>
          <w:tcPr>
            <w:tcW w:w="72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20" w:type="dxa"/>
            <w:vAlign w:val="bottom"/>
            <w:shd w:val="clear" w:color="auto" w:fill="CCFFCC"/>
          </w:tcPr>
          <w:p>
            <w:pPr>
              <w:spacing w:after="0"/>
              <w:rPr>
                <w:sz w:val="2"/>
                <w:szCs w:val="2"/>
                <w:color w:val="auto"/>
              </w:rPr>
            </w:pPr>
          </w:p>
        </w:tc>
        <w:tc>
          <w:tcPr>
            <w:tcW w:w="3500" w:type="dxa"/>
            <w:vAlign w:val="bottom"/>
            <w:shd w:val="clear" w:color="auto" w:fill="CCFFCC"/>
          </w:tcPr>
          <w:p>
            <w:pPr>
              <w:spacing w:after="0"/>
              <w:rPr>
                <w:sz w:val="2"/>
                <w:szCs w:val="2"/>
                <w:color w:val="auto"/>
              </w:rPr>
            </w:pPr>
          </w:p>
        </w:tc>
        <w:tc>
          <w:tcPr>
            <w:tcW w:w="346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3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2016, we had approximately $50.9 million in cash and cash equivalents, an increase of approximately $2.1 million from December 31, 2015. This increase is primarily attributable to cash provided by operating activities of approximately $24.6 million and proceeds from issuance of common stock of approximately $2.9 million. This was partially offset by cash used in investing activities of approximately $11.5 million, the repurchase of common stock of approximately $10.0 million and the effect of foreign exchange rate changes on cash and cash equivalents.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provided by operating activities was $24.6 million in the year ended December 31, 2016 and consisted primarily of non-cash expenses related to stock-based compensation, amortization of purchased intangibles, depreciation, and impairment on investments. Furthermore, there were increases in deferred revenue due to more of our customers moving to cash payments in advance on annual billings, accrued expenses and decreases in prepaid expenses and other current assets. This was partially offset by net loss and an increase in accounts receivable. Net cash provided by operating activities was $21.8 million in the year ended December 31, 2015 and consisted primarily of net loss, non-cash expenses related to stock-based compensation, amortization of purchased intangibles, depreciation, deferred tax and change in fair value of contingent consideration. This was partially offset by an increase in accounts receivable and a decrease in accounts payable.</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$11.5 million in the year ended December 31, 2016 and was due primarily to the purchase of fixed assets for our co-location facilities and purchases of intangibles. This was partially offset by a decrease in cash held as collateral. Net cash used in investing activities was $18.5 million in the year ended December 31, 2015 and was due primarily to the purchase of fixed assets for our co-location facilities and increase in cash held as collateral by $5.4 million.</w:t>
      </w:r>
    </w:p>
    <w:p>
      <w:pPr>
        <w:spacing w:after="0" w:line="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financing activities was $7.1 million in the year ended December 31, 2016 and consisted primarily of the repurchase of our common stock offset in part by the proceeds from the issuance of common stock in connection with the exercise of stock options. Net cash used in financing activities was $1.9 million in the year ended December 31, 2015 and consisted primarily of the repurchase of our common stock and acquisition related payments offset in part by the proceeds from the issuance of common stock in connection with the exercise of stock options by employees.</w:t>
      </w:r>
    </w:p>
    <w:p>
      <w:pPr>
        <w:spacing w:after="0" w:line="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 ended March 31, 2014, June 30, 2014, March 31, 2015, June 30, 2015, December 31, 2015, and March 31, 2016. We incurred a net loss in the quarterly periods ended June 30, 2013, September 30, 2013, December 31, 2013, September 30, 2014, December 31, 2014, March 31, 2015, June 30, 2015, December 31, 2015, March 31, 2016, June 30, 2016, September 30, 2016, and December 31, 2016. As of December 31, 2016, we had an accumulated deficit of approximately $144.9 million.</w:t>
      </w:r>
    </w:p>
    <w:p>
      <w:pPr>
        <w:spacing w:after="0" w:line="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3" w:right="239" w:bottom="1440" w:gutter="0" w:footer="0" w:header="0"/>
        </w:sectPr>
      </w:pPr>
    </w:p>
    <w:bookmarkStart w:id="50" w:name="page51"/>
    <w:bookmarkEnd w:id="50"/>
    <w:p>
      <w:pPr>
        <w:jc w:val="both"/>
        <w:ind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years ended December 31, 2016, 2015 and 2014, was approximately $10.0 million, $9.9 million and $9.4 million, respectively.</w:t>
      </w:r>
    </w:p>
    <w:p>
      <w:pPr>
        <w:spacing w:after="0" w:line="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2016, our principal commitments were approximately $28.6 million under various operating leases, of which approximately $8.9 million is due in 2017. We currently expect that our principal commitments for the year ending December 31, 2017 will not exceed approximately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December 31, 2016 are summarized as follows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More Than</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1 – 3 Years</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6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13,953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2,818</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13,953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2,818</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2016, we incurred costs related to the continued expansion of our co-location facilities of approximately $7.6 million. Our total capital expenditures are not currently expected to exceed $ 14.5 million in 2017. We anticipate that our current cash and cash equivalents and cash from operations will be sufficient to fund these capital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all of our significant accounting policies, see Note 1 of the Notes to Consolidated Financial Statements under Item 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17" w:right="239" w:bottom="1440" w:gutter="0" w:footer="0" w:header="0"/>
        </w:sectPr>
      </w:pPr>
    </w:p>
    <w:bookmarkStart w:id="51" w:name="page52"/>
    <w:bookmarkEnd w:id="51"/>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there was approximately $7.1 million of total unrecognized compensation cost related to nonvested stock options. That cost is expected to be recognized over a weighted average period of approximately 1.9 years. As of December 31, 2016, there was approximately $9.3 million of total unrecognized compensation cost related to nonvested restricted stock units. That cost is expected to be recognized over a weighted average period of approximately 2.8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consolidated financial statements. No single customer accounted for or exceeded 10% of our total revenue in 2016, 2015 or 2014. No single customer accounted for or exceeded 10% of our total accounts receivable in 2016 and 2015. One customer accounted for approximately 22% of accounts receivable at Decembers 31, 2014. During 2016, we increased our allowance for doubtful accounts from $1.2 million to approximately $1.7 million, principally due to analysis of the accounts receivable aging.</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proportion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the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6" w:right="239" w:bottom="1440" w:gutter="0" w:footer="0" w:header="0"/>
        </w:sectPr>
      </w:pPr>
    </w:p>
    <w:bookmarkStart w:id="52" w:name="page53"/>
    <w:bookmarkEnd w:id="52"/>
    <w:p>
      <w:pPr>
        <w:jc w:val="both"/>
        <w:spacing w:after="0" w:line="297" w:lineRule="auto"/>
        <w:rPr>
          <w:sz w:val="20"/>
          <w:szCs w:val="20"/>
          <w:color w:val="auto"/>
        </w:rPr>
      </w:pPr>
      <w:r>
        <w:rPr>
          <w:rFonts w:ascii="Arial" w:cs="Arial" w:eastAsia="Arial" w:hAnsi="Arial"/>
          <w:sz w:val="16"/>
          <w:szCs w:val="16"/>
          <w:color w:val="auto"/>
        </w:rPr>
        <w:t>determining the fair value of other intangible assets. These estimates and assumptions could have a significant impact on whether or not an impairment charge is recognized and also the magnitude of any such charge. We perform internal valuation analyses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comparables.</w:t>
      </w:r>
    </w:p>
    <w:p>
      <w:pPr>
        <w:spacing w:after="0" w:line="5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2016, we determined that it was not more-likely that the fair value of the reporting units is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During the year ended December 31, 2016, the Company determined certain long-lived assets related to the legacy platform and purchased intangibles of technology licenses to be impaired. The write-off of net book value of these assets, of approximately $0.2 million and $2.6 million, was included in restructuring costs and general and administrative expenses,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We consider the scheduled reversal of deferred tax liabilities, projected future taxable income and tax planning strategies in making this assessment.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During the year ended December 31, 2016, the valuation allowance recorded was $12.1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under Item 8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Financial Accounting Standards Board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We do not expect the adoption of ASU 2017-04 to have a material effect on our financial position, results of operations or cash flows.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17" w:right="239" w:bottom="1440" w:gutter="0" w:footer="0" w:header="0"/>
        </w:sectPr>
      </w:pPr>
    </w:p>
    <w:bookmarkStart w:id="53" w:name="page54"/>
    <w:bookmarkEnd w:id="53"/>
    <w:p>
      <w:pPr>
        <w:jc w:val="both"/>
        <w:ind w:firstLine="648"/>
        <w:spacing w:after="0" w:line="291" w:lineRule="auto"/>
        <w:rPr>
          <w:sz w:val="20"/>
          <w:szCs w:val="20"/>
          <w:color w:val="auto"/>
        </w:rPr>
      </w:pPr>
      <w:r>
        <w:rPr>
          <w:rFonts w:ascii="Arial" w:cs="Arial" w:eastAsia="Arial" w:hAnsi="Arial"/>
          <w:sz w:val="16"/>
          <w:szCs w:val="16"/>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We do not expect the adoption of ASU 2017-01 to have a material effect on our financial position, results of operations or cash.</w:t>
      </w:r>
    </w:p>
    <w:p>
      <w:pPr>
        <w:spacing w:after="0" w:line="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and(c)classification on the statement of cash flows. ASU 2016-09 is effective for financial statements issued for annual periods beginning after December 15, 2016.We do not expect the adoption of ASU 2016-09 to have a material effect on our financial position, results of operations or cash flows.</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While we are currently assessing the impact ASU 2016-02 will have on our consolidated financial statements,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Our current minimum commitments under noncancelable operating leases are disclosed in Note 10.</w:t>
      </w:r>
    </w:p>
    <w:p>
      <w:pPr>
        <w:spacing w:after="0" w:line="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May 2014, the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In December 2016, FASB issued guidance to make minor corrections or minor improvements to the Codification that are not expected to have a significant effect on current accounting practice or create a significant administrative cost to most entities. The current revenue policy meets five core principles of ASU 2014-09 and we currently capitalize the contract costs over the contracted period also in accordance with ASU 2014-09. We are still analyzing the impact of this new ASU, but based on our work to date we believe that the current revenue recognition policy currently in place already depicts the transfer of promised goods or services to customers in an amount that reflects the consideration to which we expect to be entitled in exchange for those goods or services and as a result the adoption of this ASU is not expected to have a material impact on our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1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Rate Fluctuations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result of the scope of our Israeli operations, there is currency rate fluctuation risk associated with the exchange rate movement of the U.S. dollar against the New Israeli Shekel (“NIS”). For the year ended December 31, 2016, the U.S dollar depreciated as compared to the NIS by an average of 1% as compared to December 31, 2015. For the year ended December 31, 2016, expenses generated by our Israeli operations totaled approximately $58.8 million. During 2016,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the functional currency of our operations in Japan is the Japanese Yen.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Risk</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2016, we increased our allowance for doubtful accounts from $1.2 million to approximately $1.7 million, principally due to analysis of the accounts receivable aging. During 2015, we decreased our allowance for doubtful accounts by approximately $0.1 million to approximately $1.2 million, principally due to an decrease in write-offs compared to 2014.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1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7"/>
        </w:trPr>
        <w:tc>
          <w:tcPr>
            <w:tcW w:w="10060" w:type="dxa"/>
            <w:vAlign w:val="bottom"/>
            <w:tcBorders>
              <w:bottom w:val="single" w:sz="8" w:color="CCFFC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06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Report of BDO USA, LLP, Independent Registered Public Accounting Firm</w:t>
            </w:r>
          </w:p>
        </w:tc>
        <w:tc>
          <w:tcPr>
            <w:tcW w:w="1360" w:type="dxa"/>
            <w:vAlign w:val="bottom"/>
            <w:gridSpan w:val="3"/>
            <w:shd w:val="clear" w:color="auto" w:fill="CCFFCC"/>
          </w:tcPr>
          <w:p>
            <w:pPr>
              <w:jc w:val="right"/>
              <w:ind w:right="2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2016 and 2015</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Operations for each of the years ended December 31, 2016, 2015 and 2014</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for each of the years ended December 31, 2016, 2015 and 2014</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for each of the years ended December 31, 2016, 2015 and 2014</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ended December 31, 2016, 2015 and 2014</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459"/>
        </w:trPr>
        <w:tc>
          <w:tcPr>
            <w:tcW w:w="10060" w:type="dxa"/>
            <w:vAlign w:val="bottom"/>
            <w:tcBorders>
              <w:top w:val="single" w:sz="8" w:color="CCFFCC"/>
            </w:tcBorders>
          </w:tcPr>
          <w:p>
            <w:pPr>
              <w:ind w:left="5620"/>
              <w:spacing w:after="0"/>
              <w:rPr>
                <w:sz w:val="20"/>
                <w:szCs w:val="20"/>
                <w:color w:val="auto"/>
              </w:rPr>
            </w:pPr>
            <w:r>
              <w:rPr>
                <w:rFonts w:ascii="Arial" w:cs="Arial" w:eastAsia="Arial" w:hAnsi="Arial"/>
                <w:sz w:val="18"/>
                <w:szCs w:val="18"/>
                <w:color w:val="auto"/>
              </w:rPr>
              <w:t>53</w:t>
            </w:r>
          </w:p>
        </w:tc>
        <w:tc>
          <w:tcPr>
            <w:tcW w:w="116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6" w:name="page57"/>
    <w:bookmarkEnd w:id="5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LivePerson, Inc. as of December 31, 2016 and 2015 and the related consolidated statements of operations, comprehensive loss, stockholders’ equity, and cash flows for each of the three years in the period ended December 31, 2016. These consolidated financial statements are the responsibility of the Company’s management. Our responsibility is to express an opinion on these consolidated financial statements based on our audits.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LivePerson, Inc. at December 31, 2016 and 2015, and the results of its operations and its cash flows for each of the three years in the period ended December 31, 2016, in conformity with accounting principles generally accepted in the United States of America.</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LivePerson, Inc.’s internal control over financial reporting as of December 31, 2016, based on criteria established in Internal Control — Integrated Framework (2013) issued by the Committee of Sponsoring Organizations of the Treadway Commission (“COSO”) and our report dated March 10, 2017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7" w:name="page58"/>
    <w:bookmarkEnd w:id="5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r>
      <w:tr>
        <w:trPr>
          <w:trHeight w:val="33"/>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50,889</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48,803</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Cash held as collateral</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5,409</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0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7"/>
              </w:rPr>
              <w:t>Accounts receivable, net of allowance for doubtful accounts of $1,732 and $1,184, in 2016 and 2015,</w:t>
            </w:r>
          </w:p>
        </w:tc>
        <w:tc>
          <w:tcPr>
            <w:tcW w:w="4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37"/>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respectively</w:t>
            </w:r>
          </w:p>
        </w:tc>
        <w:tc>
          <w:tcPr>
            <w:tcW w:w="46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31,823</w:t>
            </w:r>
          </w:p>
        </w:tc>
        <w:tc>
          <w:tcPr>
            <w:tcW w:w="1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30,388</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9,327</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Deferred tax assets, net</w:t>
            </w:r>
          </w:p>
        </w:tc>
        <w:tc>
          <w:tcPr>
            <w:tcW w:w="46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455</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92,151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94,382</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28,397</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24,129</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16,510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24,619</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80,245</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80,322</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1,957</w:t>
            </w:r>
          </w:p>
        </w:tc>
      </w:tr>
      <w:tr>
        <w:trPr>
          <w:trHeight w:val="297"/>
        </w:trPr>
        <w:tc>
          <w:tcPr>
            <w:tcW w:w="808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219,638</w:t>
            </w:r>
          </w:p>
        </w:tc>
        <w:tc>
          <w:tcPr>
            <w:tcW w:w="100" w:type="dxa"/>
            <w:vAlign w:val="bottom"/>
            <w:tcBorders>
              <w:bottom w:val="single" w:sz="8" w:color="CCFFCC"/>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226,194</w:t>
            </w:r>
          </w:p>
        </w:tc>
      </w:tr>
      <w:tr>
        <w:trPr>
          <w:trHeight w:val="284"/>
        </w:trPr>
        <w:tc>
          <w:tcPr>
            <w:tcW w:w="8080" w:type="dxa"/>
            <w:vAlign w:val="bottom"/>
            <w:shd w:val="clear" w:color="auto" w:fill="CCFFCC"/>
          </w:tcPr>
          <w:p>
            <w:pPr>
              <w:spacing w:after="0"/>
              <w:rPr>
                <w:sz w:val="24"/>
                <w:szCs w:val="24"/>
                <w:color w:val="auto"/>
              </w:rPr>
            </w:pPr>
          </w:p>
        </w:tc>
        <w:tc>
          <w:tcPr>
            <w:tcW w:w="46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4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7,102</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40,250</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34,296</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27,145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13,862</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74,683</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55,260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3,270</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liability</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2,359</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81,162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60,889</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080" w:type="dxa"/>
            <w:vAlign w:val="bottom"/>
            <w:shd w:val="clear" w:color="auto" w:fill="CCFFCC"/>
          </w:tcPr>
          <w:p>
            <w:pPr>
              <w:spacing w:after="0"/>
              <w:rPr>
                <w:sz w:val="24"/>
                <w:szCs w:val="24"/>
                <w:color w:val="auto"/>
              </w:rPr>
            </w:pPr>
          </w:p>
        </w:tc>
        <w:tc>
          <w:tcPr>
            <w:tcW w:w="46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4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10)</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Additional paid-in capital</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289,524</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286,856</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(144,944)</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(119,071)</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(2,536)</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138,476</w:t>
            </w:r>
          </w:p>
        </w:tc>
        <w:tc>
          <w:tcPr>
            <w:tcW w:w="100" w:type="dxa"/>
            <w:vAlign w:val="bottom"/>
            <w:tcBorders>
              <w:bottom w:val="single" w:sz="8" w:color="CCFFCC"/>
            </w:tcBorders>
            <w:shd w:val="clear" w:color="auto" w:fill="CCFFCC"/>
          </w:tcPr>
          <w:p>
            <w:pPr>
              <w:spacing w:after="0"/>
              <w:rPr>
                <w:sz w:val="22"/>
                <w:szCs w:val="22"/>
                <w:color w:val="auto"/>
              </w:rPr>
            </w:pPr>
          </w:p>
        </w:tc>
        <w:tc>
          <w:tcPr>
            <w:tcW w:w="54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165,305</w:t>
            </w:r>
          </w:p>
        </w:tc>
      </w:tr>
      <w:tr>
        <w:trPr>
          <w:trHeight w:val="257"/>
        </w:trPr>
        <w:tc>
          <w:tcPr>
            <w:tcW w:w="80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219,638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226,194</w:t>
            </w:r>
          </w:p>
        </w:tc>
      </w:tr>
      <w:tr>
        <w:trPr>
          <w:trHeight w:val="20"/>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8" w:name="page59"/>
    <w:bookmarkEnd w:id="58"/>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90"/>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222,779</w:t>
            </w:r>
          </w:p>
        </w:tc>
        <w:tc>
          <w:tcPr>
            <w:tcW w:w="500" w:type="dxa"/>
            <w:vAlign w:val="bottom"/>
            <w:tcBorders>
              <w:bottom w:val="single" w:sz="8" w:color="CCFFCC"/>
            </w:tcBorders>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239,012</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209,931</w:t>
            </w:r>
          </w:p>
        </w:tc>
      </w:tr>
      <w:tr>
        <w:trPr>
          <w:trHeight w:val="264"/>
        </w:trPr>
        <w:tc>
          <w:tcPr>
            <w:tcW w:w="6740" w:type="dxa"/>
            <w:vAlign w:val="bottom"/>
          </w:tcPr>
          <w:p>
            <w:pPr>
              <w:ind w:left="40"/>
              <w:spacing w:after="0" w:line="264" w:lineRule="exact"/>
              <w:rPr>
                <w:sz w:val="20"/>
                <w:szCs w:val="20"/>
                <w:color w:val="auto"/>
              </w:rPr>
            </w:pPr>
            <w:r>
              <w:rPr>
                <w:rFonts w:ascii="Arial" w:cs="Arial" w:eastAsia="Arial" w:hAnsi="Arial"/>
                <w:sz w:val="18"/>
                <w:szCs w:val="18"/>
                <w:color w:val="auto"/>
              </w:rPr>
              <w:t>Costs and expenses:</w:t>
            </w:r>
            <w:r>
              <w:rPr>
                <w:rFonts w:ascii="Arial" w:cs="Arial" w:eastAsia="Arial" w:hAnsi="Arial"/>
                <w:sz w:val="25"/>
                <w:szCs w:val="25"/>
                <w:color w:val="auto"/>
                <w:vertAlign w:val="superscript"/>
              </w:rPr>
              <w:t>(1) (2) (3)</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63,161</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70,310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52,703</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89,529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43,046</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37,171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40,192</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2,369</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1,621</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242,188</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249,440</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215,098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(5,167)</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5,934</w:t>
            </w: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15,814</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1,859</w:t>
            </w:r>
          </w:p>
        </w:tc>
      </w:tr>
      <w:tr>
        <w:trPr>
          <w:trHeight w:val="297"/>
        </w:trPr>
        <w:tc>
          <w:tcPr>
            <w:tcW w:w="674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(26,444)</w:t>
            </w: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w:t>
            </w:r>
          </w:p>
        </w:tc>
      </w:tr>
      <w:tr>
        <w:trPr>
          <w:trHeight w:val="284"/>
        </w:trPr>
        <w:tc>
          <w:tcPr>
            <w:tcW w:w="674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per share of common stock:</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(0.46)</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311"/>
        </w:trPr>
        <w:tc>
          <w:tcPr>
            <w:tcW w:w="6740" w:type="dxa"/>
            <w:vAlign w:val="bottom"/>
            <w:tcBorders>
              <w:top w:val="single" w:sz="8" w:color="CCFFCC"/>
            </w:tcBorders>
            <w:shd w:val="clear" w:color="auto" w:fill="CCFFCC"/>
          </w:tcPr>
          <w:p>
            <w:pPr>
              <w:spacing w:after="0"/>
              <w:rPr>
                <w:sz w:val="24"/>
                <w:szCs w:val="24"/>
                <w:color w:val="auto"/>
              </w:rPr>
            </w:pPr>
          </w:p>
        </w:tc>
        <w:tc>
          <w:tcPr>
            <w:tcW w:w="360" w:type="dxa"/>
            <w:vAlign w:val="bottom"/>
            <w:tcBorders>
              <w:top w:val="single" w:sz="8" w:color="auto"/>
            </w:tcBorders>
            <w:shd w:val="clear" w:color="auto" w:fill="CCFFCC"/>
          </w:tcPr>
          <w:p>
            <w:pPr>
              <w:spacing w:after="0"/>
              <w:rPr>
                <w:sz w:val="24"/>
                <w:szCs w:val="24"/>
                <w:color w:val="auto"/>
              </w:rPr>
            </w:pPr>
          </w:p>
        </w:tc>
        <w:tc>
          <w:tcPr>
            <w:tcW w:w="1100" w:type="dxa"/>
            <w:vAlign w:val="bottom"/>
            <w:tcBorders>
              <w:top w:val="single" w:sz="8" w:color="auto"/>
            </w:tcBorders>
            <w:shd w:val="clear" w:color="auto" w:fill="CCFFCC"/>
          </w:tcPr>
          <w:p>
            <w:pPr>
              <w:spacing w:after="0"/>
              <w:rPr>
                <w:sz w:val="24"/>
                <w:szCs w:val="24"/>
                <w:color w:val="auto"/>
              </w:rPr>
            </w:pPr>
          </w:p>
        </w:tc>
        <w:tc>
          <w:tcPr>
            <w:tcW w:w="6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shares used to compute net loss income per share: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FFCC"/>
          </w:tcPr>
          <w:p>
            <w:pPr>
              <w:spacing w:after="0"/>
              <w:rPr>
                <w:sz w:val="22"/>
                <w:szCs w:val="22"/>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56,063,777</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56,452,408</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54,478,754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56,063,777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56,452,408</w:t>
            </w: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54,478,754</w:t>
            </w:r>
          </w:p>
        </w:tc>
      </w:tr>
      <w:tr>
        <w:trPr>
          <w:trHeight w:val="284"/>
        </w:trPr>
        <w:tc>
          <w:tcPr>
            <w:tcW w:w="674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7" w:lineRule="exact"/>
        <w:rPr>
          <w:sz w:val="20"/>
          <w:szCs w:val="20"/>
          <w:color w:val="auto"/>
        </w:rPr>
      </w:pPr>
    </w:p>
    <w:p>
      <w:pPr>
        <w:ind w:left="320" w:hanging="150"/>
        <w:spacing w:after="0"/>
        <w:tabs>
          <w:tab w:leader="none" w:pos="3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Amounts include stock compensation expense,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1,396</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1,492</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2,515</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3,088</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3,399</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3,304</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3,692</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3,809</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3,488</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3,638</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3,606</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Amounts include depreciation expense,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8,234</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9,091</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6,658</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1,315</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1,232</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871</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1,418</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820</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1,044</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898</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722</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Amounts include amortization of purchased intangibles,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58"/>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2,788</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3,167</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3,469</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9" w:name="page60"/>
    <w:bookmarkEnd w:id="59"/>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(25,873)</w:t>
            </w:r>
          </w:p>
        </w:tc>
        <w:tc>
          <w:tcPr>
            <w:tcW w:w="520" w:type="dxa"/>
            <w:vAlign w:val="bottom"/>
            <w:tcBorders>
              <w:bottom w:val="single" w:sz="8" w:color="CCFFCC"/>
            </w:tcBorders>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(26,444)</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(7,348)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(29,497)</w:t>
            </w:r>
          </w:p>
        </w:tc>
        <w:tc>
          <w:tcPr>
            <w:tcW w:w="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(27,842)</w:t>
            </w:r>
          </w:p>
        </w:tc>
        <w:tc>
          <w:tcPr>
            <w:tcW w:w="100" w:type="dxa"/>
            <w:vAlign w:val="bottom"/>
            <w:shd w:val="clear" w:color="auto" w:fill="CCFFCC"/>
          </w:tcPr>
          <w:p>
            <w:pPr>
              <w:spacing w:after="0"/>
              <w:rPr>
                <w:sz w:val="22"/>
                <w:szCs w:val="22"/>
                <w:color w:val="auto"/>
              </w:rPr>
            </w:pP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(8,143)</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60" w:name="page61"/>
    <w:bookmarkEnd w:id="60"/>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90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Paid-in</w:t>
            </w: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1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00" w:type="dxa"/>
            <w:vAlign w:val="bottom"/>
            <w:tcBorders>
              <w:bottom w:val="single" w:sz="8" w:color="CCFFCC"/>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FFC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CCFFCC"/>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FFC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FFC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Borders>
              <w:bottom w:val="single" w:sz="8" w:color="CCFFC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FFC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Borders>
              <w:bottom w:val="single" w:sz="8" w:color="CCFFC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4000" w:type="dxa"/>
            <w:vAlign w:val="bottom"/>
            <w:shd w:val="clear" w:color="auto" w:fill="CCFFCC"/>
          </w:tcPr>
          <w:p>
            <w:pPr>
              <w:ind w:left="40"/>
              <w:spacing w:after="0"/>
              <w:rPr>
                <w:sz w:val="20"/>
                <w:szCs w:val="20"/>
                <w:color w:val="auto"/>
              </w:rPr>
            </w:pPr>
            <w:r>
              <w:rPr>
                <w:rFonts w:ascii="Arial" w:cs="Arial" w:eastAsia="Arial" w:hAnsi="Arial"/>
                <w:sz w:val="14"/>
                <w:szCs w:val="14"/>
                <w:color w:val="auto"/>
              </w:rPr>
              <w:t>Balance at December 31, 2013</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96"/>
              </w:rPr>
              <w:t>54,484,760</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244,621</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(85,279)</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159,053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w w:val="95"/>
              </w:rPr>
              <w:t>Issuance of common stock in connection with CAO! acquisition</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1,627,753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20,121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20,123</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1,097,543</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7,882</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7,883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142,064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1,430</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(650,789)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(544,396)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(12,980)</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Tax benefit from exercise of employee stock options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(7,348)</w:t>
            </w:r>
          </w:p>
        </w:tc>
        <w:tc>
          <w:tcPr>
            <w:tcW w:w="0" w:type="dxa"/>
            <w:vAlign w:val="bottom"/>
          </w:tcPr>
          <w:p>
            <w:pPr>
              <w:spacing w:after="0"/>
              <w:rPr>
                <w:sz w:val="1"/>
                <w:szCs w:val="1"/>
                <w:color w:val="auto"/>
              </w:rPr>
            </w:pPr>
          </w:p>
        </w:tc>
      </w:tr>
      <w:tr>
        <w:trPr>
          <w:trHeight w:val="270"/>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Balance at December 31, 2014</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56,701,331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(544,396)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274,046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(92,627)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180,337</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645,531</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2,904</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2,904</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11,814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11,814</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170,857</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1,497</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(142,812)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(277,360)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(4,202)</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Tax benefit from exercise of employee stock options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(26,444)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(26,444)</w:t>
            </w:r>
          </w:p>
        </w:tc>
        <w:tc>
          <w:tcPr>
            <w:tcW w:w="0" w:type="dxa"/>
            <w:vAlign w:val="bottom"/>
          </w:tcPr>
          <w:p>
            <w:pPr>
              <w:spacing w:after="0"/>
              <w:rPr>
                <w:sz w:val="1"/>
                <w:szCs w:val="1"/>
                <w:color w:val="auto"/>
              </w:rPr>
            </w:pPr>
          </w:p>
        </w:tc>
      </w:tr>
      <w:tr>
        <w:trPr>
          <w:trHeight w:val="270"/>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57,374,907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(821,756)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286,856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(119,071)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165,305</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324,502</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1,806</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393,504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9,736</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9,736</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183,534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(1,518,349)</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(9,966)</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(25,873)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(25,873)</w:t>
            </w:r>
          </w:p>
        </w:tc>
        <w:tc>
          <w:tcPr>
            <w:tcW w:w="0" w:type="dxa"/>
            <w:vAlign w:val="bottom"/>
          </w:tcPr>
          <w:p>
            <w:pPr>
              <w:spacing w:after="0"/>
              <w:rPr>
                <w:sz w:val="1"/>
                <w:szCs w:val="1"/>
                <w:color w:val="auto"/>
              </w:rPr>
            </w:pPr>
          </w:p>
        </w:tc>
      </w:tr>
      <w:tr>
        <w:trPr>
          <w:trHeight w:val="270"/>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(3,624)</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Balance at December 31, 2016</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58,276,447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(2,340,105)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289,524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(144,944)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138,476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7"/>
          </w:tcPr>
          <w:p>
            <w:pPr>
              <w:jc w:val="right"/>
              <w:ind w:right="31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(25,873)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(26,444)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(7,348)</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12,306</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12,011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12,114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9,071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Impairment on investments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Amortization of tenant allowance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6,673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5,090</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(3,680)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 net</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1,843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14,456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(1,736)</w:t>
            </w:r>
          </w:p>
        </w:tc>
      </w:tr>
      <w:tr>
        <w:trPr>
          <w:trHeight w:val="189"/>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Changes in operating assets and liabilities, net of acquisitions: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(1,354)</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3,845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(4,056)</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(1,528)</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576</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13,283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2,710</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24,560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21,831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15,673</w:t>
            </w:r>
          </w:p>
        </w:tc>
      </w:tr>
      <w:tr>
        <w:trPr>
          <w:trHeight w:val="183"/>
        </w:trPr>
        <w:tc>
          <w:tcPr>
            <w:tcW w:w="88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INVESTING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(12,344)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(12,980)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(10,589)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Payments for acquisitions and intangible assets, net of cash acquired</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(40,871)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Cash held as collateral</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Investment in technology licenses</w:t>
            </w:r>
          </w:p>
        </w:tc>
        <w:tc>
          <w:tcPr>
            <w:tcW w:w="16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(3,451)</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(11,452)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(18,539)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(54,911)</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88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6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640" w:type="dxa"/>
            <w:vAlign w:val="bottom"/>
            <w:shd w:val="clear" w:color="auto" w:fill="CCFFCC"/>
          </w:tcPr>
          <w:p>
            <w:pPr>
              <w:spacing w:after="0"/>
              <w:rPr>
                <w:sz w:val="15"/>
                <w:szCs w:val="15"/>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(4,202)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(12,980)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from the exercise of employee stock options</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664</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Payments related to contingent consideration</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issuance of common stock in connection with the exercise of options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4,401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9,314</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76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(7,068)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(3,002)</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CHANGE IN CASH AND CASH EQUIVALENTS</w:t>
            </w: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2,086</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(42,534)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the year</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48,803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49,372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91,906</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CASH AND CASH EQUIVALENTS - End of the year</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50,889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48,803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49,372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6"/>
        </w:trPr>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OTHER CASH FLOW INFORMATION: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90"/>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Cash paid for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1,882</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4,386</w:t>
            </w:r>
          </w:p>
        </w:tc>
      </w:tr>
      <w:tr>
        <w:trPr>
          <w:trHeight w:val="237"/>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NON CASH INVESTING AND FINANCING ACTIVITIES:</w:t>
            </w: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r>
      <w:tr>
        <w:trPr>
          <w:trHeight w:val="304"/>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Purchase of property and equipment recorded in accounts payable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2,497</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w:t>
            </w:r>
          </w:p>
        </w:tc>
      </w:tr>
      <w:tr>
        <w:trPr>
          <w:trHeight w:val="251"/>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Leasehold improvements funded by landlord</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Issuance of 1,627,753 shares of common stock in connection with the acquisition of CAO! on November 7,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20,121</w:t>
            </w:r>
          </w:p>
        </w:tc>
      </w:tr>
      <w:tr>
        <w:trPr>
          <w:trHeight w:val="237"/>
        </w:trPr>
        <w:tc>
          <w:tcPr>
            <w:tcW w:w="88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Contingent earn-out in connection with the acquisition of CAO! recorded in accrued expenses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4,220</w:t>
            </w:r>
          </w:p>
        </w:tc>
      </w:tr>
      <w:tr>
        <w:trPr>
          <w:trHeight w:val="20"/>
        </w:trPr>
        <w:tc>
          <w:tcPr>
            <w:tcW w:w="88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Contingent earn-out in connection with the acquisition of Synchronite recorded in accrued expenses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12700</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364" w:right="239" w:bottom="676"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364" w:right="239" w:bottom="676"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an U.S. office in Alpharetta (Georgia), and international offices in Amsterdam, Berlin, London, Mannheim, Melbourne, Milan, Paris, Ra'anana (Israel), Reading (UK), and Tokyo.</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and sales, instead of demanding that consumers use email or call a 1-800 number.</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LiveEngage was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LivePerson and its wholly-owned subsidiaries. All significant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comparability, certain 2014 and 2015 amounts have been reclassified where appropriate, to conform to the financial presentation in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the consolidated financial statements in accordance with accounting principles generally accepted in the United States of America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Significant items subject to such estimates and assumptions include revenue recognition, stock-based compensation, accounts receivable, the valuation of goodwill and intangible assets, income taxes and legal contingencies.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 which approximate fair value at December 31, 2016 because of the short-term nature of these instruments. The Company invests its cash and cash equivalents with financial institutions that it believes are of high quality, and the Company performs periodic evaluations of these instruments and the relative credit standings of the 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customers are located primarily in the United States. The Company performs ongoing credit evaluations of its customers’ financial condition (except for customers who purchase the LivePerson services by credit card via Internet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in 2016, 2015 or 2014. No single customer accounted for or exceeded 10% of the Company's total accounts receivable in 2016 and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net in the accompanying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securities with original maturities of 3 months or less when acquired to be cash equivalents. Cash equivalents, which primarily consist of money market funds, are recorded at cost, which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for doubtful accounts is as follows (amounts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Beginning</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Costs and</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Deductions /</w:t>
            </w:r>
          </w:p>
        </w:tc>
        <w:tc>
          <w:tcPr>
            <w:tcW w:w="20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Ending</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Balance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Write-Offs</w:t>
            </w:r>
          </w:p>
        </w:tc>
        <w:tc>
          <w:tcPr>
            <w:tcW w:w="20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7"/>
        </w:trPr>
        <w:tc>
          <w:tcPr>
            <w:tcW w:w="428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r>
      <w:tr>
        <w:trPr>
          <w:trHeight w:val="251"/>
        </w:trPr>
        <w:tc>
          <w:tcPr>
            <w:tcW w:w="4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1,184</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4280" w:type="dxa"/>
            <w:vAlign w:val="bottom"/>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related assets, generally three to five years for equipment and software. Leasehold improvements are depreciated using the straight-line method over the shorter of the lease term or the estimated useful life of the asset. Depreciation expense totaled $12.0 million, $12.1 million, and $9.1 million for the years ended December 31, 2016, 2015 and 2014,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 Development Costs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Financial Accounting Standards Board (“FASB”) Accounting Standards Codification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three years. Costs incurred prior to meeting these criteria, together with costs incurred for training and maintenance, are expensed as incurred.</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capitalized internal-use software costs of $3.7 million, $2.4 million, and $2.5 million for the years ended December 31, 2016, 2015 and 2014,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the FASB issued ASU No. 2011-8, “Intangibles — Goodwill and Other (Topic 350).” ASU 2011-8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then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The Company performs internal valuation analyses and considers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comparables.</w:t>
      </w:r>
    </w:p>
    <w:p>
      <w:pPr>
        <w:spacing w:after="0" w:line="7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ASC 350-10 also requires that intangible assets with estimable useful lives be amortized over their respective estimated useful lives to their estimated residual values, and reviewed for impairment in accordance with ASC 360-10-35, “Accounting for Impairment or Disposal of Long-Lived Assets.”</w:t>
      </w:r>
    </w:p>
    <w:p>
      <w:pPr>
        <w:spacing w:after="0" w:line="1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evaluates for goodwill impairment annually at September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and at the end of the third quarter of 2016, the Company determined that it was not more-likely that the fair value of the reporting units is less than their carrying amount. Accordingly, the Company did not perform the two-step goodwill impairment test on both the Company's Business and Consumer segments. The Company assessed qualitative facts while summarizing the totality of events and circumstances and considered the extent to which adverse events or circumstances could affect the reporting unit's fair value as well as the consideration of positive and mitigating events and circumstances that would affect the determination of whether it was more likely than not that the fair value of a reporting unit is less than its carrying amount.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During December 31, 2016, the Company determined certain long-lived assets related to the legacy platform and purchased intangibles of technology licenses to be impaired. The net book value of these assets, of approximately $0.2 million and $2.6 million, was included in restructuring costs and general and administrative expenses,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a financial instrument is the amount at which the instrument could be exchanged in a current transaction between willing parties. Cash and cash equivalents, accounts receivable, security deposits and accounts payable carrying amounts approximate fair value because of the short maturity of these instruments.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quarterly or annual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Considerations,” the Company records revenue for transactions in which it acts as an agent on a net basis, and revenue for transactions in which it acts as a principal on a gross basis.</w:t>
      </w:r>
    </w:p>
    <w:p>
      <w:pPr>
        <w:spacing w:after="0" w:line="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(“SMBs”),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12 month terms and, in some cases, are terminable or may terminate upon 30 to 90 days’ notice without penalty. When professional service fees add value to the customer on a standalone basis, the Company recognizes professional service fees upon completion of services and customer acceptance. This guidance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expenses the cost of advertising and promoting its services as incurred. Such costs totaled approximately $10.9 million, $10.7 million, and $9.7 million for the years ended December 31, 2016, 2015 and 2014,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Topic 718 -10, "Stock Compensation", the Company measures stock based awards at fair value and recognizes compensation expense for all share-based payment awards made to its employees and directors, including employee stock options.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the fair value of stock options granted using the Black-Scholes valuation model. This model requires the Company to make estimates and assumptions including, among other things, estimates regarding the length of time an employee will retain vested stock options before exercising them, the estimated volatility of its common stock price and the number of options that will be forfeited prior to vesting. The fair value is then recognized on a straight line basis over the requisite service period of the award, which is generally four years. Changes in these estimates and assumptions can materially affect the determination of the fair value of the stock-based compensation and consequently, the related amount recognized in the consolidated statement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Valuation allowances are established, when necessary, to reduce deferred tax assets to the amount expected to be realized.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220, Comprehensive Income, the Company reports by major components and as a single total, the change in its net assets during the period from non-owner sources. Comprehensive income (loss) consists of net income (loss), and accumulated other comprehensive income (loss), which includes certain changes in equity that are excluded from net income (loss). The Company’s comprehensive loss for all periods presented is related to the effect of foreign currency translation.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2017, the Financial Accounting Standards Board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The Company does not expect the adoption of ASU 2017-01 to have a material effect on its financial position, results of operations or cash flows.</w:t>
      </w:r>
    </w:p>
    <w:p>
      <w:pPr>
        <w:spacing w:after="0" w:line="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and(c)classification on the statement of cash flows. ASU 2016-09 is effective for financial statements issued for annual periods beginning after December 15, 2016. The Company does not expect the adoption of ASU 2016-09 to have a material effect on its financial position, results of operations or cash flows.</w:t>
      </w:r>
    </w:p>
    <w:p>
      <w:pPr>
        <w:spacing w:after="0" w:line="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While the Company is currently assessing the impact ASU 2016-02 will have on the consolidated financial statements, the Company expects the primary impact to its consolidated financial position upon adoption will be the recognition, on a discounted basis, of its minimum commitments under non-cancelable operating leases on the consolidated balance sheets resulting in the recording of right of use assets and lease obligations. The Company's current minimum commitments under noncancelable operating leases are disclosed in Note 10.</w:t>
      </w:r>
    </w:p>
    <w:p>
      <w:pPr>
        <w:spacing w:after="0" w:line="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In December 2016, FASB issued guidance to make minor corrections or minor improvements to the Codification that are not expected to have a significant effect on current accounting practice or create a significant administrative cost to most entities. The Company's current revenue policy meets five core principles of ASU 2014-09 and the Company currently capitalizes the contract costs over the contracted period also in accordance with ASU 2014-09. The Company is still analyzing the impact of this ASU, but based on the current work to date the Company believes that the current revenue recognition policy currently in place already depicts the transfer of promised goods or services to customers in an amount that reflects the consideration to which the Company expects to be entitled in exchange for those goods or services and as a result the adoption of this ASU is not expected to have a material impact on the Company's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net loss per common share for the year ended December 31, 2016 does not include the effect of options to purchase 8,956,932 shares of common stock awards as the effect of their inclusion is anti-dilutive. Diluted net income per common share for the year ended December 31, 2015 does not include the effect of options to purchase 10,345,356 shares of common stock awards as the effect of their inclusion is anti-dilutive. Diluted net income per common share for the year ended December 31, 2014 does not include the effect of options to purchase 10,769,149 shares of common stock awards as the effect of their inclusion is anti-dilutive.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168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56,063,777</w:t>
            </w:r>
          </w:p>
        </w:tc>
        <w:tc>
          <w:tcPr>
            <w:tcW w:w="1680" w:type="dxa"/>
            <w:vAlign w:val="bottom"/>
            <w:tcBorders>
              <w:bottom w:val="single" w:sz="8" w:color="CCFFCC"/>
            </w:tcBorders>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56,452,408</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54,478,754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assumed exercised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56,063,777</w:t>
            </w:r>
          </w:p>
        </w:tc>
        <w:tc>
          <w:tcPr>
            <w:tcW w:w="16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56,452,408</w:t>
            </w:r>
          </w:p>
        </w:tc>
        <w:tc>
          <w:tcPr>
            <w:tcW w:w="10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1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54,478,754</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The chief operating decision-maker evaluates performance, makes operating decisions, and allocates resources based on the operating income of each segment. The reporting segments follow the same accounting polices used in the preparation of the Company’s consolidated financial statements which</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are described in the summary of significant accounting policies. The Company allocates cost of revenue, sales and marketing and amortization of purchased intangibles to the segments, but it does not allocate product development expenses, general and administrative expenses and income tax expense because management does not use this information to measure performance of the operating segments. There are currently no intersegment sales. Additionally, assets are not available for review by segment and therefore no segment asset disclosure is presented.</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2016,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183,551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183,551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16,258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16,258</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22,970</w:t>
            </w:r>
          </w:p>
        </w:tc>
      </w:tr>
      <w:tr>
        <w:trPr>
          <w:trHeight w:val="27"/>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206,521</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16,258</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222,779</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60,352</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63,161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82,063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7,466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89,529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3,885</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85,613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85,613</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60,221</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5,983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(19,409)</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2015,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200,576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200,576</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15,209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15,209</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23,227</w:t>
            </w:r>
          </w:p>
        </w:tc>
      </w:tr>
      <w:tr>
        <w:trPr>
          <w:trHeight w:val="27"/>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223,803</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15,209</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239,012</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70,310</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87,975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6,753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94,728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4,873</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79,529</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79,529</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63,054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(10,428)</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2014,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64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172,783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172,783</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16,629</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16,629</w:t>
            </w: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20,519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20,519</w:t>
            </w:r>
          </w:p>
        </w:tc>
      </w:tr>
      <w:tr>
        <w:trPr>
          <w:trHeight w:val="27"/>
        </w:trPr>
        <w:tc>
          <w:tcPr>
            <w:tcW w:w="64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193,302</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16,629</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209,931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50,192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52,703</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77,118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6,135</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83,253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1,621</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77,521</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77,521</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64,371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w:t>
            </w: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1"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years ended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146,733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159,539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138,533</w:t>
            </w:r>
          </w:p>
        </w:tc>
      </w:tr>
      <w:tr>
        <w:trPr>
          <w:trHeight w:val="270"/>
        </w:trPr>
        <w:tc>
          <w:tcPr>
            <w:tcW w:w="6740" w:type="dxa"/>
            <w:vAlign w:val="bottom"/>
            <w:tcBorders>
              <w:bottom w:val="single" w:sz="8" w:color="CCFFCC"/>
            </w:tcBorders>
          </w:tcPr>
          <w:p>
            <w:pPr>
              <w:ind w:left="40"/>
              <w:spacing w:after="0" w:line="270" w:lineRule="exact"/>
              <w:rPr>
                <w:sz w:val="20"/>
                <w:szCs w:val="20"/>
                <w:color w:val="auto"/>
              </w:rPr>
            </w:pPr>
            <w:r>
              <w:rPr>
                <w:rFonts w:ascii="Arial" w:cs="Arial" w:eastAsia="Arial" w:hAnsi="Arial"/>
                <w:sz w:val="18"/>
                <w:szCs w:val="18"/>
                <w:color w:val="auto"/>
              </w:rPr>
              <w:t xml:space="preserve">Other Americas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FFC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10,508</w:t>
            </w: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153,551</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171,835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149,041</w:t>
            </w:r>
          </w:p>
        </w:tc>
      </w:tr>
      <w:tr>
        <w:trPr>
          <w:trHeight w:val="270"/>
        </w:trPr>
        <w:tc>
          <w:tcPr>
            <w:tcW w:w="674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2"/>
                <w:szCs w:val="12"/>
                <w:color w:val="auto"/>
              </w:rPr>
              <w:t xml:space="preserve"> (2) (4)</w:t>
            </w:r>
          </w:p>
        </w:tc>
        <w:tc>
          <w:tcPr>
            <w:tcW w:w="3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50,511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51,548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44,506</w:t>
            </w: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5"/>
                <w:szCs w:val="25"/>
                <w:color w:val="auto"/>
                <w:vertAlign w:val="superscript"/>
              </w:rPr>
              <w:t>(3)</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18,717</w:t>
            </w:r>
          </w:p>
        </w:tc>
        <w:tc>
          <w:tcPr>
            <w:tcW w:w="100" w:type="dxa"/>
            <w:vAlign w:val="bottom"/>
            <w:shd w:val="clear" w:color="auto" w:fill="CCFFCC"/>
          </w:tcPr>
          <w:p>
            <w:pPr>
              <w:spacing w:after="0"/>
              <w:rPr>
                <w:sz w:val="23"/>
                <w:szCs w:val="23"/>
                <w:color w:val="auto"/>
              </w:rPr>
            </w:pPr>
          </w:p>
        </w:tc>
        <w:tc>
          <w:tcPr>
            <w:tcW w:w="200" w:type="dxa"/>
            <w:vAlign w:val="bottom"/>
            <w:tcBorders>
              <w:bottom w:val="single" w:sz="8" w:color="auto"/>
            </w:tcBorders>
            <w:shd w:val="clear" w:color="auto" w:fill="CCFFCC"/>
          </w:tcPr>
          <w:p>
            <w:pPr>
              <w:spacing w:after="0"/>
              <w:rPr>
                <w:sz w:val="23"/>
                <w:szCs w:val="23"/>
                <w:color w:val="auto"/>
              </w:rPr>
            </w:pPr>
          </w:p>
        </w:tc>
        <w:tc>
          <w:tcPr>
            <w:tcW w:w="12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15,629</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16,384</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222,779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239,012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209,931</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left="160" w:hanging="152"/>
        <w:spacing w:after="0" w:line="223" w:lineRule="auto"/>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revenues from the United Kingdom of $35.3 million and $38.2 million for the twelve months ended December 31, 2016 and 2015, respectively.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years ended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84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93,845</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96,362</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Israel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13,940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16,393</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9,496</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8,290</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8,285</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8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2,482</w:t>
            </w:r>
          </w:p>
        </w:tc>
      </w:tr>
      <w:tr>
        <w:trPr>
          <w:trHeight w:val="257"/>
        </w:trPr>
        <w:tc>
          <w:tcPr>
            <w:tcW w:w="8480" w:type="dxa"/>
            <w:vAlign w:val="bottom"/>
          </w:tcPr>
          <w:p>
            <w:pPr>
              <w:ind w:left="280"/>
              <w:spacing w:after="0"/>
              <w:rPr>
                <w:sz w:val="20"/>
                <w:szCs w:val="20"/>
                <w:color w:val="auto"/>
              </w:rPr>
            </w:pPr>
            <w:r>
              <w:rPr>
                <w:rFonts w:ascii="Arial" w:cs="Arial" w:eastAsia="Arial" w:hAnsi="Arial"/>
                <w:sz w:val="18"/>
                <w:szCs w:val="18"/>
                <w:color w:val="auto"/>
              </w:rPr>
              <w:t>Total 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127,487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131,812</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82,477</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67,631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15,027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13,761</w:t>
            </w: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97,504</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81,392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(57,263)</w:t>
            </w: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8"/>
                <w:szCs w:val="18"/>
                <w:color w:val="auto"/>
              </w:rPr>
              <w:t>28,397</w:t>
            </w:r>
          </w:p>
        </w:tc>
        <w:tc>
          <w:tcPr>
            <w:tcW w:w="10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24,129</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its policy, the Company reviews the estimated useful lives of its fixed assets on an ongoing basis. This review indicated that the actual lives of certain co-location assets were longer than the estimated useful lives used for depreciation purposes in the Company's financial statements. As a result, effective August 1, 2016, the Company changed its estimates of the useful lives of its co-location assets to better reflect the estimated periods during which these assets will remain in service. The estimated useful lives of the co-location assets that previously averaged three years were increased to an average of four years. The effect of this change in estimate was to reduce depreciation expense and net loss for the twelve months ended</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1" w:right="2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December 31, 2016 by $1.0 million and decrease basic and diluted loss per share by $0.02. Aggregate depreciation expense for property and equipment was $12.0 million, $12.1 million and $9.1 million for the years ended December 31, 2016, 2015 and 2014,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2016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72,298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80,322</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72,221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80,245</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2015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72,824</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80,848</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(526)</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72,298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80,322</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accumulated goodwill impairment charges are $23.5 million through December 31, 2016. No impairment was recognized for the years ended December 31, 2016, 2015 and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7)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 2016</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4.7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16,009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5.8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2.6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1.7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11.0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3.0 years</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48,211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16,510</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770"/>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7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December 31, 2015</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Net Carrying</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4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spacing w:after="0"/>
              <w:rPr>
                <w:sz w:val="21"/>
                <w:szCs w:val="21"/>
                <w:color w:val="auto"/>
              </w:rPr>
            </w:pP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12,282</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4.7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16,008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(6,873)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9,135</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5.8 years</w:t>
            </w: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2.6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1.7 years</w:t>
            </w: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9.3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FFCC"/>
            </w:tcBorders>
            <w:shd w:val="clear" w:color="auto" w:fill="CCFFCC"/>
          </w:tcPr>
          <w:p>
            <w:pPr>
              <w:spacing w:after="0"/>
              <w:rPr>
                <w:sz w:val="23"/>
                <w:szCs w:val="23"/>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3.0 years</w:t>
            </w:r>
          </w:p>
        </w:tc>
      </w:tr>
      <w:tr>
        <w:trPr>
          <w:trHeight w:val="257"/>
        </w:trPr>
        <w:tc>
          <w:tcPr>
            <w:tcW w:w="54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50,498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24,619</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$6.7 million, $8.0 million and $5.1 million for the years ended December 31, 2016, 2015 and 2014, respectively. For the years ended December 31, 2016, 2015 and 2014, a portion of this amortization is included in cost of revenue. Estimated amortization expense for the next five years are as follows (amounts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Estimated Amortization</w:t>
            </w:r>
          </w:p>
        </w:tc>
      </w:tr>
      <w:tr>
        <w:trPr>
          <w:trHeight w:val="210"/>
        </w:trPr>
        <w:tc>
          <w:tcPr>
            <w:tcW w:w="9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772"/>
              <w:spacing w:after="0"/>
              <w:rPr>
                <w:sz w:val="20"/>
                <w:szCs w:val="20"/>
                <w:color w:val="auto"/>
              </w:rPr>
            </w:pPr>
            <w:r>
              <w:rPr>
                <w:rFonts w:ascii="Arial" w:cs="Arial" w:eastAsia="Arial" w:hAnsi="Arial"/>
                <w:sz w:val="16"/>
                <w:szCs w:val="16"/>
                <w:b w:val="1"/>
                <w:bCs w:val="1"/>
                <w:color w:val="auto"/>
              </w:rPr>
              <w:t>Expense</w:t>
            </w:r>
          </w:p>
        </w:tc>
      </w:tr>
      <w:tr>
        <w:trPr>
          <w:trHeight w:val="33"/>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4,598</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2,550</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2,343</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2,146</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1,945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2,928</w:t>
            </w:r>
          </w:p>
        </w:tc>
      </w:tr>
      <w:tr>
        <w:trPr>
          <w:trHeight w:val="27"/>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16,510</w:t>
            </w:r>
          </w:p>
        </w:tc>
      </w:tr>
      <w:tr>
        <w:trPr>
          <w:trHeight w:val="20"/>
        </w:trPr>
        <w:tc>
          <w:tcPr>
            <w:tcW w:w="9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 and Other Current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liabilities and other current liabilities for the periods presented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15,468</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14,107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Professional services, consulting and other vendor fees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11,745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20" w:type="dxa"/>
            <w:vAlign w:val="bottom"/>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6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3,519</w:t>
            </w:r>
          </w:p>
        </w:tc>
      </w:tr>
      <w:tr>
        <w:trPr>
          <w:trHeight w:val="277"/>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360" w:type="dxa"/>
            <w:vAlign w:val="bottom"/>
            <w:tcBorders>
              <w:bottom w:val="single" w:sz="8" w:color="CCFFCC"/>
            </w:tcBorders>
            <w:shd w:val="clear" w:color="auto" w:fill="CCFFCC"/>
          </w:tcPr>
          <w:p>
            <w:pPr>
              <w:spacing w:after="0"/>
              <w:rPr>
                <w:sz w:val="24"/>
                <w:szCs w:val="24"/>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FFCC"/>
            </w:tcBorders>
            <w:shd w:val="clear" w:color="auto" w:fill="CCFFCC"/>
          </w:tcPr>
          <w:p>
            <w:pPr>
              <w:spacing w:after="0"/>
              <w:rPr>
                <w:sz w:val="24"/>
                <w:szCs w:val="24"/>
                <w:color w:val="auto"/>
              </w:rPr>
            </w:pPr>
          </w:p>
        </w:tc>
        <w:tc>
          <w:tcPr>
            <w:tcW w:w="500" w:type="dxa"/>
            <w:vAlign w:val="bottom"/>
            <w:tcBorders>
              <w:bottom w:val="single" w:sz="8" w:color="CCFFCC"/>
            </w:tcBorders>
            <w:shd w:val="clear" w:color="auto" w:fill="CCFFCC"/>
          </w:tcPr>
          <w:p>
            <w:pPr>
              <w:spacing w:after="0"/>
              <w:rPr>
                <w:sz w:val="24"/>
                <w:szCs w:val="24"/>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4,522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Contingent earn-out (Note 7 and 8)</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26</w:t>
            </w:r>
          </w:p>
        </w:tc>
      </w:tr>
      <w:tr>
        <w:trPr>
          <w:trHeight w:val="257"/>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40,250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34,296</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 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will be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December 31, 2016 consolidated balance sheet, due to the variable number of shares that will be issued if and when the targets are achieved. During the year ended December 31, 2015, the Company made $1.6 million of payments. The ending balance at December 31, 2016 is $0.2 million. The Company will continue to assess the earn-out calculation in future periods and any future adjustments will affect operating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w:t>
      </w:r>
    </w:p>
    <w:p>
      <w:pPr>
        <w:spacing w:after="0" w:line="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included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During the year ended December 31, 2015, the Company assessed this earn-out and recorded a $3.2 million fair value re-measurement adjustment, which was recorded in loss from operations as a decrease in general and administrative expenses. During the year ended December 31, 2016, the Company made cash payments of $0.2 million. There is no remaining liability included in accrued expenses relating to this contingent earn-out as of December 31, 2016.</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or liabilities; or inputs that are derived principally from or corroborated by observable market data by correlation or other means.</w:t>
      </w:r>
    </w:p>
    <w:p>
      <w:pPr>
        <w:spacing w:after="0" w:line="88" w:lineRule="exact"/>
        <w:rPr>
          <w:sz w:val="20"/>
          <w:szCs w:val="20"/>
          <w:color w:val="auto"/>
        </w:rPr>
      </w:pPr>
    </w:p>
    <w:p>
      <w:pPr>
        <w:ind w:left="130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2016 and December 31, 2015, are summarized as follows (amounts in thousands). The Company’s restricted cash balance of $4.0 million at December 31, 2016 and $5.4 million at December 31, 2015 is not held in a money market account and is not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16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6"/>
                <w:szCs w:val="16"/>
                <w:b w:val="1"/>
                <w:bCs w:val="1"/>
                <w:color w:val="auto"/>
              </w:rPr>
              <w:t>December 31, 2015</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3,076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3,076</w:t>
            </w: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4,059</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3,076</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3,184</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4,161</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Contingent earn-out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66</w:t>
            </w:r>
          </w:p>
        </w:tc>
        <w:tc>
          <w:tcPr>
            <w:tcW w:w="2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310</w:t>
            </w:r>
          </w:p>
        </w:tc>
      </w:tr>
      <w:tr>
        <w:trPr>
          <w:trHeight w:val="244"/>
        </w:trPr>
        <w:tc>
          <w:tcPr>
            <w:tcW w:w="35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687</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twelve months ended December 31, 2015, the contingent earn-out decreased by $4.1 million in connection with the acquisition of CAO! due to both re-measurement to fair value of $3.2 million and cash payments of $0.9 million. The contingent earnout was also decreased by $0.9 million in connection with the Engage acquisition and by $1.6 million in connection with the acquisition of Synchronite due to both re-measurement to fair value and cash payments. During the twelve months ended December 31, 2016, the contingent earnout was decreased by $0.2 million in connection with the acquisition of CAO! due to cash payments. The contingent earn-out amounts are recorded in accrued expense on the consolidated balance sheets as they are payable in 2017. The contingent earn-out relating to Engage was based on the potential earn-out consideration if certain revenue targets are achieved. There was no remaining contingent earn-out in connection with the acquisition of Engage as of December 31, 2016. The contingent earn-out relating to Synchronite is based on the fulfillment of a complete product integration and a minimum number of “Co-Browse” interactions per month. There was $0.2 million of contingent earn-out remaining in connection with the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of Synchronite as of December 31, 2016. There was no remaining contingent earn-out in connection with the acquisition of CAO! as of December 31, 2016.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4"/>
                <w:szCs w:val="14"/>
                <w:b w:val="1"/>
                <w:bCs w:val="1"/>
                <w:color w:val="auto"/>
              </w:rPr>
              <w:t>Contingent Earn-Out</w:t>
            </w:r>
          </w:p>
        </w:tc>
      </w:tr>
      <w:tr>
        <w:trPr>
          <w:trHeight w:val="250"/>
        </w:trPr>
        <w:tc>
          <w:tcPr>
            <w:tcW w:w="85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1"/>
                <w:szCs w:val="21"/>
                <w:color w:val="auto"/>
              </w:rPr>
            </w:pP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6,940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Cash payment</w:t>
            </w:r>
          </w:p>
        </w:tc>
        <w:tc>
          <w:tcPr>
            <w:tcW w:w="88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(167)</w:t>
            </w:r>
          </w:p>
        </w:tc>
        <w:tc>
          <w:tcPr>
            <w:tcW w:w="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(2,883)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fair value</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w:t>
            </w:r>
          </w:p>
        </w:tc>
      </w:tr>
      <w:tr>
        <w:trPr>
          <w:trHeight w:val="27"/>
        </w:trPr>
        <w:tc>
          <w:tcPr>
            <w:tcW w:w="8580" w:type="dxa"/>
            <w:vAlign w:val="bottom"/>
            <w:tcBorders>
              <w:bottom w:val="single" w:sz="8" w:color="CCFFC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End of year</w:t>
            </w:r>
          </w:p>
        </w:tc>
        <w:tc>
          <w:tcPr>
            <w:tcW w:w="880" w:type="dxa"/>
            <w:vAlign w:val="bottom"/>
            <w:tcBorders>
              <w:bottom w:val="single" w:sz="8" w:color="auto"/>
            </w:tcBorders>
            <w:shd w:val="clear" w:color="auto" w:fill="CCFFC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FFCC"/>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FFCC"/>
          </w:tcPr>
          <w:p>
            <w:pPr>
              <w:jc w:val="right"/>
              <w:ind w:right="14"/>
              <w:spacing w:after="0"/>
              <w:rPr>
                <w:sz w:val="20"/>
                <w:szCs w:val="20"/>
                <w:color w:val="auto"/>
              </w:rPr>
            </w:pPr>
            <w:r>
              <w:rPr>
                <w:rFonts w:ascii="Arial" w:cs="Arial" w:eastAsia="Arial" w:hAnsi="Arial"/>
                <w:sz w:val="18"/>
                <w:szCs w:val="18"/>
                <w:color w:val="auto"/>
              </w:rPr>
              <w:t>377</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exposed to foreign exchange risks that are managed in part by using derivative financial instruments. Beginning in January 2015, the Company entered into foreign currency forward contracts related to risks associated with foreign operations. The Company does not use derivatives for trading purposes and at December 31, 2016 has no derivatives that are designated as fair value hedges.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$4.0 million at December 31, 2016 and is recorded as cash held as collateral in current assets.</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As of December 31, 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Notional amount of foreign currency derivative contracts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44,438</w:t>
            </w:r>
          </w:p>
        </w:tc>
        <w:tc>
          <w:tcPr>
            <w:tcW w:w="120" w:type="dxa"/>
            <w:vAlign w:val="bottom"/>
          </w:tcPr>
          <w:p>
            <w:pPr>
              <w:spacing w:after="0"/>
              <w:rPr>
                <w:sz w:val="21"/>
                <w:szCs w:val="21"/>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43,431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68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Fair value of foreign currency derivatives contracts</w:t>
            </w: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940" w:type="dxa"/>
            <w:vAlign w:val="bottom"/>
            <w:gridSpan w:val="3"/>
          </w:tcPr>
          <w:p>
            <w:pPr>
              <w:spacing w:after="0"/>
              <w:rPr>
                <w:sz w:val="20"/>
                <w:szCs w:val="20"/>
                <w:color w:val="auto"/>
              </w:rPr>
            </w:pPr>
            <w:r>
              <w:rPr>
                <w:rFonts w:ascii="Arial" w:cs="Arial" w:eastAsia="Arial" w:hAnsi="Arial"/>
                <w:sz w:val="18"/>
                <w:szCs w:val="18"/>
                <w:color w:val="auto"/>
                <w:w w:val="94"/>
              </w:rPr>
              <w:t>The fair value of the Company’s derivative instruments is summarized below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760" w:type="dxa"/>
            <w:vAlign w:val="bottom"/>
            <w:tcBorders>
              <w:bottom w:val="single" w:sz="8" w:color="auto"/>
            </w:tcBorders>
            <w:gridSpan w:val="6"/>
          </w:tcPr>
          <w:p>
            <w:pPr>
              <w:ind w:left="2860"/>
              <w:spacing w:after="0"/>
              <w:rPr>
                <w:sz w:val="20"/>
                <w:szCs w:val="20"/>
                <w:color w:val="auto"/>
              </w:rPr>
            </w:pPr>
            <w:r>
              <w:rPr>
                <w:rFonts w:ascii="Arial" w:cs="Arial" w:eastAsia="Arial" w:hAnsi="Arial"/>
                <w:sz w:val="14"/>
                <w:szCs w:val="14"/>
                <w:b w:val="1"/>
                <w:bCs w:val="1"/>
                <w:color w:val="auto"/>
              </w:rPr>
              <w:t>Fair Value of Derivative Instruments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Borders>
              <w:bottom w:val="single" w:sz="8" w:color="CCFFCC"/>
            </w:tcBorders>
          </w:tcPr>
          <w:p>
            <w:pPr>
              <w:spacing w:after="0"/>
              <w:rPr>
                <w:sz w:val="22"/>
                <w:szCs w:val="22"/>
                <w:color w:val="auto"/>
              </w:rPr>
            </w:pPr>
          </w:p>
        </w:tc>
        <w:tc>
          <w:tcPr>
            <w:tcW w:w="3340" w:type="dxa"/>
            <w:vAlign w:val="bottom"/>
            <w:tcBorders>
              <w:bottom w:val="single" w:sz="8" w:color="CCFFCC"/>
            </w:tcBorders>
          </w:tcPr>
          <w:p>
            <w:pPr>
              <w:spacing w:after="0"/>
              <w:rPr>
                <w:sz w:val="22"/>
                <w:szCs w:val="22"/>
                <w:color w:val="auto"/>
              </w:rPr>
            </w:pPr>
          </w:p>
        </w:tc>
        <w:tc>
          <w:tcPr>
            <w:tcW w:w="3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4"/>
              </w:rPr>
              <w:t>As of December 31, 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9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As of December 31, 2015</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Assets</w:t>
            </w:r>
          </w:p>
        </w:tc>
        <w:tc>
          <w:tcPr>
            <w:tcW w:w="3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instruments:</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shd w:val="clear" w:color="auto" w:fill="CCFFCC"/>
          </w:tcPr>
          <w:p>
            <w:pPr>
              <w:spacing w:after="0"/>
              <w:rPr>
                <w:sz w:val="19"/>
                <w:szCs w:val="19"/>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Foreign currency derivatives</w:t>
            </w:r>
          </w:p>
        </w:tc>
        <w:tc>
          <w:tcPr>
            <w:tcW w:w="3500" w:type="dxa"/>
            <w:vAlign w:val="bottom"/>
            <w:shd w:val="clear" w:color="auto" w:fill="CCFFCC"/>
          </w:tcPr>
          <w:p>
            <w:pPr>
              <w:spacing w:after="0"/>
              <w:rPr>
                <w:sz w:val="19"/>
                <w:szCs w:val="19"/>
                <w:color w:val="auto"/>
              </w:rPr>
            </w:pPr>
          </w:p>
        </w:tc>
        <w:tc>
          <w:tcPr>
            <w:tcW w:w="480" w:type="dxa"/>
            <w:vAlign w:val="bottom"/>
            <w:gridSpan w:val="3"/>
            <w:vMerge w:val="restart"/>
            <w:shd w:val="clear" w:color="auto" w:fill="CCFFCC"/>
          </w:tcPr>
          <w:p>
            <w:pPr>
              <w:ind w:left="300"/>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shd w:val="clear" w:color="auto" w:fill="CCFFCC"/>
          </w:tcPr>
          <w:p>
            <w:pPr>
              <w:jc w:val="right"/>
              <w:ind w:right="4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94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shd w:val="clear" w:color="auto" w:fill="CCFFCC"/>
          </w:tcPr>
          <w:p>
            <w:pPr>
              <w:spacing w:after="0"/>
              <w:rPr>
                <w:sz w:val="20"/>
                <w:szCs w:val="20"/>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contracts</w:t>
            </w:r>
          </w:p>
        </w:tc>
        <w:tc>
          <w:tcPr>
            <w:tcW w:w="3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gridSpan w:val="3"/>
            <w:vMerge w:val="continue"/>
            <w:shd w:val="clear" w:color="auto" w:fill="CCFFCC"/>
          </w:tcPr>
          <w:p>
            <w:pPr>
              <w:spacing w:after="0"/>
              <w:rPr>
                <w:sz w:val="20"/>
                <w:szCs w:val="20"/>
                <w:color w:val="auto"/>
              </w:rPr>
            </w:pPr>
          </w:p>
        </w:tc>
        <w:tc>
          <w:tcPr>
            <w:tcW w:w="1780" w:type="dxa"/>
            <w:vAlign w:val="bottom"/>
            <w:gridSpan w:val="2"/>
            <w:vMerge w:val="continue"/>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940" w:type="dxa"/>
            <w:vAlign w:val="bottom"/>
            <w:vMerge w:val="continue"/>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FFCC"/>
            </w:tcBorders>
            <w:gridSpan w:val="2"/>
          </w:tcPr>
          <w:p>
            <w:pPr>
              <w:spacing w:after="0" w:line="20" w:lineRule="exact"/>
              <w:rPr>
                <w:sz w:val="1"/>
                <w:szCs w:val="1"/>
                <w:color w:val="auto"/>
              </w:rPr>
            </w:pPr>
          </w:p>
        </w:tc>
        <w:tc>
          <w:tcPr>
            <w:tcW w:w="35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3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instruments:</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shd w:val="clear" w:color="auto" w:fill="CCFFCC"/>
          </w:tcPr>
          <w:p>
            <w:pPr>
              <w:spacing w:after="0"/>
              <w:rPr>
                <w:sz w:val="19"/>
                <w:szCs w:val="19"/>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Foreign currency derivatives</w:t>
            </w:r>
          </w:p>
        </w:tc>
        <w:tc>
          <w:tcPr>
            <w:tcW w:w="3500" w:type="dxa"/>
            <w:vAlign w:val="bottom"/>
            <w:shd w:val="clear" w:color="auto" w:fill="CCFFCC"/>
          </w:tcPr>
          <w:p>
            <w:pPr>
              <w:spacing w:after="0"/>
              <w:rPr>
                <w:sz w:val="19"/>
                <w:szCs w:val="19"/>
                <w:color w:val="auto"/>
              </w:rPr>
            </w:pPr>
          </w:p>
        </w:tc>
        <w:tc>
          <w:tcPr>
            <w:tcW w:w="480" w:type="dxa"/>
            <w:vAlign w:val="bottom"/>
            <w:gridSpan w:val="3"/>
            <w:vMerge w:val="restart"/>
            <w:shd w:val="clear" w:color="auto" w:fill="CCFFCC"/>
          </w:tcPr>
          <w:p>
            <w:pPr>
              <w:ind w:left="300"/>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shd w:val="clear" w:color="auto" w:fill="CCFFCC"/>
          </w:tcPr>
          <w:p>
            <w:pPr>
              <w:jc w:val="right"/>
              <w:ind w:right="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94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contracts</w:t>
            </w:r>
          </w:p>
        </w:tc>
        <w:tc>
          <w:tcPr>
            <w:tcW w:w="3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gridSpan w:val="3"/>
            <w:vMerge w:val="continue"/>
            <w:shd w:val="clear" w:color="auto" w:fill="CCFFCC"/>
          </w:tcPr>
          <w:p>
            <w:pPr>
              <w:spacing w:after="0"/>
              <w:rPr>
                <w:sz w:val="20"/>
                <w:szCs w:val="20"/>
                <w:color w:val="auto"/>
              </w:rPr>
            </w:pPr>
          </w:p>
        </w:tc>
        <w:tc>
          <w:tcPr>
            <w:tcW w:w="1780" w:type="dxa"/>
            <w:vAlign w:val="bottom"/>
            <w:gridSpan w:val="2"/>
            <w:vMerge w:val="continue"/>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940" w:type="dxa"/>
            <w:vAlign w:val="bottom"/>
            <w:vMerge w:val="continue"/>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FFCC"/>
            </w:tcBorders>
          </w:tcPr>
          <w:p>
            <w:pPr>
              <w:spacing w:after="0" w:line="20" w:lineRule="exact"/>
              <w:rPr>
                <w:sz w:val="1"/>
                <w:szCs w:val="1"/>
                <w:color w:val="auto"/>
              </w:rPr>
            </w:pPr>
          </w:p>
        </w:tc>
        <w:tc>
          <w:tcPr>
            <w:tcW w:w="3340" w:type="dxa"/>
            <w:vAlign w:val="bottom"/>
            <w:tcBorders>
              <w:top w:val="single" w:sz="8" w:color="CCFFCC"/>
            </w:tcBorders>
          </w:tcPr>
          <w:p>
            <w:pPr>
              <w:spacing w:after="0" w:line="20" w:lineRule="exact"/>
              <w:rPr>
                <w:sz w:val="1"/>
                <w:szCs w:val="1"/>
                <w:color w:val="auto"/>
              </w:rPr>
            </w:pPr>
          </w:p>
        </w:tc>
        <w:tc>
          <w:tcPr>
            <w:tcW w:w="35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certain information regarding the Company’s derivatives that are not designated or are not effective as hedges (in thousands):</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7640" w:type="dxa"/>
            <w:vAlign w:val="bottom"/>
            <w:tcBorders>
              <w:bottom w:val="single" w:sz="8" w:color="auto"/>
            </w:tcBorders>
            <w:gridSpan w:val="6"/>
          </w:tcPr>
          <w:p>
            <w:pPr>
              <w:jc w:val="right"/>
              <w:ind w:right="1499"/>
              <w:spacing w:after="0"/>
              <w:rPr>
                <w:sz w:val="20"/>
                <w:szCs w:val="20"/>
                <w:color w:val="auto"/>
              </w:rPr>
            </w:pPr>
            <w:r>
              <w:rPr>
                <w:rFonts w:ascii="Arial" w:cs="Arial" w:eastAsia="Arial" w:hAnsi="Arial"/>
                <w:sz w:val="14"/>
                <w:szCs w:val="14"/>
                <w:b w:val="1"/>
                <w:bCs w:val="1"/>
                <w:color w:val="auto"/>
              </w:rPr>
              <w:t>Gain (losses) on Derivative Instruments Recognized in Income Statement</w:t>
            </w:r>
          </w:p>
        </w:tc>
      </w:tr>
      <w:tr>
        <w:trPr>
          <w:trHeight w:val="264"/>
        </w:trPr>
        <w:tc>
          <w:tcPr>
            <w:tcW w:w="3780" w:type="dxa"/>
            <w:vAlign w:val="bottom"/>
            <w:tcBorders>
              <w:bottom w:val="single" w:sz="8" w:color="CCFFCC"/>
            </w:tcBorders>
          </w:tcPr>
          <w:p>
            <w:pPr>
              <w:spacing w:after="0"/>
              <w:rPr>
                <w:sz w:val="22"/>
                <w:szCs w:val="22"/>
                <w:color w:val="auto"/>
              </w:rPr>
            </w:pPr>
          </w:p>
        </w:tc>
        <w:tc>
          <w:tcPr>
            <w:tcW w:w="33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FFCC"/>
            </w:tcBorders>
          </w:tcPr>
          <w:p>
            <w:pPr>
              <w:spacing w:after="0"/>
              <w:rPr>
                <w:sz w:val="22"/>
                <w:szCs w:val="22"/>
                <w:color w:val="auto"/>
              </w:rPr>
            </w:pPr>
          </w:p>
        </w:tc>
        <w:tc>
          <w:tcPr>
            <w:tcW w:w="2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December 31, 2015</w:t>
            </w:r>
          </w:p>
        </w:tc>
      </w:tr>
      <w:tr>
        <w:trPr>
          <w:trHeight w:val="263"/>
        </w:trPr>
        <w:tc>
          <w:tcPr>
            <w:tcW w:w="3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 currency derivatives contracts</w:t>
            </w:r>
          </w:p>
        </w:tc>
        <w:tc>
          <w:tcPr>
            <w:tcW w:w="34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FFCC"/>
            </w:tcBorders>
            <w:shd w:val="clear" w:color="auto" w:fill="CCFFCC"/>
          </w:tcPr>
          <w:p>
            <w:pPr>
              <w:spacing w:after="0"/>
              <w:rPr>
                <w:sz w:val="22"/>
                <w:szCs w:val="22"/>
                <w:color w:val="auto"/>
              </w:rPr>
            </w:pPr>
          </w:p>
        </w:tc>
        <w:tc>
          <w:tcPr>
            <w:tcW w:w="2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3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2014, the Company purchased technology licenses and consulting services at fair value from a company in the amount of $3.5 million. The Company received access to this company's patents as well as certain consulting services. During the year ended December 31, 2014, the Company allocated approximately $2.8 million to intangible assets, which is being amortized over the life of the patents. The remaining amount was allocated to other assets. During the year ended December 31, 2016, the Company determined the investment was impaired and wrote off approximately $0.6 million that was allocated to other assets and $2.0 million that represented remaining net book value in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years ended December 31, 2016, 2015 and 2014 was approximately $10.0 million, $9.9 million and $9.5 million, respectively.</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an initial or remaining lease terms in excess of one year) are as follows (amounts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9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Leases</w:t>
            </w:r>
          </w:p>
        </w:tc>
      </w:tr>
      <w:tr>
        <w:trPr>
          <w:trHeight w:val="33"/>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8,889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8,239</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5,714</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1,656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1,258</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2,818</w:t>
            </w:r>
          </w:p>
        </w:tc>
      </w:tr>
      <w:tr>
        <w:trPr>
          <w:trHeight w:val="27"/>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28,574</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 to the employees 401(k) account and are subject to 5 year graded vesting. Salaries and related expenses include $1.3 million, $1.3 million and $0.9 million of employer matching contributions for the years ended December 31, 2016, 2015 and 2014,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Currently, the Company has no liabilities recorded for these agreements as of December 31, 2016.</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2016, there were 100,000,000 shares of common stock authorized, and 58,276,447 shares issued and outstanding. As of December 31, 2015, there were 100,000,000 shares of common stock authorized, and 57,374,907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and 2015,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There were 1,518,349 shares repurchased under this program during 2016 which were recorded in treasury stock at par on the consolidated balance sheets as of December 31, 2016. As of December 31, 2016, approximately $20.1 million remained available for purchase under the program.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years ended December 31, 2016, 2015 and 2014 was $3.10, $4.45, and $5.15, respectively. The fair value of each option grant is estimated on the date of grant using the Black-Scholes option-pricing model with the following weighted average assumptions for the years ended December 31, 2016, 2015 and 2014: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674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FFCC"/>
            </w:tcBorders>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FFCC"/>
            </w:tcBorders>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 – 1.8%</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1.3% – 1.7%</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1.5% – 1.7%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Expected life (in years)</w:t>
            </w:r>
          </w:p>
        </w:tc>
        <w:tc>
          <w:tcPr>
            <w:tcW w:w="15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Historical volatility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46.8% – 48.2%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47.4% – 49.7%</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49.6% – 53.7%</w:t>
            </w: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stock-based-based compensation awards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 thereby reserving for issuance 23,817,744 shares of common stock in the aggregate. Options to acquire common stock granted thereunder have 10-year terms. As of December 31, 2016, approximately 2.4 million shares of common stock were reserved for issuance under the 2009 Plan (taking into account all option exercises through December 31,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2010, our stockholders approved the 2010 Employee Stock Purchase Plan with 1,000,000 shares of common stock initially reserved for issuance. As of December 31, 2016, approximately 197,000 shares of common stock were reserved for issuance under the Employee Stock Purchase Plan (taking into account all share purchases through December 31,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Term</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 (in</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2013</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9,724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3,827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2014</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10,769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38,752</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9,043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33,566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2014</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4,737</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84"/>
        </w:trPr>
        <w:tc>
          <w:tcPr>
            <w:tcW w:w="526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2014</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10,769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2015</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9,144</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2015</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5,401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84"/>
        </w:trPr>
        <w:tc>
          <w:tcPr>
            <w:tcW w:w="526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2015</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2016</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7,348</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Options exercisable at December 31, 2016</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5,580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fair value of stock options exercised during the years ended December 31, 2016 and 2015 was approximately $1.1 million and $1.7 million, respectively. As of December 31, 2016, there was approximately $7.1 million of total unrecognized compensation cost related to nonvested share-based compensation arrangements. That cost is expected to be recognized over a weighted average period of approximately 1.9 years.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December 31,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Weighted-Average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 Shares</w:t>
            </w: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w:t>
            </w: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tcPr>
          <w:p>
            <w:pPr>
              <w:jc w:val="right"/>
              <w:ind w:right="92"/>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Exercise Price</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$1.79 - $7.02</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1,006</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839</w:t>
            </w:r>
          </w:p>
        </w:tc>
        <w:tc>
          <w:tcPr>
            <w:tcW w:w="26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4.79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$7.04 - $9.24</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$9.34 - $10.05</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864</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9.77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$10.13 - $10.13</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977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10.13</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$10.31 - $12.32</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891</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11.46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$12.46 - $13.28</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$13.34 - $16.98</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1,205</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15.70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$17.88 - $17.88</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17.88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$18.09 - $18.09</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306</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18.09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$18.24 - $18.24</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7,769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5,580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640" w:type="dxa"/>
            <w:vAlign w:val="bottom"/>
            <w:gridSpan w:val="5"/>
          </w:tcPr>
          <w:p>
            <w:pPr>
              <w:ind w:left="74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00" w:type="dxa"/>
            <w:vAlign w:val="bottom"/>
          </w:tcPr>
          <w:p>
            <w:pPr>
              <w:spacing w:after="0"/>
              <w:rPr>
                <w:sz w:val="17"/>
                <w:szCs w:val="17"/>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 Shares (in</w:t>
            </w: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Aggregate Fair Value (in</w:t>
            </w:r>
          </w:p>
        </w:tc>
      </w:tr>
      <w:tr>
        <w:trPr>
          <w:trHeight w:val="210"/>
        </w:trPr>
        <w:tc>
          <w:tcPr>
            <w:tcW w:w="58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51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2014</w:t>
            </w:r>
          </w:p>
        </w:tc>
        <w:tc>
          <w:tcPr>
            <w:tcW w:w="184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Released</w:t>
            </w:r>
          </w:p>
        </w:tc>
        <w:tc>
          <w:tcPr>
            <w:tcW w:w="184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8,110</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2015</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6,220</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5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2015</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6,220</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2016</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8,968</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6,817</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RSUs granted to employees generally vest over a four-year period. As of December 31, 2016, total unrecognized compensation cost, adjusted for estimated forfeitures, related to nonvested RSUs was approximately $9.3 million and the weighted-average remaining vesting period was 2.8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we believe that the deferred tax assets related to LivePerson UK, Engage Australia, Kasamba Israel and LivePerson LTD Israel are “more likely than not” to be realized as these jurisdictions have positive cumulative pre-tax book income after adjusting for permanent and onetime items. During the year ended December 31, 2016, the valuation recorded was $12.1 million.</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Section 382 of the Internal Revenue Code of 1986, as amended, the Company’s use of its federal net operating loss (“NOL”) carryforwards may be limited if the Company experiences an ownership change, as defined in Section 382. Such an annual limitation could result in the expiration of the net operating loss carryforwards before utilization. As of December 31, 2016, the Company had approximately $16.6 million of federal NOL carryforwards available to offset future taxable income. Included in this amount is $5.1 million of federal NOL carryovers from the Company’s acquisition of Proficient. These carryforwards expire in various years through 2027.</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domestic and foreign components of loss before provision for income taxes consist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(40,774)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(12,933)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Israel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4,614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1,462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97</w:t>
            </w:r>
          </w:p>
        </w:tc>
      </w:tr>
      <w:tr>
        <w:trPr>
          <w:trHeight w:val="237"/>
        </w:trPr>
        <w:tc>
          <w:tcPr>
            <w:tcW w:w="67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38" w:lineRule="exact"/>
        <w:rPr>
          <w:sz w:val="20"/>
          <w:szCs w:val="20"/>
          <w:color w:val="auto"/>
        </w:rPr>
      </w:pPr>
    </w:p>
    <w:p>
      <w:pPr>
        <w:ind w:left="220" w:hanging="185"/>
        <w:spacing w:after="0"/>
        <w:tabs>
          <w:tab w:leader="none" w:pos="2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Includes Japan, Italy, and France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additional provision has been made for U.S. income taxes on the undistributed earnings of its Israeli subsidiary, LivePerson Ltd. (formerly HumanClick Ltd.), as such earnings have been taxed in the U.S. and accumulated earnings of the Company’s other foreign subsidiaries are immaterial through December 31, 2016.</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consists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0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Borders>
              <w:bottom w:val="single" w:sz="8" w:color="CCFFC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income taxes:</w:t>
            </w:r>
          </w:p>
        </w:tc>
        <w:tc>
          <w:tcPr>
            <w:tcW w:w="9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1,829</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State and local</w:t>
            </w:r>
          </w:p>
        </w:tc>
        <w:tc>
          <w:tcPr>
            <w:tcW w:w="9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2,226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3,254</w:t>
            </w:r>
          </w:p>
        </w:tc>
      </w:tr>
      <w:tr>
        <w:trPr>
          <w:trHeight w:val="27"/>
        </w:trPr>
        <w:tc>
          <w:tcPr>
            <w:tcW w:w="6740" w:type="dxa"/>
            <w:vAlign w:val="bottom"/>
            <w:tcBorders>
              <w:bottom w:val="single" w:sz="8" w:color="CCFFC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current income taxes</w:t>
            </w:r>
          </w:p>
        </w:tc>
        <w:tc>
          <w:tcPr>
            <w:tcW w:w="940" w:type="dxa"/>
            <w:vAlign w:val="bottom"/>
            <w:tcBorders>
              <w:bottom w:val="single" w:sz="8" w:color="CCFFCC"/>
            </w:tcBorders>
            <w:shd w:val="clear" w:color="auto" w:fill="CCFFCC"/>
          </w:tcPr>
          <w:p>
            <w:pPr>
              <w:spacing w:after="0"/>
              <w:rPr>
                <w:sz w:val="22"/>
                <w:szCs w:val="22"/>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3"/>
              </w:rPr>
              <w:t>4,082</w:t>
            </w:r>
          </w:p>
        </w:tc>
        <w:tc>
          <w:tcPr>
            <w:tcW w:w="8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3,595</w:t>
            </w:r>
          </w:p>
        </w:tc>
      </w:tr>
      <w:tr>
        <w:trPr>
          <w:trHeight w:val="534"/>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9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U.S. Federal</w:t>
            </w:r>
          </w:p>
        </w:tc>
        <w:tc>
          <w:tcPr>
            <w:tcW w:w="9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841</w:t>
            </w: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13,791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(583)</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Total deferred income taxes</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1,852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7"/>
        </w:trPr>
        <w:tc>
          <w:tcPr>
            <w:tcW w:w="6740" w:type="dxa"/>
            <w:vAlign w:val="bottom"/>
            <w:tcBorders>
              <w:bottom w:val="single" w:sz="8" w:color="CCFFC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provision for income taxes</w:t>
            </w:r>
          </w:p>
        </w:tc>
        <w:tc>
          <w:tcPr>
            <w:tcW w:w="940" w:type="dxa"/>
            <w:vAlign w:val="bottom"/>
            <w:shd w:val="clear" w:color="auto" w:fill="CCFFCC"/>
          </w:tcPr>
          <w:p>
            <w:pPr>
              <w:jc w:val="right"/>
              <w:ind w:right="7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5,934</w:t>
            </w:r>
          </w:p>
        </w:tc>
        <w:tc>
          <w:tcPr>
            <w:tcW w:w="5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15,814</w:t>
            </w: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1,859</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difference between the total income taxes computed at the federal statutory rate and the provision for income taxes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4"/>
          </w:tcPr>
          <w:p>
            <w:pPr>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20" w:type="dxa"/>
            <w:vAlign w:val="bottom"/>
          </w:tcPr>
          <w:p>
            <w:pPr>
              <w:spacing w:after="0"/>
              <w:rPr>
                <w:sz w:val="20"/>
                <w:szCs w:val="20"/>
                <w:color w:val="auto"/>
              </w:rPr>
            </w:pPr>
          </w:p>
        </w:tc>
        <w:tc>
          <w:tcPr>
            <w:tcW w:w="38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2016</w:t>
            </w:r>
          </w:p>
        </w:tc>
        <w:tc>
          <w:tcPr>
            <w:tcW w:w="168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FFCC"/>
            </w:tcBorders>
          </w:tcPr>
          <w:p>
            <w:pPr>
              <w:spacing w:after="0"/>
              <w:rPr>
                <w:sz w:val="2"/>
                <w:szCs w:val="2"/>
                <w:color w:val="auto"/>
              </w:rPr>
            </w:pPr>
          </w:p>
        </w:tc>
        <w:tc>
          <w:tcPr>
            <w:tcW w:w="222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Federal Statutory Rate</w:t>
            </w:r>
          </w:p>
        </w:tc>
        <w:tc>
          <w:tcPr>
            <w:tcW w:w="38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34.00 %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3.24 %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0.35 %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Non-deductible expenses – ISO</w:t>
            </w:r>
          </w:p>
        </w:tc>
        <w:tc>
          <w:tcPr>
            <w:tcW w:w="38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(1.85)%</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Non-deductible expenses – Other</w:t>
            </w:r>
          </w:p>
        </w:tc>
        <w:tc>
          <w:tcPr>
            <w:tcW w:w="380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 tax rate differential</w:t>
            </w:r>
          </w:p>
        </w:tc>
        <w:tc>
          <w:tcPr>
            <w:tcW w:w="38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0.89 %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800" w:type="dxa"/>
            <w:vAlign w:val="bottom"/>
            <w:gridSpan w:val="2"/>
          </w:tcPr>
          <w:p>
            <w:pPr>
              <w:jc w:val="right"/>
              <w:ind w:right="40"/>
              <w:spacing w:after="0"/>
              <w:rPr>
                <w:sz w:val="20"/>
                <w:szCs w:val="20"/>
                <w:color w:val="auto"/>
              </w:rPr>
            </w:pPr>
            <w:r>
              <w:rPr>
                <w:rFonts w:ascii="Arial" w:cs="Arial" w:eastAsia="Arial" w:hAnsi="Arial"/>
                <w:sz w:val="18"/>
                <w:szCs w:val="18"/>
                <w:color w:val="auto"/>
              </w:rPr>
              <w:t>(53.55)%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Return to provision true-up adjustment</w:t>
            </w:r>
          </w:p>
        </w:tc>
        <w:tc>
          <w:tcPr>
            <w:tcW w:w="38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FFCC"/>
            </w:tcBorders>
            <w:shd w:val="clear" w:color="auto" w:fill="CCFFCC"/>
          </w:tcPr>
          <w:p>
            <w:pPr>
              <w:spacing w:after="0"/>
              <w:rPr>
                <w:sz w:val="21"/>
                <w:szCs w:val="21"/>
                <w:color w:val="auto"/>
              </w:rPr>
            </w:pPr>
          </w:p>
        </w:tc>
        <w:tc>
          <w:tcPr>
            <w:tcW w:w="2020" w:type="dxa"/>
            <w:vAlign w:val="bottom"/>
            <w:tcBorders>
              <w:bottom w:val="single" w:sz="8" w:color="CCFFCC"/>
            </w:tcBorders>
            <w:gridSpan w:val="3"/>
            <w:shd w:val="clear" w:color="auto" w:fill="CCFFCC"/>
          </w:tcPr>
          <w:p>
            <w:pPr>
              <w:ind w:left="11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w:t>
            </w:r>
          </w:p>
        </w:tc>
        <w:tc>
          <w:tcPr>
            <w:tcW w:w="380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0.23 %</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FFCC"/>
            </w:tcBorders>
          </w:tcPr>
          <w:p>
            <w:pPr>
              <w:spacing w:after="0"/>
              <w:rPr>
                <w:sz w:val="2"/>
                <w:szCs w:val="2"/>
                <w:color w:val="auto"/>
              </w:rPr>
            </w:pPr>
          </w:p>
        </w:tc>
        <w:tc>
          <w:tcPr>
            <w:tcW w:w="222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provision for income taxes</w:t>
            </w:r>
          </w:p>
        </w:tc>
        <w:tc>
          <w:tcPr>
            <w:tcW w:w="3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(29.79)%</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(148.22)%</w:t>
            </w:r>
          </w:p>
        </w:tc>
        <w:tc>
          <w:tcPr>
            <w:tcW w:w="12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0"/>
        </w:trPr>
        <w:tc>
          <w:tcPr>
            <w:tcW w:w="4220" w:type="dxa"/>
            <w:vAlign w:val="bottom"/>
            <w:tcBorders>
              <w:top w:val="single" w:sz="8" w:color="CCFFCC"/>
            </w:tcBorders>
          </w:tcPr>
          <w:p>
            <w:pPr>
              <w:spacing w:after="0" w:line="20" w:lineRule="exact"/>
              <w:rPr>
                <w:sz w:val="1"/>
                <w:szCs w:val="1"/>
                <w:color w:val="auto"/>
              </w:rPr>
            </w:pPr>
          </w:p>
        </w:tc>
        <w:tc>
          <w:tcPr>
            <w:tcW w:w="2220" w:type="dxa"/>
            <w:vAlign w:val="bottom"/>
            <w:tcBorders>
              <w:top w:val="single" w:sz="8" w:color="CCFFCC"/>
              <w:bottom w:val="single" w:sz="8" w:color="CCFFCC"/>
            </w:tcBorders>
            <w:vMerge w:val="restart"/>
          </w:tcPr>
          <w:p>
            <w:pPr>
              <w:jc w:val="right"/>
              <w:ind w:right="551"/>
              <w:spacing w:after="0"/>
              <w:rPr>
                <w:sz w:val="20"/>
                <w:szCs w:val="20"/>
                <w:color w:val="auto"/>
              </w:rPr>
            </w:pPr>
            <w:r>
              <w:rPr>
                <w:rFonts w:ascii="Arial" w:cs="Arial" w:eastAsia="Arial" w:hAnsi="Arial"/>
                <w:sz w:val="18"/>
                <w:szCs w:val="18"/>
                <w:color w:val="auto"/>
              </w:rPr>
              <w:t>78</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effects of temporary differences and tax loss carryforwards that give rise to significant portions of federal deferred tax assets and deferred tax liabilities at December 31, 2016 and 2015 are presented below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6,186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Non-cash compensation</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12,541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10,034</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Intangibles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Intangibles related to acquisitions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30,349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832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Plant and equipment</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Intangibles related to acquisitions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Goodwill amortization and contingent earn-out adjustments</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37"/>
        </w:trPr>
        <w:tc>
          <w:tcPr>
            <w:tcW w:w="832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deferred (liabilities)/assets</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Topic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$4.2 million and $3.5 million as of December 31, 2016 and 2015, respectively.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8"/>
                <w:szCs w:val="18"/>
                <w:color w:val="auto"/>
              </w:rPr>
            </w:pP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Unrecognized tax benefits balance at January 1</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3,519</w:t>
            </w:r>
          </w:p>
        </w:tc>
        <w:tc>
          <w:tcPr>
            <w:tcW w:w="100" w:type="dxa"/>
            <w:vAlign w:val="bottom"/>
          </w:tcPr>
          <w:p>
            <w:pPr>
              <w:spacing w:after="0"/>
              <w:rPr>
                <w:sz w:val="20"/>
                <w:szCs w:val="20"/>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2,320</w:t>
            </w:r>
          </w:p>
        </w:tc>
      </w:tr>
      <w:tr>
        <w:trPr>
          <w:trHeight w:val="27"/>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increase for tax positions of prior years</w:t>
            </w:r>
          </w:p>
        </w:tc>
        <w:tc>
          <w:tcPr>
            <w:tcW w:w="9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320"/>
              <w:spacing w:after="0"/>
              <w:rPr>
                <w:sz w:val="20"/>
                <w:szCs w:val="20"/>
                <w:color w:val="auto"/>
              </w:rPr>
            </w:pPr>
            <w:r>
              <w:rPr>
                <w:rFonts w:ascii="Arial" w:cs="Arial" w:eastAsia="Arial" w:hAnsi="Arial"/>
                <w:sz w:val="18"/>
                <w:szCs w:val="18"/>
                <w:color w:val="auto"/>
              </w:rPr>
              <w:t>Gross increase for tax positions of current years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1,199</w:t>
            </w:r>
          </w:p>
        </w:tc>
      </w:tr>
      <w:tr>
        <w:trPr>
          <w:trHeight w:val="27"/>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Decrease due to expiration of statue</w:t>
            </w:r>
          </w:p>
        </w:tc>
        <w:tc>
          <w:tcPr>
            <w:tcW w:w="9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Gross unrecognized tax benefits at December 31</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4,240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3,519</w:t>
            </w:r>
          </w:p>
        </w:tc>
      </w:tr>
    </w:tbl>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tax years subject to examination by major tax jurisdictions include the years 2011 and forward for U.S states and New York City, the years 2012 and forward for U.S. Federal, and the years 2012 and forward for certain foreign jurisdictions.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Discovery in the New York case is in process. On June 22, 2015, [24]7 Customer, Inc. filed suit against the Company in the Northern District of California alleging patent infringement. On December 7, 2015, [24]7 Customer Inc. filed a second patent infringement suit against the Company, also in the Northern District of California. On January 5, 2016, the two California cases were consolidated for all pre-trial purposes. On March 9, 2017, the Court for the Southern District of New York in the Company's case against [24]7 granted the parties’ joint request to voluntarily transfer the Southern District of New York case to the Northern District of California for consolidation with</w:t>
      </w:r>
    </w:p>
    <w:p>
      <w:pPr>
        <w:sectPr>
          <w:pgSz w:w="11900" w:h="16838" w:orient="portrait"/>
          <w:cols w:equalWidth="0" w:num="1">
            <w:col w:w="11420"/>
          </w:cols>
          <w:pgMar w:left="240" w:top="12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 - (Continued)</w:t>
      </w:r>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referenced California cases. The Company believes the claims filed by [24]7 Customer Inc. are entirely without merit and intends to defend them vigorously.</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restructuring costs relate to wind-down and severance costs associated with re-prioritizing and reallocating resources to focus on areas showing high growth potential, as well as the termination of a large customer contract. The expense associated with this restructuring was approximately $2.8 million, offset partially by a benefit of approximately $0.4 million due to the cash collection of a previously written off bad debt during the year ended December 31, 2016 and is classified in the consolidated statements of operations as restructuring costs. The expense associated with this restructuring was approximately $3.4 million during the twelve months ended December 31, 2015 and is classified in the consolidated statements of operations as restructuring costs. The restructuring liability was approximately $2.6 million and $1.3 million as of December 31, 2016 and 2015 and is classified as accrued expenses and other current liabilities on the consolidated balance sheets.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detail of the liability for the Company’s restructuring charges for the periods presented (amounts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2015</w:t>
            </w:r>
          </w:p>
        </w:tc>
      </w:tr>
      <w:tr>
        <w:trPr>
          <w:trHeight w:val="236"/>
        </w:trPr>
        <w:tc>
          <w:tcPr>
            <w:tcW w:w="6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the year</w:t>
            </w:r>
          </w:p>
        </w:tc>
        <w:tc>
          <w:tcPr>
            <w:tcW w:w="1740" w:type="dxa"/>
            <w:vAlign w:val="bottom"/>
            <w:tcBorders>
              <w:bottom w:val="single" w:sz="8" w:color="CCFFCC"/>
            </w:tcBorders>
            <w:shd w:val="clear" w:color="auto" w:fill="CCFFCC"/>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1,328</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Contract termination costs</w:t>
            </w:r>
          </w:p>
        </w:tc>
        <w:tc>
          <w:tcPr>
            <w:tcW w:w="17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940" w:type="dxa"/>
            <w:vAlign w:val="bottom"/>
          </w:tcPr>
          <w:p>
            <w:pPr>
              <w:jc w:val="right"/>
              <w:ind w:right="40"/>
              <w:spacing w:after="0"/>
              <w:rPr>
                <w:sz w:val="20"/>
                <w:szCs w:val="20"/>
                <w:color w:val="auto"/>
              </w:rPr>
            </w:pPr>
            <w:r>
              <w:rPr>
                <w:rFonts w:ascii="Arial" w:cs="Arial" w:eastAsia="Arial" w:hAnsi="Arial"/>
                <w:sz w:val="16"/>
                <w:szCs w:val="16"/>
                <w:color w:val="auto"/>
              </w:rPr>
              <w:t>427</w:t>
            </w:r>
          </w:p>
        </w:tc>
      </w:tr>
      <w:tr>
        <w:trPr>
          <w:trHeight w:val="33"/>
        </w:trPr>
        <w:tc>
          <w:tcPr>
            <w:tcW w:w="6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4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1,585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901</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Cash payments</w:t>
            </w:r>
          </w:p>
        </w:tc>
        <w:tc>
          <w:tcPr>
            <w:tcW w:w="1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(1,328)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Wind down costs of legacy platform</w:t>
            </w:r>
          </w:p>
        </w:tc>
        <w:tc>
          <w:tcPr>
            <w:tcW w:w="174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9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w:t>
            </w:r>
          </w:p>
        </w:tc>
      </w:tr>
      <w:tr>
        <w:trPr>
          <w:trHeight w:val="244"/>
        </w:trPr>
        <w:tc>
          <w:tcPr>
            <w:tcW w:w="6700" w:type="dxa"/>
            <w:vAlign w:val="bottom"/>
          </w:tcPr>
          <w:p>
            <w:pPr>
              <w:ind w:left="20"/>
              <w:spacing w:after="0"/>
              <w:rPr>
                <w:sz w:val="20"/>
                <w:szCs w:val="20"/>
                <w:color w:val="auto"/>
              </w:rPr>
            </w:pPr>
            <w:r>
              <w:rPr>
                <w:rFonts w:ascii="Arial" w:cs="Arial" w:eastAsia="Arial" w:hAnsi="Arial"/>
                <w:sz w:val="16"/>
                <w:szCs w:val="16"/>
                <w:color w:val="auto"/>
              </w:rPr>
              <w:t>Balance, End of year</w:t>
            </w:r>
          </w:p>
        </w:tc>
        <w:tc>
          <w:tcPr>
            <w:tcW w:w="1740" w:type="dxa"/>
            <w:vAlign w:val="bottom"/>
            <w:tcBorders>
              <w:top w:val="single" w:sz="8" w:color="auto"/>
              <w:bottom w:val="single" w:sz="8" w:color="auto"/>
            </w:tcBorders>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1,328</w:t>
            </w:r>
          </w:p>
        </w:tc>
      </w:tr>
      <w:tr>
        <w:trPr>
          <w:trHeight w:val="20"/>
        </w:trPr>
        <w:tc>
          <w:tcPr>
            <w:tcW w:w="67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expenses for the Company’s restructuring charges for the periods presented (amounts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Pr>
          <w:p>
            <w:pPr>
              <w:spacing w:after="0"/>
              <w:rPr>
                <w:sz w:val="16"/>
                <w:szCs w:val="16"/>
                <w:color w:val="auto"/>
              </w:rPr>
            </w:pPr>
          </w:p>
        </w:tc>
        <w:tc>
          <w:tcPr>
            <w:tcW w:w="2120" w:type="dxa"/>
            <w:vAlign w:val="bottom"/>
          </w:tcPr>
          <w:p>
            <w:pPr>
              <w:jc w:val="right"/>
              <w:ind w:right="81"/>
              <w:spacing w:after="0"/>
              <w:rPr>
                <w:sz w:val="20"/>
                <w:szCs w:val="20"/>
                <w:color w:val="auto"/>
              </w:rPr>
            </w:pPr>
            <w:r>
              <w:rPr>
                <w:rFonts w:ascii="Arial" w:cs="Arial" w:eastAsia="Arial" w:hAnsi="Arial"/>
                <w:sz w:val="14"/>
                <w:szCs w:val="14"/>
                <w:b w:val="1"/>
                <w:bCs w:val="1"/>
                <w:color w:val="auto"/>
                <w:w w:val="93"/>
              </w:rPr>
              <w:t>Year Ended December 31, 2015</w:t>
            </w:r>
          </w:p>
        </w:tc>
      </w:tr>
      <w:tr>
        <w:trPr>
          <w:trHeight w:val="236"/>
        </w:trPr>
        <w:tc>
          <w:tcPr>
            <w:tcW w:w="67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Contract termination benefit</w:t>
            </w: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1,745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Severance and other associated costs</w:t>
            </w:r>
          </w:p>
        </w:tc>
        <w:tc>
          <w:tcPr>
            <w:tcW w:w="16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jc w:val="right"/>
              <w:ind w:right="21"/>
              <w:spacing w:after="0"/>
              <w:rPr>
                <w:sz w:val="20"/>
                <w:szCs w:val="20"/>
                <w:color w:val="auto"/>
              </w:rPr>
            </w:pPr>
            <w:r>
              <w:rPr>
                <w:rFonts w:ascii="Arial" w:cs="Arial" w:eastAsia="Arial" w:hAnsi="Arial"/>
                <w:sz w:val="16"/>
                <w:szCs w:val="16"/>
                <w:color w:val="auto"/>
              </w:rPr>
              <w:t>1,639</w:t>
            </w:r>
          </w:p>
        </w:tc>
      </w:tr>
      <w:tr>
        <w:trPr>
          <w:trHeight w:val="33"/>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6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Wind down costs of legacy platform</w:t>
            </w:r>
          </w:p>
        </w:tc>
        <w:tc>
          <w:tcPr>
            <w:tcW w:w="160" w:type="dxa"/>
            <w:vAlign w:val="bottom"/>
            <w:tcBorders>
              <w:bottom w:val="single" w:sz="8" w:color="CCFFCC"/>
            </w:tcBorders>
            <w:shd w:val="clear" w:color="auto" w:fill="CCFFCC"/>
          </w:tcPr>
          <w:p>
            <w:pPr>
              <w:spacing w:after="0"/>
              <w:rPr>
                <w:sz w:val="23"/>
                <w:szCs w:val="23"/>
                <w:color w:val="auto"/>
              </w:rPr>
            </w:pPr>
          </w:p>
        </w:tc>
        <w:tc>
          <w:tcPr>
            <w:tcW w:w="21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1,168</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1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6720" w:type="dxa"/>
            <w:vAlign w:val="bottom"/>
          </w:tcPr>
          <w:p>
            <w:pPr>
              <w:ind w:left="280"/>
              <w:spacing w:after="0"/>
              <w:rPr>
                <w:sz w:val="20"/>
                <w:szCs w:val="20"/>
                <w:color w:val="auto"/>
              </w:rPr>
            </w:pPr>
            <w:r>
              <w:rPr>
                <w:rFonts w:ascii="Arial" w:cs="Arial" w:eastAsia="Arial" w:hAnsi="Arial"/>
                <w:sz w:val="16"/>
                <w:szCs w:val="16"/>
                <w:color w:val="auto"/>
              </w:rPr>
              <w:t>Total restructuring costs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3,384</w:t>
            </w: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including the Chief Executive Officer and Chief Financial Officer,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including the Chief Executive Officer and Chief Financial Officer, evaluated the effectiveness of our internal control over financial reporting as of December 31, 2016 based on the framework established in “Internal Control — Integrated Framework (2013),” issued by the Committee of Sponsoring Organizations of the Treadway Commission (COSO). Based on its evaluation, our management, including the Chief Executive Officer and Chief Financial Officer, concluded that as of December 31, 2016, our internal control over financial reporting was effective based on those criteria.</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2016 has been audited by BDO USA, LLP, an independent registered public accounting firm. Their attestation is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Effectiveness of Internal Control</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2016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Exchange Act, as of December 31, 2016. Based on that evaluation, the Chief Executive Officer and Chief Financial Officer concluded that our disclosure controls and procedures were effective as of December 31, 2016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013" w:right="239" w:bottom="1440" w:gutter="0" w:footer="0" w:header="0"/>
        </w:sectPr>
      </w:pPr>
    </w:p>
    <w:bookmarkStart w:id="85" w:name="page86"/>
    <w:bookmarkEnd w:id="8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LivePerson, Inc.’s internal control over financial reporting as of December 31, 2016,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(the COSO criteria). LivePerson, Inc.’s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w:t>
      </w:r>
    </w:p>
    <w:p>
      <w:pPr>
        <w:spacing w:after="0" w:line="2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LivePerson, Inc. maintained, in all material respects, effective internal control over financial reporting as of December 31, 2016, based on the COSO criteria.</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LivePerson, Inc. as of December 31, 2016 and 2015, and the related consolidated statements of operations, comprehensive loss, stockholders’ equity, and cash flows for each of the three years in the period ended December 31, 2016 and our report dated March 10, 2017 expressed an unqualified opinion thereon.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012"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10 is incorporated by reference to the sections captioned “Matters to be Considered at Annual Meeting — Election of Directors,” “Executive Officers,” “Board Committees and Meetings — Audit Committee,” “Codes of Conduct and Corporate Governance Documents” and “Section 16(a) Beneficial Ownership Reporting Compliance” in the definitive proxy statement for our 2017 Annual Meeting of Stockholders.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the procedures by which stockholders may recommend nominees to our Board of Directors since our last disclosure of such procedures, which appeared in the definitive proxy statement for our 2016 Annual Meeting of Stockholders.</w:t>
      </w:r>
    </w:p>
    <w:p>
      <w:pPr>
        <w:spacing w:after="0" w:line="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have adopted a Code of Ethics that applies to our Chief Executive Officer, who is our principal executive officer, and other senior financial officers. Our Code of Ethics is available at: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under “Investor Relations / Corporate Governance.” </w:t>
      </w:r>
      <w:r>
        <w:rPr>
          <w:rFonts w:ascii="Arial" w:cs="Arial" w:eastAsia="Arial" w:hAnsi="Arial"/>
          <w:sz w:val="16"/>
          <w:szCs w:val="16"/>
          <w:i w:val="1"/>
          <w:iCs w:val="1"/>
          <w:color w:val="auto"/>
        </w:rPr>
        <w:t>The Company’s web site address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Company will post on this website any amendments to our Code of Ethics.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11 is incorporated by reference to the sections captioned “Compensation Discussion and Analysis,” “Compensation Committee Report” (which information shall be deemed furnished in this Annual Report on Form 10-K), “Executive and Director Compensation” and “Compensation Committee Interlocks and Insider Participation” in the definitive proxy statement for our 2017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12 is incorporated by reference to the sections captioned “Ownership of Securities” and “Potential Payments Upon Termination or Change-in-Control” in the definitive proxy statement for our 2017 Annual Meeting of Stockholders.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information regarding the common stock authorized for issuance under our equity compensation plans,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Securities to Be</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Weighted-Average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Available for Future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Issued Upon</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 of</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Issuance Under</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Exercise of</w:t>
            </w:r>
          </w:p>
        </w:tc>
        <w:tc>
          <w:tcPr>
            <w:tcW w:w="2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Options, Warrants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34"/>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Plan Category</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Options, (a)</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and Rights (b)</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Plans </w:t>
            </w:r>
            <w:r>
              <w:rPr>
                <w:rFonts w:ascii="Arial" w:cs="Arial" w:eastAsia="Arial" w:hAnsi="Arial"/>
                <w:sz w:val="14"/>
                <w:szCs w:val="14"/>
                <w:b w:val="1"/>
                <w:bCs w:val="1"/>
                <w:color w:val="auto"/>
                <w:w w:val="90"/>
              </w:rPr>
              <w:t>(2)</w:t>
            </w:r>
            <w:r>
              <w:rPr>
                <w:rFonts w:ascii="Arial" w:cs="Arial" w:eastAsia="Arial" w:hAnsi="Arial"/>
                <w:sz w:val="18"/>
                <w:szCs w:val="18"/>
                <w:b w:val="1"/>
                <w:bCs w:val="1"/>
                <w:color w:val="auto"/>
                <w:w w:val="90"/>
              </w:rPr>
              <w:t xml:space="preserve"> (c)</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8"/>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Equity compensation plans approved by stockholders </w:t>
            </w:r>
            <w:r>
              <w:rPr>
                <w:rFonts w:ascii="Arial" w:cs="Arial" w:eastAsia="Arial" w:hAnsi="Arial"/>
                <w:sz w:val="18"/>
                <w:szCs w:val="18"/>
                <w:color w:val="auto"/>
                <w:vertAlign w:val="superscript"/>
              </w:rPr>
              <w:t>(1)</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11,988,434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2,437,598</w:t>
            </w:r>
          </w:p>
        </w:tc>
      </w:tr>
      <w:tr>
        <w:trPr>
          <w:trHeight w:val="259"/>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11,988,434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2"/>
                <w:szCs w:val="22"/>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2,437,598</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(1)Our equity compensation plans which were approved by our stockholders are the 2009 Stock Incentive Plan and the 2010 Employee Stock Purchase Plan.</w:t>
      </w:r>
    </w:p>
    <w:p>
      <w:pPr>
        <w:spacing w:after="0" w:line="140" w:lineRule="exact"/>
        <w:rPr>
          <w:sz w:val="20"/>
          <w:szCs w:val="20"/>
          <w:color w:val="auto"/>
        </w:rPr>
      </w:pPr>
    </w:p>
    <w:p>
      <w:pPr>
        <w:ind w:left="5620" w:right="3860" w:hanging="5612"/>
        <w:spacing w:after="0" w:line="805" w:lineRule="auto"/>
        <w:tabs>
          <w:tab w:leader="none" w:pos="223"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Excludes securities reflected in column (a). Also see Note 11 to our consolidated financial statements. 84</w:t>
      </w:r>
    </w:p>
    <w:p>
      <w:pPr>
        <w:sectPr>
          <w:pgSz w:w="11900" w:h="16838" w:orient="portrait"/>
          <w:cols w:equalWidth="0" w:num="1">
            <w:col w:w="11420"/>
          </w:cols>
          <w:pgMar w:left="240" w:top="101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13 is incorporated by reference to the sections captioned “Certain Relationships and Related Transactions” and “Director Independence” in the definitive proxy statement for our 2017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14 is incorporated by reference to the section captioned “Independent Registered Public Accounting Firm Fees and Pre-Approval Policies and Procedures” in the definitive proxy statement for our 2017 Annual Meeting of Stockholders.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index of consolidated financial statements included in Item 8 of this Annual Report on Form 10-K.</w:t>
      </w:r>
    </w:p>
    <w:p>
      <w:pPr>
        <w:spacing w:after="0" w:line="117"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Exhibit Index immediately preceding the exhibits attached to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10, 2017.</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LIVEPERSON, INC.</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 LoCascio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Robert P. LoCascio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March 10,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013"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3900" w:type="dxa"/>
            <w:vAlign w:val="bottom"/>
          </w:tcPr>
          <w:p>
            <w:pPr>
              <w:ind w:left="1580"/>
              <w:spacing w:after="0"/>
              <w:rPr>
                <w:sz w:val="20"/>
                <w:szCs w:val="20"/>
                <w:color w:val="auto"/>
              </w:rPr>
            </w:pPr>
            <w:r>
              <w:rPr>
                <w:rFonts w:ascii="Arial" w:cs="Arial" w:eastAsia="Arial" w:hAnsi="Arial"/>
                <w:sz w:val="18"/>
                <w:szCs w:val="18"/>
                <w:b w:val="1"/>
                <w:bCs w:val="1"/>
                <w:color w:val="auto"/>
              </w:rPr>
              <w:t>Signature</w:t>
            </w:r>
          </w:p>
        </w:tc>
        <w:tc>
          <w:tcPr>
            <w:tcW w:w="800" w:type="dxa"/>
            <w:vAlign w:val="bottom"/>
          </w:tcPr>
          <w:p>
            <w:pPr>
              <w:spacing w:after="0"/>
              <w:rPr>
                <w:sz w:val="20"/>
                <w:szCs w:val="20"/>
                <w:color w:val="auto"/>
              </w:rPr>
            </w:pPr>
          </w:p>
        </w:tc>
        <w:tc>
          <w:tcPr>
            <w:tcW w:w="6720" w:type="dxa"/>
            <w:vAlign w:val="bottom"/>
          </w:tcPr>
          <w:p>
            <w:pPr>
              <w:ind w:left="3080"/>
              <w:spacing w:after="0"/>
              <w:rPr>
                <w:sz w:val="20"/>
                <w:szCs w:val="20"/>
                <w:color w:val="auto"/>
              </w:rPr>
            </w:pPr>
            <w:r>
              <w:rPr>
                <w:rFonts w:ascii="Arial" w:cs="Arial" w:eastAsia="Arial" w:hAnsi="Arial"/>
                <w:sz w:val="18"/>
                <w:szCs w:val="18"/>
                <w:b w:val="1"/>
                <w:bCs w:val="1"/>
                <w:color w:val="auto"/>
              </w:rPr>
              <w:t>Title(s)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534"/>
        </w:trPr>
        <w:tc>
          <w:tcPr>
            <w:tcW w:w="3900" w:type="dxa"/>
            <w:vAlign w:val="bottom"/>
          </w:tcPr>
          <w:p>
            <w:pPr>
              <w:ind w:left="40"/>
              <w:spacing w:after="0"/>
              <w:rPr>
                <w:sz w:val="20"/>
                <w:szCs w:val="20"/>
                <w:color w:val="auto"/>
              </w:rPr>
            </w:pPr>
            <w:r>
              <w:rPr>
                <w:rFonts w:ascii="Arial" w:cs="Arial" w:eastAsia="Arial" w:hAnsi="Arial"/>
                <w:sz w:val="18"/>
                <w:szCs w:val="18"/>
                <w:color w:val="auto"/>
              </w:rPr>
              <w:t>/s/Robert P. LoCascio</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Robert P. LoCascio</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Daniel R. Murphy</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Daniel R. Murphy</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Peter Block</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Peter Block</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Kevin C. Lavan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Kevin C. Lavan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Jill Layfield</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Jill Layfield</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David Vaskevitch</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David Vaskevitch</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William G. Wesemann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William G. Wesemann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648"/>
        </w:trPr>
        <w:tc>
          <w:tcPr>
            <w:tcW w:w="3900" w:type="dxa"/>
            <w:vAlign w:val="bottom"/>
          </w:tcPr>
          <w:p>
            <w:pPr>
              <w:spacing w:after="0"/>
              <w:rPr>
                <w:sz w:val="24"/>
                <w:szCs w:val="24"/>
                <w:color w:val="auto"/>
              </w:rPr>
            </w:pPr>
          </w:p>
        </w:tc>
        <w:tc>
          <w:tcPr>
            <w:tcW w:w="7520" w:type="dxa"/>
            <w:vAlign w:val="bottom"/>
            <w:gridSpan w:val="2"/>
          </w:tcPr>
          <w:p>
            <w:pPr>
              <w:jc w:val="right"/>
              <w:ind w:right="553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1174"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02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0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20" w:type="dxa"/>
            <w:vAlign w:val="bottom"/>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56"/>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2.1</w:t>
            </w: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Agreement and Plan of Merger, dated as of June 22, 2006, among LivePerson, Inc., Soho Acquisition Corp., Proficient Systems, Inc.</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2"/>
              </w:rPr>
              <w:t>and Gregg Freishtat as Shareholders’ Representative (incorporated by reference to the identically numbered exhibit in the Current</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Report on Form 8-K filed on June 22, 2006)</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3.1</w:t>
            </w:r>
          </w:p>
        </w:tc>
        <w:tc>
          <w:tcPr>
            <w:tcW w:w="10020" w:type="dxa"/>
            <w:vAlign w:val="bottom"/>
          </w:tcPr>
          <w:p>
            <w:pPr>
              <w:ind w:left="400"/>
              <w:spacing w:after="0"/>
              <w:rPr>
                <w:sz w:val="20"/>
                <w:szCs w:val="20"/>
                <w:color w:val="auto"/>
              </w:rPr>
            </w:pPr>
            <w:r>
              <w:rPr>
                <w:rFonts w:ascii="Arial" w:cs="Arial" w:eastAsia="Arial" w:hAnsi="Arial"/>
                <w:sz w:val="18"/>
                <w:szCs w:val="18"/>
                <w:color w:val="auto"/>
                <w:w w:val="98"/>
              </w:rPr>
              <w:t>Fourth Amended and Restated Certificate of Incorporation (incorporated by reference to the identically-numbered exhibit to</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2"/>
              </w:rPr>
              <w:t>LivePerson’s Annual Report on Form 10-K for the fiscal year ended December 31, 2000 and filed March 30, 2001 (the “2000 Form</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10-K”))</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3.2</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Second Amended and Restated Bylaws, as amended (incorporated by reference to the identically-numbered exhibit to the 2000 Form</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10-K)</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4.1</w:t>
            </w:r>
          </w:p>
        </w:tc>
        <w:tc>
          <w:tcPr>
            <w:tcW w:w="10020" w:type="dxa"/>
            <w:vAlign w:val="bottom"/>
          </w:tcPr>
          <w:p>
            <w:pPr>
              <w:ind w:left="400"/>
              <w:spacing w:after="0"/>
              <w:rPr>
                <w:sz w:val="20"/>
                <w:szCs w:val="20"/>
                <w:color w:val="auto"/>
              </w:rPr>
            </w:pPr>
            <w:r>
              <w:rPr>
                <w:rFonts w:ascii="Arial" w:cs="Arial" w:eastAsia="Arial" w:hAnsi="Arial"/>
                <w:sz w:val="18"/>
                <w:szCs w:val="18"/>
                <w:color w:val="auto"/>
                <w:w w:val="95"/>
              </w:rPr>
              <w:t>Specimen common stock certificate (incorporated by reference to the identically-numbered exhibit to LivePerson’s Registration</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Statement on Form S-1, as amended (Registration No. 333-96689) (“Registration No. 333-96689”))</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4.2</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Second Amended and Restated Registration Rights Agreement, dated as of January 27, 2000, by and among LivePerson, the several</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4"/>
              </w:rPr>
              <w:t>persons and entities named on the signature pages thereto as Investors, and Robert LoCascio (incorporated by reference to the</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identically-numbered exhibit to Registration No. 333-96689)</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3"/>
              </w:rPr>
              <w:t>10.1(a)*</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2009 Stock Incentive Plan (incorporated by reference to Exhibit 99.1 to LivePerson’s Registration Statement on Form S-8 filed on</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June 9, 2009) and Forms of Grant Agreements under the 2009 Stock Incentive Plan (incorporated by reference to Exhibit 10.1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Quarterly Report on Form 10-Q filed on May 6, 2011)</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96"/>
              </w:rPr>
              <w:t>10.1(b)*</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2009 Stock Incentive Plan (amended and restated as of June 7, 2012) (incorporated by reference to Exhibit 99.1 to LivePerson’s</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Current Report on Form 8-K filed on June 8,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10.2*</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LivePerson, Inc. 2010 Employee Stock Purchase Plan (incorporated by reference to Exhibit 99.1 to the LivePerson’s Registration</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Statement on Form S-8 filed on August 19, 2010)</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10.3*</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Employment Agreement between LivePerson and Robert P. LoCascio, dated as of January 1, 1999 (incorporated by reference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Exhibit 10.1 to Registration No. 333-96689)</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3"/>
              </w:rPr>
              <w:t>10.4(a)*</w:t>
            </w: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Employment Agreement between LivePerson and Timothy E. Bixby, dated as of June 23, 1999 (incorporated by reference to Exhibit</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10.3 to Registration No. 333-96689)</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96"/>
              </w:rPr>
              <w:t>10.4(b)*</w:t>
            </w:r>
          </w:p>
        </w:tc>
        <w:tc>
          <w:tcPr>
            <w:tcW w:w="10020" w:type="dxa"/>
            <w:vAlign w:val="bottom"/>
          </w:tcPr>
          <w:p>
            <w:pPr>
              <w:ind w:left="400"/>
              <w:spacing w:after="0"/>
              <w:rPr>
                <w:sz w:val="20"/>
                <w:szCs w:val="20"/>
                <w:color w:val="auto"/>
              </w:rPr>
            </w:pPr>
            <w:r>
              <w:rPr>
                <w:rFonts w:ascii="Arial" w:cs="Arial" w:eastAsia="Arial" w:hAnsi="Arial"/>
                <w:sz w:val="18"/>
                <w:szCs w:val="18"/>
                <w:color w:val="auto"/>
                <w:w w:val="96"/>
              </w:rPr>
              <w:t>Modification to Employment Agreement between LivePerson and Timothy E. Bixby, dated as of April 1, 2003 (incorporated by</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reference to Exhibit 10.2.1 to LivePerson’s Quarterly Report on Form 10-Q for the quarter ended June 30, 2003 and filed August 13,</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2003)</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10.4(c)*</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Separation Agreement and General Release between LivePerson and Timothy E. Bixby, dated as of November 2, 2010 (incorporated</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by reference to Exhibit 10.4(c) to LivePerson’s Annual Report on Form 10-K for the year ended December 31, 2010 and filed March</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15, 2011)</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10.5*</w:t>
            </w:r>
          </w:p>
        </w:tc>
        <w:tc>
          <w:tcPr>
            <w:tcW w:w="10020" w:type="dxa"/>
            <w:vAlign w:val="bottom"/>
          </w:tcPr>
          <w:p>
            <w:pPr>
              <w:ind w:left="400"/>
              <w:spacing w:after="0"/>
              <w:rPr>
                <w:sz w:val="20"/>
                <w:szCs w:val="20"/>
                <w:color w:val="auto"/>
              </w:rPr>
            </w:pPr>
            <w:r>
              <w:rPr>
                <w:rFonts w:ascii="Arial" w:cs="Arial" w:eastAsia="Arial" w:hAnsi="Arial"/>
                <w:sz w:val="18"/>
                <w:szCs w:val="18"/>
                <w:color w:val="auto"/>
                <w:w w:val="98"/>
              </w:rPr>
              <w:t>Agreement between LivePerson and Dan Murphy, dated as of March 27, 2011 (incorporated by reference to Exhibit 10.5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10.6*</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Form of Indemnification Agreement entered into with Executive Officers and Directors of LivePerson (incorporated by reference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7"/>
              </w:rPr>
              <w:t>Exhibit 10.6 to 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10.7*</w:t>
            </w:r>
          </w:p>
        </w:tc>
        <w:tc>
          <w:tcPr>
            <w:tcW w:w="10020" w:type="dxa"/>
            <w:vAlign w:val="bottom"/>
          </w:tcPr>
          <w:p>
            <w:pPr>
              <w:ind w:left="400"/>
              <w:spacing w:after="0"/>
              <w:rPr>
                <w:sz w:val="20"/>
                <w:szCs w:val="20"/>
                <w:color w:val="auto"/>
              </w:rPr>
            </w:pPr>
            <w:r>
              <w:rPr>
                <w:rFonts w:ascii="Arial" w:cs="Arial" w:eastAsia="Arial" w:hAnsi="Arial"/>
                <w:sz w:val="18"/>
                <w:szCs w:val="18"/>
                <w:color w:val="auto"/>
                <w:w w:val="96"/>
              </w:rPr>
              <w:t>Agreement between LivePerson and Eli Campo, dated as of December 22, 2006 (incorporated by reference to Exhibit 10.7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10.8*</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Agreement between LivePerson and Monica L. Greenberg, dated as of October 25, 2006 (incorporated by reference to Exhibit 10.8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10.9*</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Agreement between LivePerson and Michael Kovach, dated as of November 6, 2009 (incorporated by reference to Exhibit 10.9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bl>
    <w:p>
      <w:pPr>
        <w:spacing w:after="0" w:line="200" w:lineRule="exact"/>
        <w:rPr>
          <w:sz w:val="20"/>
          <w:szCs w:val="20"/>
          <w:color w:val="auto"/>
        </w:rPr>
      </w:pPr>
    </w:p>
    <w:p>
      <w:pPr>
        <w:sectPr>
          <w:pgSz w:w="11900" w:h="16838" w:orient="portrait"/>
          <w:cols w:equalWidth="0" w:num="1">
            <w:col w:w="11060"/>
          </w:cols>
          <w:pgMar w:left="560" w:top="1012" w:right="279" w:bottom="1440" w:gutter="0" w:footer="0" w:header="0"/>
        </w:sect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060"/>
          </w:cols>
          <w:pgMar w:left="560" w:top="1012" w:right="279" w:bottom="1440" w:gutter="0" w:footer="0" w:header="0"/>
          <w:type w:val="continuous"/>
        </w:sectPr>
      </w:pPr>
    </w:p>
    <w:bookmarkStart w:id="90" w:name="page91"/>
    <w:bookmarkEnd w:id="90"/>
    <w:tbl>
      <w:tblPr>
        <w:tblLayout w:type="fixed"/>
        <w:tblInd w:w="252" w:type="dxa"/>
        <w:tblCellMar>
          <w:top w:w="0" w:type="dxa"/>
          <w:left w:w="0" w:type="dxa"/>
          <w:bottom w:w="0" w:type="dxa"/>
          <w:right w:w="0" w:type="dxa"/>
        </w:tblCellMar>
      </w:tblPr>
      <w:tr>
        <w:trPr>
          <w:trHeight w:val="23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5"/>
              </w:rPr>
              <w:t>10.10*</w:t>
            </w:r>
          </w:p>
        </w:tc>
        <w:tc>
          <w:tcPr>
            <w:tcW w:w="9960" w:type="dxa"/>
            <w:vAlign w:val="bottom"/>
          </w:tcPr>
          <w:p>
            <w:pPr>
              <w:ind w:left="380"/>
              <w:spacing w:after="0"/>
              <w:rPr>
                <w:sz w:val="20"/>
                <w:szCs w:val="20"/>
                <w:color w:val="auto"/>
              </w:rPr>
            </w:pPr>
            <w:r>
              <w:rPr>
                <w:rFonts w:ascii="Arial" w:cs="Arial" w:eastAsia="Arial" w:hAnsi="Arial"/>
                <w:sz w:val="18"/>
                <w:szCs w:val="18"/>
                <w:color w:val="auto"/>
                <w:w w:val="96"/>
              </w:rPr>
              <w:t>Incentive Plan (incorporated by reference to Exhibit 10.1 to LivePerson’s Current Report on Form 8-K filed on April 28, 2011)</w:t>
            </w:r>
          </w:p>
        </w:tc>
      </w:tr>
      <w:tr>
        <w:trPr>
          <w:trHeight w:val="418"/>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2"/>
              </w:rPr>
              <w:t>10.11*</w:t>
            </w:r>
          </w:p>
        </w:tc>
        <w:tc>
          <w:tcPr>
            <w:tcW w:w="9960" w:type="dxa"/>
            <w:vAlign w:val="bottom"/>
          </w:tcPr>
          <w:p>
            <w:pPr>
              <w:ind w:left="380"/>
              <w:spacing w:after="0"/>
              <w:rPr>
                <w:sz w:val="20"/>
                <w:szCs w:val="20"/>
                <w:color w:val="auto"/>
              </w:rPr>
            </w:pPr>
            <w:r>
              <w:rPr>
                <w:rFonts w:ascii="Arial" w:cs="Arial" w:eastAsia="Arial" w:hAnsi="Arial"/>
                <w:sz w:val="18"/>
                <w:szCs w:val="18"/>
                <w:color w:val="auto"/>
                <w:w w:val="94"/>
              </w:rPr>
              <w:t>Separation Agreement General Release between LivePerson and Eli Campo, dated as of December 16, 2013 (incorporated by</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reference to Exhibit 10.1 to LivePerson's Quarterly Report on Form 10-Q filed on May 9, 2014).</w:t>
            </w:r>
          </w:p>
        </w:tc>
      </w:tr>
      <w:tr>
        <w:trPr>
          <w:trHeight w:val="377"/>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5"/>
              </w:rPr>
              <w:t>10.12*</w:t>
            </w:r>
          </w:p>
        </w:tc>
        <w:tc>
          <w:tcPr>
            <w:tcW w:w="9960" w:type="dxa"/>
            <w:vAlign w:val="bottom"/>
          </w:tcPr>
          <w:p>
            <w:pPr>
              <w:ind w:left="380"/>
              <w:spacing w:after="0"/>
              <w:rPr>
                <w:sz w:val="20"/>
                <w:szCs w:val="20"/>
                <w:color w:val="auto"/>
              </w:rPr>
            </w:pPr>
            <w:r>
              <w:rPr>
                <w:rFonts w:ascii="Arial" w:cs="Arial" w:eastAsia="Arial" w:hAnsi="Arial"/>
                <w:sz w:val="18"/>
                <w:szCs w:val="18"/>
                <w:color w:val="auto"/>
                <w:w w:val="94"/>
              </w:rPr>
              <w:t>Employment Agreement between LivePerson and Eran Vanounou, dated as of February 22, 2014(incorporated by reference to</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Exhibit 10.2 to LivePerson's Quarterly Report on Form 10-Q filed on May 9, 2014).</w:t>
            </w:r>
          </w:p>
        </w:tc>
      </w:tr>
      <w:tr>
        <w:trPr>
          <w:trHeight w:val="37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10.13</w:t>
            </w:r>
          </w:p>
        </w:tc>
        <w:tc>
          <w:tcPr>
            <w:tcW w:w="9960" w:type="dxa"/>
            <w:vAlign w:val="bottom"/>
          </w:tcPr>
          <w:p>
            <w:pPr>
              <w:ind w:left="380"/>
              <w:spacing w:after="0"/>
              <w:rPr>
                <w:sz w:val="20"/>
                <w:szCs w:val="20"/>
                <w:color w:val="auto"/>
              </w:rPr>
            </w:pPr>
            <w:r>
              <w:rPr>
                <w:rFonts w:ascii="Arial" w:cs="Arial" w:eastAsia="Arial" w:hAnsi="Arial"/>
                <w:sz w:val="18"/>
                <w:szCs w:val="18"/>
                <w:color w:val="auto"/>
                <w:w w:val="94"/>
              </w:rPr>
              <w:t>Agreement and Plan Merger, dated as of November 5, 2014, among LivePerson, Inc. Catalyst Lightning LLC, Contact At Once!,</w:t>
            </w:r>
          </w:p>
        </w:tc>
      </w:tr>
      <w:tr>
        <w:trPr>
          <w:trHeight w:val="216"/>
        </w:trPr>
        <w:tc>
          <w:tcPr>
            <w:tcW w:w="1120" w:type="dxa"/>
            <w:vAlign w:val="bottom"/>
          </w:tcPr>
          <w:p>
            <w:pPr>
              <w:spacing w:after="0"/>
              <w:rPr>
                <w:sz w:val="18"/>
                <w:szCs w:val="18"/>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w w:val="93"/>
              </w:rPr>
              <w:t>LLC and Fulcrum Growth Fund II QP, LLC (incorporated by reference to Exhibit 2.1 to LivePerson's Current Report on Form 8-K</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filed on November 12, 2014).</w:t>
            </w:r>
          </w:p>
        </w:tc>
      </w:tr>
      <w:tr>
        <w:trPr>
          <w:trHeight w:val="37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10.14</w:t>
            </w:r>
          </w:p>
        </w:tc>
        <w:tc>
          <w:tcPr>
            <w:tcW w:w="9960" w:type="dxa"/>
            <w:vAlign w:val="bottom"/>
          </w:tcPr>
          <w:p>
            <w:pPr>
              <w:ind w:left="380"/>
              <w:spacing w:after="0"/>
              <w:rPr>
                <w:sz w:val="20"/>
                <w:szCs w:val="20"/>
                <w:color w:val="auto"/>
              </w:rPr>
            </w:pPr>
            <w:r>
              <w:rPr>
                <w:rFonts w:ascii="Arial" w:cs="Arial" w:eastAsia="Arial" w:hAnsi="Arial"/>
                <w:sz w:val="18"/>
                <w:szCs w:val="18"/>
                <w:color w:val="auto"/>
                <w:w w:val="90"/>
              </w:rPr>
              <w:t>Employment agreement between LivePerson and Dustin Dean, dated February 25, 2015 (incorporated by reference to Exhibit 10.1 to</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LivePerson's Quarterly Report on Form 10-Q filed on May 11, 2015).</w:t>
            </w:r>
          </w:p>
        </w:tc>
      </w:tr>
      <w:tr>
        <w:trPr>
          <w:trHeight w:val="37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10.15</w:t>
            </w:r>
          </w:p>
        </w:tc>
        <w:tc>
          <w:tcPr>
            <w:tcW w:w="9960" w:type="dxa"/>
            <w:vAlign w:val="bottom"/>
          </w:tcPr>
          <w:p>
            <w:pPr>
              <w:ind w:left="380"/>
              <w:spacing w:after="0"/>
              <w:rPr>
                <w:sz w:val="20"/>
                <w:szCs w:val="20"/>
                <w:color w:val="auto"/>
              </w:rPr>
            </w:pPr>
            <w:r>
              <w:rPr>
                <w:rFonts w:ascii="Arial" w:cs="Arial" w:eastAsia="Arial" w:hAnsi="Arial"/>
                <w:sz w:val="18"/>
                <w:szCs w:val="18"/>
                <w:color w:val="auto"/>
                <w:w w:val="91"/>
              </w:rPr>
              <w:t>Amendment to the employment agreement between LivePerson and Dustin Dean, dated March 27, 2015 (incorporated by reference</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to Exhibit 10.1 to LivePerson's Quarterly Report on Form 10-Q filed on May 11, 2015).</w:t>
            </w:r>
          </w:p>
        </w:tc>
      </w:tr>
      <w:tr>
        <w:trPr>
          <w:trHeight w:val="513"/>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21.1</w:t>
            </w:r>
          </w:p>
        </w:tc>
        <w:tc>
          <w:tcPr>
            <w:tcW w:w="9960" w:type="dxa"/>
            <w:vAlign w:val="bottom"/>
          </w:tcPr>
          <w:p>
            <w:pPr>
              <w:ind w:left="380"/>
              <w:spacing w:after="0"/>
              <w:rPr>
                <w:sz w:val="20"/>
                <w:szCs w:val="20"/>
                <w:color w:val="auto"/>
              </w:rPr>
            </w:pPr>
            <w:r>
              <w:rPr>
                <w:rFonts w:ascii="Arial" w:cs="Arial" w:eastAsia="Arial" w:hAnsi="Arial"/>
                <w:sz w:val="18"/>
                <w:szCs w:val="18"/>
                <w:color w:val="auto"/>
              </w:rPr>
              <w:t>Subsidiaries</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23.1</w:t>
            </w:r>
          </w:p>
        </w:tc>
        <w:tc>
          <w:tcPr>
            <w:tcW w:w="9960" w:type="dxa"/>
            <w:vAlign w:val="bottom"/>
          </w:tcPr>
          <w:p>
            <w:pPr>
              <w:ind w:left="380"/>
              <w:spacing w:after="0"/>
              <w:rPr>
                <w:sz w:val="20"/>
                <w:szCs w:val="20"/>
                <w:color w:val="auto"/>
              </w:rPr>
            </w:pPr>
            <w:r>
              <w:rPr>
                <w:rFonts w:ascii="Arial" w:cs="Arial" w:eastAsia="Arial" w:hAnsi="Arial"/>
                <w:sz w:val="18"/>
                <w:szCs w:val="18"/>
                <w:color w:val="auto"/>
              </w:rPr>
              <w:t>Consent of BDO USA, LLP</w:t>
            </w:r>
          </w:p>
        </w:tc>
      </w:tr>
      <w:tr>
        <w:trPr>
          <w:trHeight w:val="418"/>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31.1</w:t>
            </w:r>
          </w:p>
        </w:tc>
        <w:tc>
          <w:tcPr>
            <w:tcW w:w="9960" w:type="dxa"/>
            <w:vAlign w:val="bottom"/>
          </w:tcPr>
          <w:p>
            <w:pPr>
              <w:ind w:left="380"/>
              <w:spacing w:after="0"/>
              <w:rPr>
                <w:sz w:val="20"/>
                <w:szCs w:val="20"/>
                <w:color w:val="auto"/>
              </w:rPr>
            </w:pPr>
            <w:r>
              <w:rPr>
                <w:rFonts w:ascii="Arial" w:cs="Arial" w:eastAsia="Arial" w:hAnsi="Arial"/>
                <w:sz w:val="18"/>
                <w:szCs w:val="18"/>
                <w:color w:val="auto"/>
                <w:w w:val="96"/>
              </w:rPr>
              <w:t>Certification by Chief Executive Officer pursuant to Exchange Act Rule 13a-14(a), as adopted pursuant to Section 302 of the</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Sarbanes-Oxley Act of 2002</w:t>
            </w:r>
          </w:p>
        </w:tc>
      </w:tr>
      <w:tr>
        <w:trPr>
          <w:trHeight w:val="418"/>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31.2</w:t>
            </w:r>
          </w:p>
        </w:tc>
        <w:tc>
          <w:tcPr>
            <w:tcW w:w="9960" w:type="dxa"/>
            <w:vAlign w:val="bottom"/>
          </w:tcPr>
          <w:p>
            <w:pPr>
              <w:ind w:left="380"/>
              <w:spacing w:after="0"/>
              <w:rPr>
                <w:sz w:val="20"/>
                <w:szCs w:val="20"/>
                <w:color w:val="auto"/>
              </w:rPr>
            </w:pPr>
            <w:r>
              <w:rPr>
                <w:rFonts w:ascii="Arial" w:cs="Arial" w:eastAsia="Arial" w:hAnsi="Arial"/>
                <w:sz w:val="18"/>
                <w:szCs w:val="18"/>
                <w:color w:val="auto"/>
                <w:w w:val="97"/>
              </w:rPr>
              <w:t>Certification by Chief Financial Officer pursuant to Exchange Act Rule 13a-14(a), as adopted pursuant to Section 302 of the</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Sarbanes-Oxley Act of 2002</w:t>
            </w:r>
          </w:p>
        </w:tc>
      </w:tr>
      <w:tr>
        <w:trPr>
          <w:trHeight w:val="418"/>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32.1**</w:t>
            </w:r>
          </w:p>
        </w:tc>
        <w:tc>
          <w:tcPr>
            <w:tcW w:w="9960" w:type="dxa"/>
            <w:vAlign w:val="bottom"/>
          </w:tcPr>
          <w:p>
            <w:pPr>
              <w:ind w:left="380"/>
              <w:spacing w:after="0"/>
              <w:rPr>
                <w:sz w:val="20"/>
                <w:szCs w:val="20"/>
                <w:color w:val="auto"/>
              </w:rPr>
            </w:pPr>
            <w:r>
              <w:rPr>
                <w:rFonts w:ascii="Arial" w:cs="Arial" w:eastAsia="Arial" w:hAnsi="Arial"/>
                <w:sz w:val="18"/>
                <w:szCs w:val="18"/>
                <w:color w:val="auto"/>
                <w:w w:val="93"/>
              </w:rPr>
              <w:t>Certification by Chief Executive Officer pursuant to 18 U.S.C. Section 1350, as adopted pursuant to Section 906 of the Sarbanes-</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Oxley Act of 2002</w:t>
            </w:r>
          </w:p>
        </w:tc>
      </w:tr>
      <w:tr>
        <w:trPr>
          <w:trHeight w:val="418"/>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32.2**</w:t>
            </w:r>
          </w:p>
        </w:tc>
        <w:tc>
          <w:tcPr>
            <w:tcW w:w="9960" w:type="dxa"/>
            <w:vAlign w:val="bottom"/>
          </w:tcPr>
          <w:p>
            <w:pPr>
              <w:ind w:left="380"/>
              <w:spacing w:after="0"/>
              <w:rPr>
                <w:sz w:val="20"/>
                <w:szCs w:val="20"/>
                <w:color w:val="auto"/>
              </w:rPr>
            </w:pPr>
            <w:r>
              <w:rPr>
                <w:rFonts w:ascii="Arial" w:cs="Arial" w:eastAsia="Arial" w:hAnsi="Arial"/>
                <w:sz w:val="18"/>
                <w:szCs w:val="18"/>
                <w:color w:val="auto"/>
                <w:w w:val="93"/>
              </w:rPr>
              <w:t>Certification by Chief Financial Officer pursuant to 18 U.S.C. Section 1350, as adopted pursuant to Section 906 of the Sarbanes-</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Oxley Act of 2002</w:t>
            </w:r>
          </w:p>
        </w:tc>
      </w:tr>
      <w:tr>
        <w:trPr>
          <w:trHeight w:val="432"/>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3"/>
              </w:rPr>
              <w:t>101.INS†</w:t>
            </w:r>
          </w:p>
        </w:tc>
        <w:tc>
          <w:tcPr>
            <w:tcW w:w="99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101.SCH†</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101.CAL†</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1"/>
              </w:rPr>
              <w:t>101.DEF†</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6"/>
              </w:rPr>
              <w:t>101.LAB†</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0"/>
              </w:rPr>
              <w:t>101.PRE†</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332" w:hanging="332"/>
        <w:spacing w:after="0"/>
        <w:tabs>
          <w:tab w:leader="none" w:pos="3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332" w:right="20" w:hanging="332"/>
        <w:spacing w:after="0" w:line="342" w:lineRule="auto"/>
        <w:tabs>
          <w:tab w:leader="none" w:pos="3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accompany the Annual Report on Form 10-K pursuant to Section 906 of the Sarbanes-Oxley Act of 2002 and shall not be deemed “filed” by the Company for purposes of Section 18 of the Securities Exchange Act of 1934, as amended.</w:t>
      </w:r>
    </w:p>
    <w:p>
      <w:pPr>
        <w:spacing w:after="0" w:line="16" w:lineRule="exact"/>
        <w:rPr>
          <w:sz w:val="20"/>
          <w:szCs w:val="20"/>
          <w:color w:val="auto"/>
        </w:rPr>
      </w:pPr>
    </w:p>
    <w:p>
      <w:pPr>
        <w:ind w:left="332" w:hanging="332"/>
        <w:spacing w:after="0" w:line="293" w:lineRule="auto"/>
        <w:tabs>
          <w:tab w:leader="none" w:pos="3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ectPr>
          <w:pgSz w:w="11900" w:h="16838" w:orient="portrait"/>
          <w:cols w:equalWidth="0" w:num="1">
            <w:col w:w="11332"/>
          </w:cols>
          <w:pgMar w:left="248" w:top="1178" w:right="319" w:bottom="1440" w:gutter="0" w:footer="0" w:header="0"/>
        </w:sectPr>
      </w:pPr>
    </w:p>
    <w:p>
      <w:pPr>
        <w:spacing w:after="0" w:line="300"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32"/>
          </w:cols>
          <w:pgMar w:left="248" w:top="1178" w:right="31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21.1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LIVEPERSON,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Ltd. (formerly HumanClick Ltd.) —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Kasamba Inc.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Engage Pty Ltd. —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(UK) Ltd. —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Netherlands B.V. —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At Once!, LLC — Georgia</w:t>
      </w:r>
    </w:p>
    <w:p>
      <w:pPr>
        <w:sectPr>
          <w:pgSz w:w="11900" w:h="16838" w:orient="portrait"/>
          <w:cols w:equalWidth="0" w:num="1">
            <w:col w:w="11420"/>
          </w:cols>
          <w:pgMar w:left="240" w:top="66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333-112019, 333-112018, 333-136249 and 333-147929) and Form S-8 (No. 333-34230, 333-147572, 333-159850, 333-168945 and 333-194590) of LivePerson, Inc. of our reports dated March 10, 2017, relating to the consolidated financial statements and the effectiveness of LivePerson, Inc.’s internal control over financial reporting, which appear in this Form 10-K.</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47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10, 2017</w:t>
      </w:r>
    </w:p>
    <w:p>
      <w:pPr>
        <w:sectPr>
          <w:pgSz w:w="11900" w:h="16838" w:orient="portrait"/>
          <w:cols w:equalWidth="0" w:num="1">
            <w:col w:w="11420"/>
          </w:cols>
          <w:pgMar w:left="240" w:top="66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March 10, 2017</w:t>
            </w:r>
          </w:p>
        </w:tc>
        <w:tc>
          <w:tcPr>
            <w:tcW w:w="3060" w:type="dxa"/>
            <w:vAlign w:val="bottom"/>
          </w:tcPr>
          <w:p>
            <w:pPr>
              <w:ind w:left="230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60" w:type="dxa"/>
            <w:vAlign w:val="bottom"/>
            <w:vMerge w:val="restart"/>
          </w:tcPr>
          <w:p>
            <w:pPr>
              <w:ind w:left="2300"/>
              <w:spacing w:after="0"/>
              <w:rPr>
                <w:sz w:val="20"/>
                <w:szCs w:val="20"/>
                <w:color w:val="auto"/>
              </w:rPr>
            </w:pPr>
            <w:r>
              <w:rPr>
                <w:rFonts w:ascii="Arial" w:cs="Arial" w:eastAsia="Arial" w:hAnsi="Arial"/>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60" w:type="dxa"/>
            <w:vAlign w:val="bottom"/>
          </w:tcPr>
          <w:p>
            <w:pPr>
              <w:ind w:left="2300"/>
              <w:spacing w:after="0"/>
              <w:rPr>
                <w:sz w:val="20"/>
                <w:szCs w:val="20"/>
                <w:color w:val="auto"/>
              </w:rPr>
            </w:pPr>
            <w:r>
              <w:rPr>
                <w:rFonts w:ascii="Arial" w:cs="Arial" w:eastAsia="Arial" w:hAnsi="Arial"/>
                <w:sz w:val="18"/>
                <w:szCs w:val="18"/>
                <w:color w:val="auto"/>
              </w:rPr>
              <w:t>Title:</w:t>
            </w:r>
          </w:p>
        </w:tc>
        <w:tc>
          <w:tcPr>
            <w:tcW w:w="4040" w:type="dxa"/>
            <w:vAlign w:val="bottom"/>
          </w:tcPr>
          <w:p>
            <w:pPr>
              <w:ind w:left="20"/>
              <w:spacing w:after="0"/>
              <w:rPr>
                <w:sz w:val="20"/>
                <w:szCs w:val="20"/>
                <w:color w:val="auto"/>
              </w:rPr>
            </w:pPr>
            <w:r>
              <w:rPr>
                <w:rFonts w:ascii="Arial" w:cs="Arial" w:eastAsia="Arial" w:hAnsi="Arial"/>
                <w:sz w:val="18"/>
                <w:szCs w:val="18"/>
                <w:color w:val="auto"/>
                <w:w w:val="99"/>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March 10, 2017</w:t>
            </w:r>
          </w:p>
        </w:tc>
        <w:tc>
          <w:tcPr>
            <w:tcW w:w="3060" w:type="dxa"/>
            <w:vAlign w:val="bottom"/>
          </w:tcPr>
          <w:p>
            <w:pPr>
              <w:ind w:left="2300"/>
              <w:spacing w:after="0"/>
              <w:rPr>
                <w:sz w:val="20"/>
                <w:szCs w:val="20"/>
                <w:color w:val="auto"/>
              </w:rPr>
            </w:pPr>
            <w:r>
              <w:rPr>
                <w:rFonts w:ascii="Arial" w:cs="Arial" w:eastAsia="Arial" w:hAnsi="Arial"/>
                <w:sz w:val="18"/>
                <w:szCs w:val="18"/>
                <w:color w:val="auto"/>
              </w:rPr>
              <w:t>By:</w:t>
            </w:r>
          </w:p>
        </w:tc>
        <w:tc>
          <w:tcPr>
            <w:tcW w:w="402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060" w:type="dxa"/>
            <w:vAlign w:val="bottom"/>
            <w:vMerge w:val="restart"/>
          </w:tcPr>
          <w:p>
            <w:pPr>
              <w:ind w:left="2300"/>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3060" w:type="dxa"/>
            <w:vAlign w:val="bottom"/>
          </w:tcPr>
          <w:p>
            <w:pPr>
              <w:ind w:left="2300"/>
              <w:spacing w:after="0"/>
              <w:rPr>
                <w:sz w:val="20"/>
                <w:szCs w:val="20"/>
                <w:color w:val="auto"/>
              </w:rPr>
            </w:pPr>
            <w:r>
              <w:rPr>
                <w:rFonts w:ascii="Arial" w:cs="Arial" w:eastAsia="Arial" w:hAnsi="Arial"/>
                <w:sz w:val="18"/>
                <w:szCs w:val="18"/>
                <w:color w:val="auto"/>
              </w:rPr>
              <w:t>Title:</w:t>
            </w:r>
          </w:p>
        </w:tc>
        <w:tc>
          <w:tcPr>
            <w:tcW w:w="402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8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2016,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March 10, 2017</w:t>
            </w:r>
          </w:p>
        </w:tc>
        <w:tc>
          <w:tcPr>
            <w:tcW w:w="3040" w:type="dxa"/>
            <w:vAlign w:val="bottom"/>
          </w:tcPr>
          <w:p>
            <w:pPr>
              <w:ind w:left="2380"/>
              <w:spacing w:after="0"/>
              <w:rPr>
                <w:sz w:val="20"/>
                <w:szCs w:val="20"/>
                <w:color w:val="auto"/>
              </w:rPr>
            </w:pPr>
            <w:r>
              <w:rPr>
                <w:rFonts w:ascii="Arial" w:cs="Arial" w:eastAsia="Arial" w:hAnsi="Arial"/>
                <w:sz w:val="18"/>
                <w:szCs w:val="18"/>
                <w:color w:val="auto"/>
              </w:rPr>
              <w:t>By:</w:t>
            </w:r>
          </w:p>
        </w:tc>
        <w:tc>
          <w:tcPr>
            <w:tcW w:w="4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40" w:type="dxa"/>
            <w:vAlign w:val="bottom"/>
            <w:vMerge w:val="restart"/>
          </w:tcPr>
          <w:p>
            <w:pPr>
              <w:ind w:left="2380"/>
              <w:spacing w:after="0"/>
              <w:rPr>
                <w:sz w:val="20"/>
                <w:szCs w:val="20"/>
                <w:color w:val="auto"/>
              </w:rPr>
            </w:pPr>
            <w:r>
              <w:rPr>
                <w:rFonts w:ascii="Arial" w:cs="Arial" w:eastAsia="Arial" w:hAnsi="Arial"/>
                <w:sz w:val="18"/>
                <w:szCs w:val="18"/>
                <w:color w:val="auto"/>
              </w:rPr>
              <w:t>Name:</w:t>
            </w: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040" w:type="dxa"/>
            <w:vAlign w:val="bottom"/>
          </w:tcPr>
          <w:p>
            <w:pPr>
              <w:ind w:left="238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18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2016,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10, 2017</w:t>
            </w:r>
          </w:p>
        </w:tc>
        <w:tc>
          <w:tcPr>
            <w:tcW w:w="2560" w:type="dxa"/>
            <w:vAlign w:val="bottom"/>
          </w:tcPr>
          <w:p>
            <w:pPr>
              <w:ind w:left="1820"/>
              <w:spacing w:after="0"/>
              <w:rPr>
                <w:sz w:val="20"/>
                <w:szCs w:val="20"/>
                <w:color w:val="auto"/>
              </w:rPr>
            </w:pPr>
            <w:r>
              <w:rPr>
                <w:rFonts w:ascii="Arial" w:cs="Arial" w:eastAsia="Arial" w:hAnsi="Arial"/>
                <w:sz w:val="18"/>
                <w:szCs w:val="18"/>
                <w:color w:val="auto"/>
              </w:rPr>
              <w:t>By:</w:t>
            </w:r>
          </w:p>
        </w:tc>
        <w:tc>
          <w:tcPr>
            <w:tcW w:w="468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5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2560" w:type="dxa"/>
            <w:vAlign w:val="bottom"/>
          </w:tcPr>
          <w:p>
            <w:pPr>
              <w:ind w:left="1820"/>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lvl w:ilvl="1">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450"/>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2019-12-29T07:47:10Z</dcterms:created>
  <dcterms:modified xsi:type="dcterms:W3CDTF">2019-12-29T07:47:10Z</dcterms:modified>
</cp:coreProperties>
</file>