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11" w:lineRule="exact"/>
        <w:rPr>
          <w:sz w:val="24"/>
          <w:szCs w:val="24"/>
          <w:color w:val="auto"/>
        </w:rPr>
      </w:pPr>
    </w:p>
    <w:p>
      <w:pPr>
        <w:jc w:val="center"/>
        <w:ind w:left="4700" w:right="2340" w:hanging="2348"/>
        <w:spacing w:after="0" w:line="283" w:lineRule="auto"/>
        <w:tabs>
          <w:tab w:leader="none" w:pos="255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2019</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10" w:lineRule="exact"/>
        <w:rPr>
          <w:sz w:val="24"/>
          <w:szCs w:val="24"/>
          <w:color w:val="auto"/>
        </w:rPr>
      </w:pPr>
    </w:p>
    <w:p>
      <w:pPr>
        <w:jc w:val="center"/>
        <w:ind w:left="4700" w:right="2340" w:hanging="2354"/>
        <w:spacing w:after="0" w:line="283" w:lineRule="auto"/>
        <w:tabs>
          <w:tab w:leader="none" w:pos="2545"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7"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____________________ to ____________________</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000-30141</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34290</wp:posOffset>
            </wp:positionV>
            <wp:extent cx="718185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1850" cy="1587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83" w:lineRule="exact"/>
        <w:rPr>
          <w:sz w:val="24"/>
          <w:szCs w:val="24"/>
          <w:color w:val="auto"/>
        </w:rPr>
      </w:pPr>
    </w:p>
    <w:tbl>
      <w:tblPr>
        <w:tblLayout w:type="fixed"/>
        <w:tblInd w:w="1380" w:type="dxa"/>
        <w:tblCellMar>
          <w:top w:w="0" w:type="dxa"/>
          <w:left w:w="0" w:type="dxa"/>
          <w:bottom w:w="0" w:type="dxa"/>
          <w:right w:w="0" w:type="dxa"/>
        </w:tblCellMar>
      </w:tblPr>
      <w:tr>
        <w:trPr>
          <w:trHeight w:val="223"/>
        </w:trPr>
        <w:tc>
          <w:tcPr>
            <w:tcW w:w="5220" w:type="dxa"/>
            <w:vAlign w:val="bottom"/>
            <w:gridSpan w:val="3"/>
          </w:tcPr>
          <w:p>
            <w:pPr>
              <w:jc w:val="center"/>
              <w:ind w:right="114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460" w:type="dxa"/>
            <w:vAlign w:val="bottom"/>
          </w:tcPr>
          <w:p>
            <w:pPr>
              <w:jc w:val="right"/>
              <w:ind w:right="1580"/>
              <w:spacing w:after="0"/>
              <w:rPr>
                <w:sz w:val="20"/>
                <w:szCs w:val="20"/>
                <w:color w:val="auto"/>
              </w:rPr>
            </w:pPr>
            <w:r>
              <w:rPr>
                <w:rFonts w:ascii="Times New Roman" w:cs="Times New Roman" w:eastAsia="Times New Roman" w:hAnsi="Times New Roman"/>
                <w:sz w:val="17"/>
                <w:szCs w:val="17"/>
                <w:b w:val="1"/>
                <w:bCs w:val="1"/>
                <w:color w:val="auto"/>
              </w:rPr>
              <w:t>13-3861628</w:t>
            </w:r>
          </w:p>
        </w:tc>
      </w:tr>
      <w:tr>
        <w:trPr>
          <w:trHeight w:val="32"/>
        </w:trPr>
        <w:tc>
          <w:tcPr>
            <w:tcW w:w="4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11"/>
        </w:trPr>
        <w:tc>
          <w:tcPr>
            <w:tcW w:w="5220" w:type="dxa"/>
            <w:vAlign w:val="bottom"/>
            <w:gridSpan w:val="3"/>
          </w:tcPr>
          <w:p>
            <w:pPr>
              <w:jc w:val="center"/>
              <w:ind w:right="112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3460" w:type="dxa"/>
            <w:vAlign w:val="bottom"/>
          </w:tcPr>
          <w:p>
            <w:pPr>
              <w:jc w:val="center"/>
              <w:ind w:right="600"/>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411"/>
        </w:trPr>
        <w:tc>
          <w:tcPr>
            <w:tcW w:w="5220" w:type="dxa"/>
            <w:vAlign w:val="bottom"/>
            <w:gridSpan w:val="3"/>
          </w:tcPr>
          <w:p>
            <w:pPr>
              <w:jc w:val="center"/>
              <w:ind w:right="1140"/>
              <w:spacing w:after="0"/>
              <w:rPr>
                <w:sz w:val="20"/>
                <w:szCs w:val="20"/>
                <w:color w:val="auto"/>
              </w:rPr>
            </w:pPr>
            <w:r>
              <w:rPr>
                <w:rFonts w:ascii="Times New Roman" w:cs="Times New Roman" w:eastAsia="Times New Roman" w:hAnsi="Times New Roman"/>
                <w:sz w:val="17"/>
                <w:szCs w:val="17"/>
                <w:b w:val="1"/>
                <w:bCs w:val="1"/>
                <w:color w:val="auto"/>
                <w:w w:val="97"/>
              </w:rPr>
              <w:t>475 Tenth Avenue, 5th Floor</w:t>
            </w:r>
          </w:p>
        </w:tc>
        <w:tc>
          <w:tcPr>
            <w:tcW w:w="3460" w:type="dxa"/>
            <w:vAlign w:val="bottom"/>
          </w:tcPr>
          <w:p>
            <w:pPr>
              <w:spacing w:after="0"/>
              <w:rPr>
                <w:sz w:val="24"/>
                <w:szCs w:val="24"/>
                <w:color w:val="auto"/>
              </w:rPr>
            </w:pPr>
          </w:p>
        </w:tc>
      </w:tr>
      <w:tr>
        <w:trPr>
          <w:trHeight w:val="254"/>
        </w:trPr>
        <w:tc>
          <w:tcPr>
            <w:tcW w:w="5220" w:type="dxa"/>
            <w:vAlign w:val="bottom"/>
            <w:gridSpan w:val="3"/>
          </w:tcPr>
          <w:p>
            <w:pPr>
              <w:jc w:val="center"/>
              <w:ind w:right="1120"/>
              <w:spacing w:after="0"/>
              <w:rPr>
                <w:sz w:val="20"/>
                <w:szCs w:val="20"/>
                <w:color w:val="auto"/>
              </w:rPr>
            </w:pPr>
            <w:r>
              <w:rPr>
                <w:rFonts w:ascii="Times New Roman" w:cs="Times New Roman" w:eastAsia="Times New Roman" w:hAnsi="Times New Roman"/>
                <w:sz w:val="17"/>
                <w:szCs w:val="17"/>
                <w:b w:val="1"/>
                <w:bCs w:val="1"/>
                <w:color w:val="auto"/>
                <w:w w:val="98"/>
              </w:rPr>
              <w:t>New York , New York</w:t>
            </w:r>
          </w:p>
        </w:tc>
        <w:tc>
          <w:tcPr>
            <w:tcW w:w="3460" w:type="dxa"/>
            <w:vAlign w:val="bottom"/>
          </w:tcPr>
          <w:p>
            <w:pPr>
              <w:jc w:val="right"/>
              <w:ind w:right="1780"/>
              <w:spacing w:after="0"/>
              <w:rPr>
                <w:sz w:val="20"/>
                <w:szCs w:val="20"/>
                <w:color w:val="auto"/>
              </w:rPr>
            </w:pPr>
            <w:r>
              <w:rPr>
                <w:rFonts w:ascii="Times New Roman" w:cs="Times New Roman" w:eastAsia="Times New Roman" w:hAnsi="Times New Roman"/>
                <w:sz w:val="17"/>
                <w:szCs w:val="17"/>
                <w:b w:val="1"/>
                <w:bCs w:val="1"/>
                <w:color w:val="auto"/>
              </w:rPr>
              <w:t>10018</w:t>
            </w:r>
          </w:p>
        </w:tc>
      </w:tr>
      <w:tr>
        <w:trPr>
          <w:trHeight w:val="32"/>
        </w:trPr>
        <w:tc>
          <w:tcPr>
            <w:tcW w:w="4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11"/>
        </w:trPr>
        <w:tc>
          <w:tcPr>
            <w:tcW w:w="5220" w:type="dxa"/>
            <w:vAlign w:val="bottom"/>
            <w:gridSpan w:val="3"/>
          </w:tcPr>
          <w:p>
            <w:pPr>
              <w:jc w:val="center"/>
              <w:ind w:right="1120"/>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3460" w:type="dxa"/>
            <w:vAlign w:val="bottom"/>
          </w:tcPr>
          <w:p>
            <w:pPr>
              <w:jc w:val="center"/>
              <w:ind w:right="580"/>
              <w:spacing w:after="0"/>
              <w:rPr>
                <w:sz w:val="20"/>
                <w:szCs w:val="20"/>
                <w:color w:val="auto"/>
              </w:rPr>
            </w:pPr>
            <w:r>
              <w:rPr>
                <w:rFonts w:ascii="Times New Roman" w:cs="Times New Roman" w:eastAsia="Times New Roman" w:hAnsi="Times New Roman"/>
                <w:sz w:val="15"/>
                <w:szCs w:val="15"/>
                <w:color w:val="auto"/>
              </w:rPr>
              <w:t>(Zip Code)</w:t>
            </w:r>
          </w:p>
        </w:tc>
      </w:tr>
      <w:tr>
        <w:trPr>
          <w:trHeight w:val="334"/>
        </w:trPr>
        <w:tc>
          <w:tcPr>
            <w:tcW w:w="52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(212) 609-4200</w:t>
            </w:r>
          </w:p>
        </w:tc>
        <w:tc>
          <w:tcPr>
            <w:tcW w:w="3460" w:type="dxa"/>
            <w:vAlign w:val="bottom"/>
          </w:tcPr>
          <w:p>
            <w:pPr>
              <w:spacing w:after="0"/>
              <w:rPr>
                <w:sz w:val="24"/>
                <w:szCs w:val="24"/>
                <w:color w:val="auto"/>
              </w:rPr>
            </w:pPr>
          </w:p>
        </w:tc>
      </w:tr>
    </w:tbl>
    <w:p>
      <w:pPr>
        <w:ind w:left="384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4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31750</wp:posOffset>
            </wp:positionV>
            <wp:extent cx="71494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5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4240" w:type="dxa"/>
            <w:vAlign w:val="bottom"/>
          </w:tcPr>
          <w:p>
            <w:pPr>
              <w:jc w:val="center"/>
              <w:ind w:right="140"/>
              <w:spacing w:after="0"/>
              <w:rPr>
                <w:sz w:val="20"/>
                <w:szCs w:val="20"/>
                <w:color w:val="auto"/>
              </w:rPr>
            </w:pPr>
            <w:r>
              <w:rPr>
                <w:rFonts w:ascii="Times New Roman" w:cs="Times New Roman" w:eastAsia="Times New Roman" w:hAnsi="Times New Roman"/>
                <w:sz w:val="15"/>
                <w:szCs w:val="15"/>
                <w:color w:val="auto"/>
              </w:rPr>
              <w:t>Title of each class</w:t>
            </w:r>
          </w:p>
        </w:tc>
        <w:tc>
          <w:tcPr>
            <w:tcW w:w="2740" w:type="dxa"/>
            <w:vAlign w:val="bottom"/>
          </w:tcPr>
          <w:p>
            <w:pPr>
              <w:jc w:val="center"/>
              <w:ind w:right="20"/>
              <w:spacing w:after="0"/>
              <w:rPr>
                <w:sz w:val="20"/>
                <w:szCs w:val="20"/>
                <w:color w:val="auto"/>
              </w:rPr>
            </w:pPr>
            <w:r>
              <w:rPr>
                <w:rFonts w:ascii="Times New Roman" w:cs="Times New Roman" w:eastAsia="Times New Roman" w:hAnsi="Times New Roman"/>
                <w:sz w:val="15"/>
                <w:szCs w:val="15"/>
                <w:color w:val="auto"/>
              </w:rPr>
              <w:t>Trading Symbol(s)</w:t>
            </w:r>
          </w:p>
        </w:tc>
        <w:tc>
          <w:tcPr>
            <w:tcW w:w="4280" w:type="dxa"/>
            <w:vAlign w:val="bottom"/>
          </w:tcPr>
          <w:p>
            <w:pPr>
              <w:jc w:val="center"/>
              <w:ind w:left="20"/>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r>
      <w:tr>
        <w:trPr>
          <w:trHeight w:val="30"/>
        </w:trPr>
        <w:tc>
          <w:tcPr>
            <w:tcW w:w="42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21"/>
        </w:trPr>
        <w:tc>
          <w:tcPr>
            <w:tcW w:w="4240" w:type="dxa"/>
            <w:vAlign w:val="bottom"/>
          </w:tcPr>
          <w:p>
            <w:pPr>
              <w:jc w:val="center"/>
              <w:ind w:right="140"/>
              <w:spacing w:after="0"/>
              <w:rPr>
                <w:sz w:val="20"/>
                <w:szCs w:val="20"/>
                <w:color w:val="auto"/>
              </w:rPr>
            </w:pPr>
            <w:r>
              <w:rPr>
                <w:rFonts w:ascii="Times New Roman" w:cs="Times New Roman" w:eastAsia="Times New Roman" w:hAnsi="Times New Roman"/>
                <w:sz w:val="17"/>
                <w:szCs w:val="17"/>
                <w:color w:val="auto"/>
                <w:w w:val="99"/>
              </w:rPr>
              <w:t>Common Stock, par value $0.001 per share</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LPSN</w:t>
            </w:r>
          </w:p>
        </w:tc>
        <w:tc>
          <w:tcPr>
            <w:tcW w:w="4280" w:type="dxa"/>
            <w:vAlign w:val="bottom"/>
          </w:tcPr>
          <w:p>
            <w:pPr>
              <w:jc w:val="center"/>
              <w:ind w:left="20"/>
              <w:spacing w:after="0"/>
              <w:rPr>
                <w:sz w:val="20"/>
                <w:szCs w:val="20"/>
                <w:color w:val="auto"/>
              </w:rPr>
            </w:pPr>
            <w:r>
              <w:rPr>
                <w:rFonts w:ascii="Times New Roman" w:cs="Times New Roman" w:eastAsia="Times New Roman" w:hAnsi="Times New Roman"/>
                <w:sz w:val="17"/>
                <w:szCs w:val="17"/>
                <w:color w:val="auto"/>
                <w:w w:val="99"/>
              </w:rPr>
              <w:t>The Nasdaq Stock Market LLC</w:t>
            </w:r>
          </w:p>
        </w:tc>
      </w:tr>
    </w:tbl>
    <w:p>
      <w:pPr>
        <w:spacing w:after="0" w:line="213" w:lineRule="exact"/>
        <w:rPr>
          <w:sz w:val="24"/>
          <w:szCs w:val="24"/>
          <w:color w:val="auto"/>
        </w:rPr>
      </w:pPr>
    </w:p>
    <w:p>
      <w:pPr>
        <w:ind w:right="80"/>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ind w:right="100"/>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1" w:lineRule="exact"/>
        <w:rPr>
          <w:sz w:val="24"/>
          <w:szCs w:val="24"/>
          <w:color w:val="auto"/>
        </w:rPr>
      </w:pPr>
    </w:p>
    <w:tbl>
      <w:tblPr>
        <w:tblLayout w:type="fixed"/>
        <w:tblInd w:w="16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08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4"/>
        </w:trPr>
        <w:tc>
          <w:tcPr>
            <w:tcW w:w="22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08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7"/>
        </w:trPr>
        <w:tc>
          <w:tcPr>
            <w:tcW w:w="2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91" w:lineRule="exact"/>
        <w:rPr>
          <w:sz w:val="24"/>
          <w:szCs w:val="24"/>
          <w:color w:val="auto"/>
        </w:rPr>
      </w:pPr>
    </w:p>
    <w:p>
      <w:pPr>
        <w:ind w:right="280"/>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9" w:lineRule="exact"/>
        <w:rPr>
          <w:sz w:val="24"/>
          <w:szCs w:val="24"/>
          <w:color w:val="auto"/>
        </w:rPr>
      </w:pPr>
    </w:p>
    <w:p>
      <w:pPr>
        <w:ind w:right="2800"/>
        <w:spacing w:after="0" w:line="27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On July 30, 2019, 65,527,788 shares of the registrant’s common stock were outstanding.</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420"/>
          </w:cols>
          <w:pgMar w:left="240" w:top="653"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2019</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102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auto"/>
              </w:rPr>
              <w:t>PAGE</w:t>
            </w:r>
          </w:p>
        </w:tc>
      </w:tr>
      <w:tr>
        <w:trPr>
          <w:trHeight w:val="26"/>
        </w:trPr>
        <w:tc>
          <w:tcPr>
            <w:tcW w:w="1020" w:type="dxa"/>
            <w:vAlign w:val="bottom"/>
            <w:tcBorders>
              <w:bottom w:val="single" w:sz="8" w:color="CCFFCC"/>
            </w:tcBorders>
          </w:tcPr>
          <w:p>
            <w:pPr>
              <w:spacing w:after="0"/>
              <w:rPr>
                <w:sz w:val="2"/>
                <w:szCs w:val="2"/>
                <w:color w:val="auto"/>
              </w:rPr>
            </w:pPr>
          </w:p>
        </w:tc>
        <w:tc>
          <w:tcPr>
            <w:tcW w:w="9380" w:type="dxa"/>
            <w:vAlign w:val="bottom"/>
            <w:tcBorders>
              <w:bottom w:val="single" w:sz="8" w:color="CCFFC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7"/>
        </w:trPr>
        <w:tc>
          <w:tcPr>
            <w:tcW w:w="1020" w:type="dxa"/>
            <w:vAlign w:val="bottom"/>
            <w:shd w:val="clear" w:color="auto" w:fill="CCFFCC"/>
          </w:tcPr>
          <w:p>
            <w:pPr>
              <w:ind w:left="20"/>
              <w:spacing w:after="0" w:line="184" w:lineRule="exact"/>
              <w:rPr>
                <w:sz w:val="20"/>
                <w:szCs w:val="20"/>
                <w:color w:val="auto"/>
              </w:rPr>
            </w:pPr>
            <w:r>
              <w:rPr>
                <w:rFonts w:ascii="Times New Roman" w:cs="Times New Roman" w:eastAsia="Times New Roman" w:hAnsi="Times New Roman"/>
                <w:sz w:val="17"/>
                <w:szCs w:val="17"/>
                <w:color w:val="auto"/>
              </w:rPr>
              <w:t>Part I.</w:t>
            </w:r>
          </w:p>
        </w:tc>
        <w:tc>
          <w:tcPr>
            <w:tcW w:w="9380" w:type="dxa"/>
            <w:vAlign w:val="bottom"/>
            <w:shd w:val="clear" w:color="auto" w:fill="CCFFCC"/>
          </w:tcPr>
          <w:p>
            <w:pPr>
              <w:ind w:left="260"/>
              <w:spacing w:after="0" w:line="184" w:lineRule="exact"/>
              <w:rPr>
                <w:sz w:val="20"/>
                <w:szCs w:val="20"/>
                <w:color w:val="auto"/>
              </w:rPr>
            </w:pPr>
            <w:r>
              <w:rPr>
                <w:rFonts w:ascii="Times New Roman" w:cs="Times New Roman" w:eastAsia="Times New Roman" w:hAnsi="Times New Roman"/>
                <w:sz w:val="17"/>
                <w:szCs w:val="17"/>
                <w:color w:val="auto"/>
              </w:rPr>
              <w:t>Financial Information</w:t>
            </w:r>
          </w:p>
        </w:tc>
        <w:tc>
          <w:tcPr>
            <w:tcW w:w="1020" w:type="dxa"/>
            <w:vAlign w:val="bottom"/>
            <w:gridSpan w:val="4"/>
            <w:shd w:val="clear" w:color="auto" w:fill="CCFFCC"/>
          </w:tcPr>
          <w:p>
            <w:pPr>
              <w:jc w:val="right"/>
              <w:ind w:right="100"/>
              <w:spacing w:after="0" w:line="184" w:lineRule="exact"/>
              <w:rPr>
                <w:rFonts w:ascii="Times New Roman" w:cs="Times New Roman" w:eastAsia="Times New Roman" w:hAnsi="Times New Roman"/>
                <w:sz w:val="17"/>
                <w:szCs w:val="17"/>
                <w:color w:val="0000FF"/>
              </w:rPr>
            </w:pPr>
            <w:hyperlink w:anchor="page4">
              <w:r>
                <w:rPr>
                  <w:rFonts w:ascii="Times New Roman" w:cs="Times New Roman" w:eastAsia="Times New Roman" w:hAnsi="Times New Roman"/>
                  <w:sz w:val="17"/>
                  <w:szCs w:val="17"/>
                  <w:color w:val="0000FF"/>
                </w:rPr>
                <w:t>4</w:t>
              </w:r>
            </w:hyperlink>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Item 1.</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Financial Statements (Unaudited):</w:t>
            </w:r>
          </w:p>
        </w:tc>
        <w:tc>
          <w:tcPr>
            <w:tcW w:w="1020" w:type="dxa"/>
            <w:vAlign w:val="bottom"/>
            <w:gridSpan w:val="4"/>
            <w:shd w:val="clear" w:color="auto" w:fill="CCFFCC"/>
          </w:tcPr>
          <w:p>
            <w:pPr>
              <w:jc w:val="right"/>
              <w:ind w:right="100"/>
              <w:spacing w:after="0" w:line="191" w:lineRule="exact"/>
              <w:rPr>
                <w:rFonts w:ascii="Times New Roman" w:cs="Times New Roman" w:eastAsia="Times New Roman" w:hAnsi="Times New Roman"/>
                <w:sz w:val="17"/>
                <w:szCs w:val="17"/>
                <w:color w:val="0000FF"/>
              </w:rPr>
            </w:pPr>
            <w:hyperlink w:anchor="page4">
              <w:r>
                <w:rPr>
                  <w:rFonts w:ascii="Times New Roman" w:cs="Times New Roman" w:eastAsia="Times New Roman" w:hAnsi="Times New Roman"/>
                  <w:sz w:val="17"/>
                  <w:szCs w:val="17"/>
                  <w:color w:val="0000FF"/>
                </w:rPr>
                <w:t>4</w:t>
              </w:r>
            </w:hyperlink>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spacing w:after="0"/>
              <w:rPr>
                <w:sz w:val="20"/>
                <w:szCs w:val="20"/>
                <w:color w:val="auto"/>
              </w:rPr>
            </w:pPr>
          </w:p>
        </w:tc>
        <w:tc>
          <w:tcPr>
            <w:tcW w:w="9380" w:type="dxa"/>
            <w:vAlign w:val="bottom"/>
            <w:shd w:val="clear" w:color="auto" w:fill="CCFFCC"/>
          </w:tcPr>
          <w:p>
            <w:pPr>
              <w:ind w:left="600"/>
              <w:spacing w:after="0" w:line="191" w:lineRule="exact"/>
              <w:rPr>
                <w:sz w:val="20"/>
                <w:szCs w:val="20"/>
                <w:color w:val="auto"/>
              </w:rPr>
            </w:pPr>
            <w:r>
              <w:rPr>
                <w:rFonts w:ascii="Times New Roman" w:cs="Times New Roman" w:eastAsia="Times New Roman" w:hAnsi="Times New Roman"/>
                <w:sz w:val="17"/>
                <w:szCs w:val="17"/>
                <w:color w:val="auto"/>
              </w:rPr>
              <w:t>Condensed Consolidated Balance Sheets as of June 30, 2019 and December 31, 2018</w:t>
            </w:r>
          </w:p>
        </w:tc>
        <w:tc>
          <w:tcPr>
            <w:tcW w:w="1020" w:type="dxa"/>
            <w:vAlign w:val="bottom"/>
            <w:gridSpan w:val="4"/>
            <w:shd w:val="clear" w:color="auto" w:fill="CCFFCC"/>
          </w:tcPr>
          <w:p>
            <w:pPr>
              <w:jc w:val="right"/>
              <w:ind w:right="100"/>
              <w:spacing w:after="0" w:line="191" w:lineRule="exact"/>
              <w:rPr>
                <w:rFonts w:ascii="Times New Roman" w:cs="Times New Roman" w:eastAsia="Times New Roman" w:hAnsi="Times New Roman"/>
                <w:sz w:val="17"/>
                <w:szCs w:val="17"/>
                <w:color w:val="0000FF"/>
              </w:rPr>
            </w:pPr>
            <w:hyperlink w:anchor="page4">
              <w:r>
                <w:rPr>
                  <w:rFonts w:ascii="Times New Roman" w:cs="Times New Roman" w:eastAsia="Times New Roman" w:hAnsi="Times New Roman"/>
                  <w:sz w:val="17"/>
                  <w:szCs w:val="17"/>
                  <w:color w:val="0000FF"/>
                </w:rPr>
                <w:t>4</w:t>
              </w:r>
            </w:hyperlink>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spacing w:after="0"/>
              <w:rPr>
                <w:sz w:val="20"/>
                <w:szCs w:val="20"/>
                <w:color w:val="auto"/>
              </w:rPr>
            </w:pPr>
          </w:p>
        </w:tc>
        <w:tc>
          <w:tcPr>
            <w:tcW w:w="9380" w:type="dxa"/>
            <w:vAlign w:val="bottom"/>
            <w:shd w:val="clear" w:color="auto" w:fill="CCFFCC"/>
          </w:tcPr>
          <w:p>
            <w:pPr>
              <w:ind w:left="600"/>
              <w:spacing w:after="0" w:line="191" w:lineRule="exact"/>
              <w:rPr>
                <w:sz w:val="20"/>
                <w:szCs w:val="20"/>
                <w:color w:val="auto"/>
              </w:rPr>
            </w:pPr>
            <w:r>
              <w:rPr>
                <w:rFonts w:ascii="Times New Roman" w:cs="Times New Roman" w:eastAsia="Times New Roman" w:hAnsi="Times New Roman"/>
                <w:sz w:val="17"/>
                <w:szCs w:val="17"/>
                <w:color w:val="auto"/>
              </w:rPr>
              <w:t>Condensed Consolidated Statements of Operations for the Three And Six Months Ended June 30, 2019 and 2018</w:t>
            </w:r>
          </w:p>
        </w:tc>
        <w:tc>
          <w:tcPr>
            <w:tcW w:w="1020" w:type="dxa"/>
            <w:vAlign w:val="bottom"/>
            <w:gridSpan w:val="4"/>
            <w:shd w:val="clear" w:color="auto" w:fill="CCFFCC"/>
          </w:tcPr>
          <w:p>
            <w:pPr>
              <w:jc w:val="right"/>
              <w:ind w:right="100"/>
              <w:spacing w:after="0" w:line="191" w:lineRule="exact"/>
              <w:rPr>
                <w:rFonts w:ascii="Times New Roman" w:cs="Times New Roman" w:eastAsia="Times New Roman" w:hAnsi="Times New Roman"/>
                <w:sz w:val="17"/>
                <w:szCs w:val="17"/>
                <w:color w:val="0000FF"/>
              </w:rPr>
            </w:pPr>
            <w:hyperlink w:anchor="page5">
              <w:r>
                <w:rPr>
                  <w:rFonts w:ascii="Times New Roman" w:cs="Times New Roman" w:eastAsia="Times New Roman" w:hAnsi="Times New Roman"/>
                  <w:sz w:val="17"/>
                  <w:szCs w:val="17"/>
                  <w:color w:val="0000FF"/>
                </w:rPr>
                <w:t>5</w:t>
              </w:r>
            </w:hyperlink>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spacing w:after="0"/>
              <w:rPr>
                <w:sz w:val="20"/>
                <w:szCs w:val="20"/>
                <w:color w:val="auto"/>
              </w:rPr>
            </w:pPr>
          </w:p>
        </w:tc>
        <w:tc>
          <w:tcPr>
            <w:tcW w:w="9380" w:type="dxa"/>
            <w:vAlign w:val="bottom"/>
            <w:shd w:val="clear" w:color="auto" w:fill="CCFFCC"/>
          </w:tcPr>
          <w:p>
            <w:pPr>
              <w:ind w:left="600"/>
              <w:spacing w:after="0" w:line="191" w:lineRule="exact"/>
              <w:rPr>
                <w:sz w:val="20"/>
                <w:szCs w:val="20"/>
                <w:color w:val="auto"/>
              </w:rPr>
            </w:pPr>
            <w:r>
              <w:rPr>
                <w:rFonts w:ascii="Times New Roman" w:cs="Times New Roman" w:eastAsia="Times New Roman" w:hAnsi="Times New Roman"/>
                <w:sz w:val="17"/>
                <w:szCs w:val="17"/>
                <w:color w:val="auto"/>
              </w:rPr>
              <w:t>Condensed Consolidated Statements of Comprehensive Loss for the Three And Six Months Ended June 30, 2019 and 2018</w:t>
            </w:r>
          </w:p>
        </w:tc>
        <w:tc>
          <w:tcPr>
            <w:tcW w:w="1020" w:type="dxa"/>
            <w:vAlign w:val="bottom"/>
            <w:gridSpan w:val="4"/>
            <w:shd w:val="clear" w:color="auto" w:fill="CCFFCC"/>
          </w:tcPr>
          <w:p>
            <w:pPr>
              <w:jc w:val="right"/>
              <w:ind w:right="100"/>
              <w:spacing w:after="0" w:line="191" w:lineRule="exact"/>
              <w:rPr>
                <w:rFonts w:ascii="Times New Roman" w:cs="Times New Roman" w:eastAsia="Times New Roman" w:hAnsi="Times New Roman"/>
                <w:sz w:val="17"/>
                <w:szCs w:val="17"/>
                <w:color w:val="0000FF"/>
              </w:rPr>
            </w:pPr>
            <w:hyperlink w:anchor="page6">
              <w:r>
                <w:rPr>
                  <w:rFonts w:ascii="Times New Roman" w:cs="Times New Roman" w:eastAsia="Times New Roman" w:hAnsi="Times New Roman"/>
                  <w:sz w:val="17"/>
                  <w:szCs w:val="17"/>
                  <w:color w:val="0000FF"/>
                </w:rPr>
                <w:t>6</w:t>
              </w:r>
            </w:hyperlink>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spacing w:after="0"/>
              <w:rPr>
                <w:sz w:val="20"/>
                <w:szCs w:val="20"/>
                <w:color w:val="auto"/>
              </w:rPr>
            </w:pPr>
          </w:p>
        </w:tc>
        <w:tc>
          <w:tcPr>
            <w:tcW w:w="9380" w:type="dxa"/>
            <w:vAlign w:val="bottom"/>
            <w:shd w:val="clear" w:color="auto" w:fill="CCFFCC"/>
          </w:tcPr>
          <w:p>
            <w:pPr>
              <w:ind w:left="600"/>
              <w:spacing w:after="0" w:line="191" w:lineRule="exact"/>
              <w:rPr>
                <w:sz w:val="20"/>
                <w:szCs w:val="20"/>
                <w:color w:val="auto"/>
              </w:rPr>
            </w:pPr>
            <w:r>
              <w:rPr>
                <w:rFonts w:ascii="Times New Roman" w:cs="Times New Roman" w:eastAsia="Times New Roman" w:hAnsi="Times New Roman"/>
                <w:sz w:val="17"/>
                <w:szCs w:val="17"/>
                <w:color w:val="auto"/>
              </w:rPr>
              <w:t>Condensed Consolidated Statements of Stockholder's Equity for the Three And Six Months Ended June 30, 2019 and 2018</w:t>
            </w:r>
          </w:p>
        </w:tc>
        <w:tc>
          <w:tcPr>
            <w:tcW w:w="1020" w:type="dxa"/>
            <w:vAlign w:val="bottom"/>
            <w:gridSpan w:val="4"/>
            <w:shd w:val="clear" w:color="auto" w:fill="CCFFCC"/>
          </w:tcPr>
          <w:p>
            <w:pPr>
              <w:jc w:val="right"/>
              <w:ind w:right="100"/>
              <w:spacing w:after="0" w:line="191" w:lineRule="exact"/>
              <w:rPr>
                <w:sz w:val="20"/>
                <w:szCs w:val="20"/>
                <w:color w:val="auto"/>
              </w:rPr>
            </w:pPr>
            <w:r>
              <w:rPr>
                <w:rFonts w:ascii="Times New Roman" w:cs="Times New Roman" w:eastAsia="Times New Roman" w:hAnsi="Times New Roman"/>
                <w:sz w:val="17"/>
                <w:szCs w:val="17"/>
                <w:color w:val="0000FF"/>
              </w:rPr>
              <w:t>7</w:t>
            </w: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spacing w:after="0"/>
              <w:rPr>
                <w:sz w:val="20"/>
                <w:szCs w:val="20"/>
                <w:color w:val="auto"/>
              </w:rPr>
            </w:pPr>
          </w:p>
        </w:tc>
        <w:tc>
          <w:tcPr>
            <w:tcW w:w="9380" w:type="dxa"/>
            <w:vAlign w:val="bottom"/>
            <w:shd w:val="clear" w:color="auto" w:fill="CCFFCC"/>
          </w:tcPr>
          <w:p>
            <w:pPr>
              <w:ind w:left="600"/>
              <w:spacing w:after="0" w:line="191" w:lineRule="exact"/>
              <w:rPr>
                <w:sz w:val="20"/>
                <w:szCs w:val="20"/>
                <w:color w:val="auto"/>
              </w:rPr>
            </w:pPr>
            <w:r>
              <w:rPr>
                <w:rFonts w:ascii="Times New Roman" w:cs="Times New Roman" w:eastAsia="Times New Roman" w:hAnsi="Times New Roman"/>
                <w:sz w:val="17"/>
                <w:szCs w:val="17"/>
                <w:color w:val="auto"/>
              </w:rPr>
              <w:t>Condensed Consolidated Statements of Cash Flows for the for the Three And Six Months Ended June 30, 2019 and 2018</w:t>
            </w:r>
          </w:p>
        </w:tc>
        <w:tc>
          <w:tcPr>
            <w:tcW w:w="1020" w:type="dxa"/>
            <w:vAlign w:val="bottom"/>
            <w:gridSpan w:val="4"/>
            <w:shd w:val="clear" w:color="auto" w:fill="CCFFCC"/>
          </w:tcPr>
          <w:p>
            <w:pPr>
              <w:jc w:val="right"/>
              <w:ind w:right="100"/>
              <w:spacing w:after="0" w:line="191" w:lineRule="exact"/>
              <w:rPr>
                <w:rFonts w:ascii="Times New Roman" w:cs="Times New Roman" w:eastAsia="Times New Roman" w:hAnsi="Times New Roman"/>
                <w:sz w:val="17"/>
                <w:szCs w:val="17"/>
                <w:color w:val="0000FF"/>
              </w:rPr>
            </w:pPr>
            <w:hyperlink w:anchor="page8">
              <w:r>
                <w:rPr>
                  <w:rFonts w:ascii="Times New Roman" w:cs="Times New Roman" w:eastAsia="Times New Roman" w:hAnsi="Times New Roman"/>
                  <w:sz w:val="17"/>
                  <w:szCs w:val="17"/>
                  <w:color w:val="0000FF"/>
                </w:rPr>
                <w:t>8</w:t>
              </w:r>
            </w:hyperlink>
          </w:p>
        </w:tc>
      </w:tr>
      <w:tr>
        <w:trPr>
          <w:trHeight w:val="305"/>
        </w:trPr>
        <w:tc>
          <w:tcPr>
            <w:tcW w:w="1020" w:type="dxa"/>
            <w:vAlign w:val="bottom"/>
            <w:tcBorders>
              <w:top w:val="single" w:sz="8" w:color="CCFFCC"/>
            </w:tcBorders>
          </w:tcPr>
          <w:p>
            <w:pPr>
              <w:spacing w:after="0"/>
              <w:rPr>
                <w:sz w:val="24"/>
                <w:szCs w:val="24"/>
                <w:color w:val="auto"/>
              </w:rPr>
            </w:pPr>
          </w:p>
        </w:tc>
        <w:tc>
          <w:tcPr>
            <w:tcW w:w="9380" w:type="dxa"/>
            <w:vAlign w:val="bottom"/>
            <w:tcBorders>
              <w:top w:val="single" w:sz="8" w:color="CCFFCC"/>
            </w:tcBorders>
          </w:tcPr>
          <w:p>
            <w:pPr>
              <w:spacing w:after="0"/>
              <w:rPr>
                <w:sz w:val="24"/>
                <w:szCs w:val="24"/>
                <w:color w:val="auto"/>
              </w:rPr>
            </w:pPr>
          </w:p>
        </w:tc>
        <w:tc>
          <w:tcPr>
            <w:tcW w:w="7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4"/>
        </w:trPr>
        <w:tc>
          <w:tcPr>
            <w:tcW w:w="1020" w:type="dxa"/>
            <w:vAlign w:val="bottom"/>
            <w:shd w:val="clear" w:color="auto" w:fill="CCFFCC"/>
          </w:tcPr>
          <w:p>
            <w:pPr>
              <w:spacing w:after="0"/>
              <w:rPr>
                <w:sz w:val="20"/>
                <w:szCs w:val="20"/>
                <w:color w:val="auto"/>
              </w:rPr>
            </w:pPr>
          </w:p>
        </w:tc>
        <w:tc>
          <w:tcPr>
            <w:tcW w:w="9380" w:type="dxa"/>
            <w:vAlign w:val="bottom"/>
            <w:shd w:val="clear" w:color="auto" w:fill="CCFFCC"/>
          </w:tcPr>
          <w:p>
            <w:pPr>
              <w:ind w:left="600"/>
              <w:spacing w:after="0" w:line="191" w:lineRule="exact"/>
              <w:rPr>
                <w:sz w:val="20"/>
                <w:szCs w:val="20"/>
                <w:color w:val="auto"/>
              </w:rPr>
            </w:pPr>
            <w:r>
              <w:rPr>
                <w:rFonts w:ascii="Times New Roman" w:cs="Times New Roman" w:eastAsia="Times New Roman" w:hAnsi="Times New Roman"/>
                <w:sz w:val="17"/>
                <w:szCs w:val="17"/>
                <w:color w:val="auto"/>
              </w:rPr>
              <w:t>Notes to Condensed Consolidated Financial Statements</w:t>
            </w:r>
          </w:p>
        </w:tc>
        <w:tc>
          <w:tcPr>
            <w:tcW w:w="1020" w:type="dxa"/>
            <w:vAlign w:val="bottom"/>
            <w:gridSpan w:val="4"/>
            <w:shd w:val="clear" w:color="auto" w:fill="CCFFCC"/>
          </w:tcPr>
          <w:p>
            <w:pPr>
              <w:jc w:val="right"/>
              <w:ind w:right="100"/>
              <w:spacing w:after="0" w:line="191" w:lineRule="exact"/>
              <w:rPr>
                <w:rFonts w:ascii="Times New Roman" w:cs="Times New Roman" w:eastAsia="Times New Roman" w:hAnsi="Times New Roman"/>
                <w:sz w:val="17"/>
                <w:szCs w:val="17"/>
                <w:color w:val="0000FF"/>
              </w:rPr>
            </w:pPr>
            <w:hyperlink w:anchor="page9">
              <w:r>
                <w:rPr>
                  <w:rFonts w:ascii="Times New Roman" w:cs="Times New Roman" w:eastAsia="Times New Roman" w:hAnsi="Times New Roman"/>
                  <w:sz w:val="17"/>
                  <w:szCs w:val="17"/>
                  <w:color w:val="0000FF"/>
                </w:rPr>
                <w:t>9</w:t>
              </w:r>
            </w:hyperlink>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Item 2.</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FF"/>
              </w:rPr>
            </w:pPr>
            <w:hyperlink w:anchor="page31">
              <w:r>
                <w:rPr>
                  <w:rFonts w:ascii="Times New Roman" w:cs="Times New Roman" w:eastAsia="Times New Roman" w:hAnsi="Times New Roman"/>
                  <w:sz w:val="17"/>
                  <w:szCs w:val="17"/>
                  <w:color w:val="0000FF"/>
                </w:rPr>
                <w:t>30</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Item 3.</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FF"/>
              </w:rPr>
            </w:pPr>
            <w:hyperlink w:anchor="page47">
              <w:r>
                <w:rPr>
                  <w:rFonts w:ascii="Times New Roman" w:cs="Times New Roman" w:eastAsia="Times New Roman" w:hAnsi="Times New Roman"/>
                  <w:sz w:val="17"/>
                  <w:szCs w:val="17"/>
                  <w:color w:val="0000FF"/>
                </w:rPr>
                <w:t>46</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Item 4.</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Controls and Procedures</w:t>
            </w: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FF"/>
              </w:rPr>
            </w:pPr>
            <w:hyperlink w:anchor="page49">
              <w:r>
                <w:rPr>
                  <w:rFonts w:ascii="Times New Roman" w:cs="Times New Roman" w:eastAsia="Times New Roman" w:hAnsi="Times New Roman"/>
                  <w:sz w:val="17"/>
                  <w:szCs w:val="17"/>
                  <w:color w:val="0000FF"/>
                </w:rPr>
                <w:t>48</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Part II.</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Other Information</w:t>
            </w: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FF"/>
              </w:rPr>
            </w:pPr>
            <w:hyperlink w:anchor="page49">
              <w:r>
                <w:rPr>
                  <w:rFonts w:ascii="Times New Roman" w:cs="Times New Roman" w:eastAsia="Times New Roman" w:hAnsi="Times New Roman"/>
                  <w:sz w:val="17"/>
                  <w:szCs w:val="17"/>
                  <w:color w:val="0000FF"/>
                </w:rPr>
                <w:t>48</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Item 1.</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Legal Proceedings</w:t>
            </w: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FF"/>
              </w:rPr>
            </w:pPr>
            <w:hyperlink w:anchor="page49">
              <w:r>
                <w:rPr>
                  <w:rFonts w:ascii="Times New Roman" w:cs="Times New Roman" w:eastAsia="Times New Roman" w:hAnsi="Times New Roman"/>
                  <w:sz w:val="17"/>
                  <w:szCs w:val="17"/>
                  <w:color w:val="0000FF"/>
                </w:rPr>
                <w:t>48</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Item 1A.</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Risk Factors</w:t>
            </w: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FF"/>
              </w:rPr>
            </w:pPr>
            <w:hyperlink w:anchor="page50">
              <w:r>
                <w:rPr>
                  <w:rFonts w:ascii="Times New Roman" w:cs="Times New Roman" w:eastAsia="Times New Roman" w:hAnsi="Times New Roman"/>
                  <w:sz w:val="17"/>
                  <w:szCs w:val="17"/>
                  <w:color w:val="0000FF"/>
                </w:rPr>
                <w:t>49</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Item 2.</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FF"/>
              </w:rPr>
            </w:pPr>
            <w:hyperlink w:anchor="page52">
              <w:r>
                <w:rPr>
                  <w:rFonts w:ascii="Times New Roman" w:cs="Times New Roman" w:eastAsia="Times New Roman" w:hAnsi="Times New Roman"/>
                  <w:sz w:val="17"/>
                  <w:szCs w:val="17"/>
                  <w:color w:val="0000FF"/>
                </w:rPr>
                <w:t>51</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Item 3.</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Defaults Upon Senior Securities</w:t>
            </w: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FF"/>
              </w:rPr>
            </w:pPr>
            <w:hyperlink w:anchor="page52">
              <w:r>
                <w:rPr>
                  <w:rFonts w:ascii="Times New Roman" w:cs="Times New Roman" w:eastAsia="Times New Roman" w:hAnsi="Times New Roman"/>
                  <w:sz w:val="17"/>
                  <w:szCs w:val="17"/>
                  <w:color w:val="0000FF"/>
                </w:rPr>
                <w:t>51</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Item 4.</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Mine Safety Disclosures</w:t>
            </w: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FF"/>
              </w:rPr>
            </w:pPr>
            <w:hyperlink w:anchor="page52">
              <w:r>
                <w:rPr>
                  <w:rFonts w:ascii="Times New Roman" w:cs="Times New Roman" w:eastAsia="Times New Roman" w:hAnsi="Times New Roman"/>
                  <w:sz w:val="17"/>
                  <w:szCs w:val="17"/>
                  <w:color w:val="0000FF"/>
                </w:rPr>
                <w:t>51</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Item 5.</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Other Information</w:t>
            </w: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FF"/>
              </w:rPr>
            </w:pPr>
            <w:hyperlink w:anchor="page52">
              <w:r>
                <w:rPr>
                  <w:rFonts w:ascii="Times New Roman" w:cs="Times New Roman" w:eastAsia="Times New Roman" w:hAnsi="Times New Roman"/>
                  <w:sz w:val="17"/>
                  <w:szCs w:val="17"/>
                  <w:color w:val="0000FF"/>
                </w:rPr>
                <w:t>51</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Item 6.</w:t>
            </w:r>
          </w:p>
        </w:tc>
        <w:tc>
          <w:tcPr>
            <w:tcW w:w="9380" w:type="dxa"/>
            <w:vAlign w:val="bottom"/>
            <w:shd w:val="clear" w:color="auto" w:fill="CCFFCC"/>
          </w:tcPr>
          <w:p>
            <w:pPr>
              <w:ind w:left="260"/>
              <w:spacing w:after="0" w:line="191" w:lineRule="exact"/>
              <w:rPr>
                <w:sz w:val="20"/>
                <w:szCs w:val="20"/>
                <w:color w:val="auto"/>
              </w:rPr>
            </w:pPr>
            <w:r>
              <w:rPr>
                <w:rFonts w:ascii="Times New Roman" w:cs="Times New Roman" w:eastAsia="Times New Roman" w:hAnsi="Times New Roman"/>
                <w:sz w:val="17"/>
                <w:szCs w:val="17"/>
                <w:color w:val="auto"/>
              </w:rPr>
              <w:t>Exhibits</w:t>
            </w: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FF"/>
              </w:rPr>
            </w:pPr>
            <w:hyperlink w:anchor="page53">
              <w:r>
                <w:rPr>
                  <w:rFonts w:ascii="Times New Roman" w:cs="Times New Roman" w:eastAsia="Times New Roman" w:hAnsi="Times New Roman"/>
                  <w:sz w:val="17"/>
                  <w:szCs w:val="17"/>
                  <w:color w:val="0000FF"/>
                </w:rPr>
                <w:t>52</w:t>
              </w:r>
            </w:hyperlink>
          </w:p>
        </w:tc>
        <w:tc>
          <w:tcPr>
            <w:tcW w:w="100" w:type="dxa"/>
            <w:vAlign w:val="bottom"/>
            <w:shd w:val="clear" w:color="auto" w:fill="CCFFCC"/>
          </w:tcPr>
          <w:p>
            <w:pPr>
              <w:spacing w:after="0"/>
              <w:rPr>
                <w:sz w:val="20"/>
                <w:szCs w:val="20"/>
                <w:color w:val="auto"/>
              </w:rPr>
            </w:pPr>
          </w:p>
        </w:tc>
      </w:tr>
      <w:tr>
        <w:trPr>
          <w:trHeight w:val="305"/>
        </w:trPr>
        <w:tc>
          <w:tcPr>
            <w:tcW w:w="1020" w:type="dxa"/>
            <w:vAlign w:val="bottom"/>
            <w:tcBorders>
              <w:top w:val="single" w:sz="8" w:color="CCFFCC"/>
            </w:tcBorders>
          </w:tcPr>
          <w:p>
            <w:pPr>
              <w:spacing w:after="0"/>
              <w:rPr>
                <w:sz w:val="24"/>
                <w:szCs w:val="24"/>
                <w:color w:val="auto"/>
              </w:rPr>
            </w:pPr>
          </w:p>
        </w:tc>
        <w:tc>
          <w:tcPr>
            <w:tcW w:w="9380" w:type="dxa"/>
            <w:vAlign w:val="bottom"/>
            <w:tcBorders>
              <w:top w:val="single" w:sz="8" w:color="CCFFCC"/>
            </w:tcBorders>
          </w:tcPr>
          <w:p>
            <w:pPr>
              <w:spacing w:after="0"/>
              <w:rPr>
                <w:sz w:val="24"/>
                <w:szCs w:val="24"/>
                <w:color w:val="auto"/>
              </w:rPr>
            </w:pPr>
          </w:p>
        </w:tc>
        <w:tc>
          <w:tcPr>
            <w:tcW w:w="76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Times New Roman" w:cs="Times New Roman" w:eastAsia="Times New Roman" w:hAnsi="Times New Roman"/>
                <w:sz w:val="17"/>
                <w:szCs w:val="17"/>
                <w:color w:val="auto"/>
              </w:rPr>
              <w:t>Signatures</w:t>
            </w:r>
          </w:p>
        </w:tc>
        <w:tc>
          <w:tcPr>
            <w:tcW w:w="9380" w:type="dxa"/>
            <w:vAlign w:val="bottom"/>
            <w:shd w:val="clear" w:color="auto" w:fill="CCFFCC"/>
          </w:tcPr>
          <w:p>
            <w:pPr>
              <w:spacing w:after="0"/>
              <w:rPr>
                <w:sz w:val="20"/>
                <w:szCs w:val="20"/>
                <w:color w:val="auto"/>
              </w:rPr>
            </w:pPr>
          </w:p>
        </w:tc>
        <w:tc>
          <w:tcPr>
            <w:tcW w:w="920" w:type="dxa"/>
            <w:vAlign w:val="bottom"/>
            <w:gridSpan w:val="3"/>
            <w:shd w:val="clear" w:color="auto" w:fill="CCFFCC"/>
          </w:tcPr>
          <w:p>
            <w:pPr>
              <w:jc w:val="right"/>
              <w:spacing w:after="0" w:line="191" w:lineRule="exact"/>
              <w:rPr>
                <w:rFonts w:ascii="Times New Roman" w:cs="Times New Roman" w:eastAsia="Times New Roman" w:hAnsi="Times New Roman"/>
                <w:sz w:val="17"/>
                <w:szCs w:val="17"/>
                <w:color w:val="0000EE"/>
              </w:rPr>
            </w:pPr>
            <w:hyperlink w:anchor="page54">
              <w:r>
                <w:rPr>
                  <w:rFonts w:ascii="Times New Roman" w:cs="Times New Roman" w:eastAsia="Times New Roman" w:hAnsi="Times New Roman"/>
                  <w:sz w:val="17"/>
                  <w:szCs w:val="17"/>
                  <w:color w:val="0000EE"/>
                </w:rPr>
                <w:t>53</w:t>
              </w:r>
            </w:hyperlink>
          </w:p>
        </w:tc>
        <w:tc>
          <w:tcPr>
            <w:tcW w:w="100" w:type="dxa"/>
            <w:vAlign w:val="bottom"/>
            <w:shd w:val="clear" w:color="auto" w:fill="CCFFCC"/>
          </w:tcPr>
          <w:p>
            <w:pPr>
              <w:spacing w:after="0"/>
              <w:rPr>
                <w:sz w:val="20"/>
                <w:szCs w:val="20"/>
                <w:color w:val="auto"/>
              </w:rPr>
            </w:pPr>
          </w:p>
        </w:tc>
      </w:tr>
      <w:tr>
        <w:trPr>
          <w:trHeight w:val="431"/>
        </w:trPr>
        <w:tc>
          <w:tcPr>
            <w:tcW w:w="1020" w:type="dxa"/>
            <w:vAlign w:val="bottom"/>
            <w:tcBorders>
              <w:top w:val="single" w:sz="8" w:color="CCFFCC"/>
            </w:tcBorders>
          </w:tcPr>
          <w:p>
            <w:pPr>
              <w:spacing w:after="0"/>
              <w:rPr>
                <w:sz w:val="24"/>
                <w:szCs w:val="24"/>
                <w:color w:val="auto"/>
              </w:rPr>
            </w:pPr>
          </w:p>
        </w:tc>
        <w:tc>
          <w:tcPr>
            <w:tcW w:w="9380" w:type="dxa"/>
            <w:vAlign w:val="bottom"/>
            <w:tcBorders>
              <w:top w:val="single" w:sz="8" w:color="CCFFCC"/>
            </w:tcBorders>
          </w:tcPr>
          <w:p>
            <w:pPr>
              <w:ind w:left="4660"/>
              <w:spacing w:after="0"/>
              <w:rPr>
                <w:sz w:val="20"/>
                <w:szCs w:val="20"/>
                <w:color w:val="auto"/>
              </w:rPr>
            </w:pPr>
            <w:r>
              <w:rPr>
                <w:rFonts w:ascii="Times New Roman" w:cs="Times New Roman" w:eastAsia="Times New Roman" w:hAnsi="Times New Roman"/>
                <w:sz w:val="17"/>
                <w:szCs w:val="17"/>
                <w:color w:val="auto"/>
              </w:rPr>
              <w:t>2</w:t>
            </w:r>
          </w:p>
        </w:tc>
        <w:tc>
          <w:tcPr>
            <w:tcW w:w="76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29"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STATEMENTS IN THIS QUARTERLY REPORT ON FORM 10-Q ABOUT LIVEPERSON, INC. (“LIVEPERSON”)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420"/>
          </w:cols>
          <w:pgMar w:left="240" w:top="551"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1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b w:val="1"/>
          <w:bCs w:val="1"/>
          <w:color w:val="auto"/>
        </w:rPr>
        <w:t>LIVEPERSON, INC.</w:t>
      </w:r>
    </w:p>
    <w:p>
      <w:pPr>
        <w:spacing w:after="0" w:line="11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6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84"/>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2"/>
              </w:rPr>
              <w:t>2018</w:t>
            </w:r>
          </w:p>
        </w:tc>
      </w:tr>
      <w:tr>
        <w:trPr>
          <w:trHeight w:val="247"/>
        </w:trPr>
        <w:tc>
          <w:tcPr>
            <w:tcW w:w="8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6"/>
              </w:rPr>
              <w:t>(Note 1)</w:t>
            </w:r>
          </w:p>
        </w:tc>
      </w:tr>
      <w:tr>
        <w:trPr>
          <w:trHeight w:val="240"/>
        </w:trPr>
        <w:tc>
          <w:tcPr>
            <w:tcW w:w="83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r>
      <w:tr>
        <w:trPr>
          <w:trHeight w:val="224"/>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tcBorders>
              <w:bottom w:val="single" w:sz="8" w:color="CCFFCC"/>
            </w:tcBorders>
            <w:shd w:val="clear" w:color="auto" w:fill="CCFFC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224,727</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66,449</w:t>
            </w:r>
          </w:p>
        </w:tc>
      </w:tr>
      <w:tr>
        <w:trPr>
          <w:trHeight w:val="204"/>
        </w:trPr>
        <w:tc>
          <w:tcPr>
            <w:tcW w:w="8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Accounts receivable, net of allowance for doubtful accounts of $2,914 and $2,276 as of June 30, 2019 and December 31, 2018,</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8"/>
        </w:trPr>
        <w:tc>
          <w:tcPr>
            <w:tcW w:w="8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respectively</w:t>
            </w:r>
          </w:p>
        </w:tc>
        <w:tc>
          <w:tcPr>
            <w:tcW w:w="280" w:type="dxa"/>
            <w:vAlign w:val="bottom"/>
          </w:tcPr>
          <w:p>
            <w:pPr>
              <w:spacing w:after="0"/>
              <w:rPr>
                <w:sz w:val="17"/>
                <w:szCs w:val="17"/>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51,467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46,023</w:t>
            </w: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8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35,317</w:t>
            </w: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22,613</w:t>
            </w:r>
          </w:p>
        </w:tc>
      </w:tr>
      <w:tr>
        <w:trPr>
          <w:trHeight w:val="204"/>
        </w:trPr>
        <w:tc>
          <w:tcPr>
            <w:tcW w:w="83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311,511</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135,085</w:t>
            </w: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Operating lease right of use asset</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15,956</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r>
      <w:tr>
        <w:trPr>
          <w:trHeight w:val="224"/>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80" w:type="dxa"/>
            <w:vAlign w:val="bottom"/>
          </w:tcPr>
          <w:p>
            <w:pPr>
              <w:spacing w:after="0"/>
              <w:rPr>
                <w:sz w:val="19"/>
                <w:szCs w:val="19"/>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58,294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43,735</w:t>
            </w: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Intangibles, net</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12,652</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13,832</w:t>
            </w:r>
          </w:p>
        </w:tc>
      </w:tr>
      <w:tr>
        <w:trPr>
          <w:trHeight w:val="224"/>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80" w:type="dxa"/>
            <w:vAlign w:val="bottom"/>
          </w:tcPr>
          <w:p>
            <w:pPr>
              <w:spacing w:after="0"/>
              <w:rPr>
                <w:sz w:val="19"/>
                <w:szCs w:val="19"/>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95,016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95,031</w:t>
            </w: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710</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713</w:t>
            </w:r>
          </w:p>
        </w:tc>
      </w:tr>
      <w:tr>
        <w:trPr>
          <w:trHeight w:val="224"/>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80" w:type="dxa"/>
            <w:vAlign w:val="bottom"/>
          </w:tcPr>
          <w:p>
            <w:pPr>
              <w:spacing w:after="0"/>
              <w:rPr>
                <w:sz w:val="19"/>
                <w:szCs w:val="19"/>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1,707</w:t>
            </w:r>
          </w:p>
        </w:tc>
      </w:tr>
      <w:tr>
        <w:trPr>
          <w:trHeight w:val="30"/>
        </w:trPr>
        <w:tc>
          <w:tcPr>
            <w:tcW w:w="83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7"/>
        </w:trPr>
        <w:tc>
          <w:tcPr>
            <w:tcW w:w="836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tcBorders>
              <w:bottom w:val="single" w:sz="8" w:color="auto"/>
            </w:tcBorders>
            <w:shd w:val="clear" w:color="auto" w:fill="CCFFC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496,019</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290,103</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90"/>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83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r>
      <w:tr>
        <w:trPr>
          <w:trHeight w:val="224"/>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Borders>
              <w:bottom w:val="single" w:sz="8" w:color="CCFFCC"/>
            </w:tcBorders>
            <w:shd w:val="clear" w:color="auto" w:fill="CCFFC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8,320</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8,174</w:t>
            </w:r>
          </w:p>
        </w:tc>
      </w:tr>
      <w:tr>
        <w:trPr>
          <w:trHeight w:val="224"/>
        </w:trPr>
        <w:tc>
          <w:tcPr>
            <w:tcW w:w="8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80" w:type="dxa"/>
            <w:vAlign w:val="bottom"/>
          </w:tcPr>
          <w:p>
            <w:pPr>
              <w:spacing w:after="0"/>
              <w:rPr>
                <w:sz w:val="19"/>
                <w:szCs w:val="19"/>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45,208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50,662</w:t>
            </w: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Deferred revenue</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69,359</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55,015</w:t>
            </w:r>
          </w:p>
        </w:tc>
      </w:tr>
      <w:tr>
        <w:trPr>
          <w:trHeight w:val="224"/>
        </w:trPr>
        <w:tc>
          <w:tcPr>
            <w:tcW w:w="8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Operating lease liability</w:t>
            </w:r>
          </w:p>
        </w:tc>
        <w:tc>
          <w:tcPr>
            <w:tcW w:w="280" w:type="dxa"/>
            <w:vAlign w:val="bottom"/>
          </w:tcPr>
          <w:p>
            <w:pPr>
              <w:spacing w:after="0"/>
              <w:rPr>
                <w:sz w:val="19"/>
                <w:szCs w:val="19"/>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6,442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83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836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tcBorders>
              <w:bottom w:val="single" w:sz="8" w:color="CCFFCC"/>
            </w:tcBorders>
            <w:shd w:val="clear" w:color="auto" w:fill="CCFFCC"/>
          </w:tcPr>
          <w:p>
            <w:pPr>
              <w:spacing w:after="0"/>
              <w:rPr>
                <w:sz w:val="18"/>
                <w:szCs w:val="18"/>
                <w:color w:val="auto"/>
              </w:rPr>
            </w:pP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129,329</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113,851</w:t>
            </w:r>
          </w:p>
        </w:tc>
      </w:tr>
      <w:tr>
        <w:trPr>
          <w:trHeight w:val="224"/>
        </w:trPr>
        <w:tc>
          <w:tcPr>
            <w:tcW w:w="8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Deferred revenue</w:t>
            </w:r>
          </w:p>
        </w:tc>
        <w:tc>
          <w:tcPr>
            <w:tcW w:w="280" w:type="dxa"/>
            <w:vAlign w:val="bottom"/>
          </w:tcPr>
          <w:p>
            <w:pPr>
              <w:spacing w:after="0"/>
              <w:rPr>
                <w:sz w:val="19"/>
                <w:szCs w:val="19"/>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222</w:t>
            </w: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Convertible senior notes, net</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173,817</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r>
      <w:tr>
        <w:trPr>
          <w:trHeight w:val="224"/>
        </w:trPr>
        <w:tc>
          <w:tcPr>
            <w:tcW w:w="8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liabilities</w:t>
            </w:r>
          </w:p>
        </w:tc>
        <w:tc>
          <w:tcPr>
            <w:tcW w:w="280" w:type="dxa"/>
            <w:vAlign w:val="bottom"/>
          </w:tcPr>
          <w:p>
            <w:pPr>
              <w:spacing w:after="0"/>
              <w:rPr>
                <w:sz w:val="19"/>
                <w:szCs w:val="19"/>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4,205</w:t>
            </w: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Operating lease liability, net of current portion</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13,443</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r>
      <w:tr>
        <w:trPr>
          <w:trHeight w:val="224"/>
        </w:trPr>
        <w:tc>
          <w:tcPr>
            <w:tcW w:w="8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Deferred tax liability</w:t>
            </w:r>
          </w:p>
        </w:tc>
        <w:tc>
          <w:tcPr>
            <w:tcW w:w="280" w:type="dxa"/>
            <w:vAlign w:val="bottom"/>
          </w:tcPr>
          <w:p>
            <w:pPr>
              <w:spacing w:after="0"/>
              <w:rPr>
                <w:sz w:val="19"/>
                <w:szCs w:val="19"/>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1,096</w:t>
            </w:r>
          </w:p>
        </w:tc>
      </w:tr>
      <w:tr>
        <w:trPr>
          <w:trHeight w:val="30"/>
        </w:trPr>
        <w:tc>
          <w:tcPr>
            <w:tcW w:w="83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Total liabilities</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318,703</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119,374</w:t>
            </w:r>
          </w:p>
        </w:tc>
      </w:tr>
      <w:tr>
        <w:trPr>
          <w:trHeight w:val="298"/>
        </w:trPr>
        <w:tc>
          <w:tcPr>
            <w:tcW w:w="8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34"/>
        </w:trPr>
        <w:tc>
          <w:tcPr>
            <w:tcW w:w="83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(see note 11 in the notes to the Condensed Consolidated Financial Statement)</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r>
      <w:tr>
        <w:trPr>
          <w:trHeight w:val="224"/>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Common stock</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65</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64</w:t>
            </w:r>
          </w:p>
        </w:tc>
      </w:tr>
      <w:tr>
        <w:trPr>
          <w:trHeight w:val="224"/>
        </w:trPr>
        <w:tc>
          <w:tcPr>
            <w:tcW w:w="8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80" w:type="dxa"/>
            <w:vAlign w:val="bottom"/>
          </w:tcPr>
          <w:p>
            <w:pPr>
              <w:spacing w:after="0"/>
              <w:rPr>
                <w:sz w:val="19"/>
                <w:szCs w:val="19"/>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412,253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362,590</w:t>
            </w: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Treasury stock</w:t>
            </w:r>
          </w:p>
        </w:tc>
        <w:tc>
          <w:tcPr>
            <w:tcW w:w="2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24"/>
        </w:trPr>
        <w:tc>
          <w:tcPr>
            <w:tcW w:w="8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Accumulated deficit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(230,368)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(187,491)</w:t>
            </w:r>
          </w:p>
        </w:tc>
      </w:tr>
      <w:tr>
        <w:trPr>
          <w:trHeight w:val="30"/>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8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(4,631)</w:t>
            </w: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(4,431)</w:t>
            </w:r>
          </w:p>
        </w:tc>
      </w:tr>
      <w:tr>
        <w:trPr>
          <w:trHeight w:val="204"/>
        </w:trPr>
        <w:tc>
          <w:tcPr>
            <w:tcW w:w="83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177,316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170,729</w:t>
            </w:r>
          </w:p>
        </w:tc>
      </w:tr>
      <w:tr>
        <w:trPr>
          <w:trHeight w:val="30"/>
        </w:trPr>
        <w:tc>
          <w:tcPr>
            <w:tcW w:w="83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7"/>
        </w:trPr>
        <w:tc>
          <w:tcPr>
            <w:tcW w:w="836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280" w:type="dxa"/>
            <w:vAlign w:val="bottom"/>
            <w:tcBorders>
              <w:bottom w:val="single" w:sz="8" w:color="auto"/>
            </w:tcBorders>
            <w:shd w:val="clear" w:color="auto" w:fill="CCFFC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496,019</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290,103</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 (unaudited).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420"/>
          </w:cols>
          <w:pgMar w:left="240" w:top="551"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80" w:type="dxa"/>
            <w:vAlign w:val="bottom"/>
          </w:tcPr>
          <w:p>
            <w:pPr>
              <w:spacing w:after="0"/>
              <w:rPr>
                <w:sz w:val="15"/>
                <w:szCs w:val="15"/>
                <w:color w:val="auto"/>
              </w:rPr>
            </w:pPr>
          </w:p>
        </w:tc>
        <w:tc>
          <w:tcPr>
            <w:tcW w:w="1980" w:type="dxa"/>
            <w:vAlign w:val="bottom"/>
            <w:gridSpan w:val="4"/>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r>
      <w:tr>
        <w:trPr>
          <w:trHeight w:val="260"/>
        </w:trPr>
        <w:tc>
          <w:tcPr>
            <w:tcW w:w="6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left="60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center"/>
              <w:ind w:left="58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00" w:type="dxa"/>
            <w:vAlign w:val="bottom"/>
            <w:tcBorders>
              <w:bottom w:val="single" w:sz="8" w:color="auto"/>
            </w:tcBorders>
          </w:tcPr>
          <w:p>
            <w:pPr>
              <w:spacing w:after="0"/>
              <w:rPr>
                <w:sz w:val="22"/>
                <w:szCs w:val="22"/>
                <w:color w:val="auto"/>
              </w:rPr>
            </w:pPr>
          </w:p>
        </w:tc>
      </w:tr>
      <w:tr>
        <w:trPr>
          <w:trHeight w:val="247"/>
        </w:trPr>
        <w:tc>
          <w:tcPr>
            <w:tcW w:w="6980" w:type="dxa"/>
            <w:vAlign w:val="bottom"/>
            <w:tcBorders>
              <w:bottom w:val="single" w:sz="8" w:color="CCFFC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FFC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FFC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FFC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0"/>
        </w:trPr>
        <w:tc>
          <w:tcPr>
            <w:tcW w:w="698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1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70,959</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61,660</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137,361</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119,901</w:t>
            </w:r>
          </w:p>
        </w:tc>
      </w:tr>
      <w:tr>
        <w:trPr>
          <w:trHeight w:val="247"/>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Costs and expenses </w:t>
            </w:r>
            <w:r>
              <w:rPr>
                <w:rFonts w:ascii="Times New Roman" w:cs="Times New Roman" w:eastAsia="Times New Roman" w:hAnsi="Times New Roman"/>
                <w:sz w:val="20"/>
                <w:szCs w:val="20"/>
                <w:color w:val="auto"/>
                <w:vertAlign w:val="superscript"/>
              </w:rPr>
              <w:t>(1) (2)</w:t>
            </w: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54"/>
        </w:trPr>
        <w:tc>
          <w:tcPr>
            <w:tcW w:w="6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 xml:space="preserve">Cost of revenue </w:t>
            </w:r>
            <w:r>
              <w:rPr>
                <w:rFonts w:ascii="Times New Roman" w:cs="Times New Roman" w:eastAsia="Times New Roman" w:hAnsi="Times New Roman"/>
                <w:sz w:val="20"/>
                <w:szCs w:val="20"/>
                <w:color w:val="auto"/>
                <w:vertAlign w:val="superscript"/>
              </w:rPr>
              <w:t>(3)</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18,049</w:t>
            </w:r>
          </w:p>
        </w:tc>
        <w:tc>
          <w:tcPr>
            <w:tcW w:w="1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16,036</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36,698</w:t>
            </w: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0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29,990</w:t>
            </w:r>
          </w:p>
        </w:tc>
      </w:tr>
      <w:tr>
        <w:trPr>
          <w:trHeight w:val="224"/>
        </w:trPr>
        <w:tc>
          <w:tcPr>
            <w:tcW w:w="69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Sales and marketing</w:t>
            </w:r>
          </w:p>
        </w:tc>
        <w:tc>
          <w:tcPr>
            <w:tcW w:w="16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39,343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25,392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72,379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49,523</w:t>
            </w: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698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13,763</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82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11,499</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27,930</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21,622</w:t>
            </w:r>
          </w:p>
        </w:tc>
      </w:tr>
      <w:tr>
        <w:trPr>
          <w:trHeight w:val="224"/>
        </w:trPr>
        <w:tc>
          <w:tcPr>
            <w:tcW w:w="69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Product development</w:t>
            </w:r>
          </w:p>
        </w:tc>
        <w:tc>
          <w:tcPr>
            <w:tcW w:w="16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20,182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38,355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27,471</w:t>
            </w: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698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Restructuring costs</w:t>
            </w:r>
          </w:p>
        </w:tc>
        <w:tc>
          <w:tcPr>
            <w:tcW w:w="1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205</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82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1,906</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484</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2,084</w:t>
            </w:r>
          </w:p>
        </w:tc>
      </w:tr>
      <w:tr>
        <w:trPr>
          <w:trHeight w:val="224"/>
        </w:trPr>
        <w:tc>
          <w:tcPr>
            <w:tcW w:w="69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Amortization of purchased intangibles</w:t>
            </w:r>
          </w:p>
        </w:tc>
        <w:tc>
          <w:tcPr>
            <w:tcW w:w="16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848</w:t>
            </w:r>
          </w:p>
        </w:tc>
      </w:tr>
      <w:tr>
        <w:trPr>
          <w:trHeight w:val="30"/>
        </w:trPr>
        <w:tc>
          <w:tcPr>
            <w:tcW w:w="698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4"/>
        </w:trPr>
        <w:tc>
          <w:tcPr>
            <w:tcW w:w="698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Total costs and expenses</w:t>
            </w:r>
          </w:p>
        </w:tc>
        <w:tc>
          <w:tcPr>
            <w:tcW w:w="1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91,980</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82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69,476</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176,745</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131,538</w:t>
            </w:r>
          </w:p>
        </w:tc>
      </w:tr>
      <w:tr>
        <w:trPr>
          <w:trHeight w:val="204"/>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(21,021)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(7,816)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(39,384)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(11,637)</w:t>
            </w: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4"/>
        </w:trPr>
        <w:tc>
          <w:tcPr>
            <w:tcW w:w="698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Other (expense) income , net</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(2,267)</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(2,201)</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80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160</w:t>
            </w:r>
          </w:p>
        </w:tc>
      </w:tr>
      <w:tr>
        <w:trPr>
          <w:trHeight w:val="204"/>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before provision for income taxes</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(23,288)</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(7,785)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(41,585)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(11,477)</w:t>
            </w: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4"/>
        </w:trPr>
        <w:tc>
          <w:tcPr>
            <w:tcW w:w="698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699</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536</w:t>
            </w:r>
          </w:p>
        </w:tc>
        <w:tc>
          <w:tcPr>
            <w:tcW w:w="10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1,292</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80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47</w:t>
            </w:r>
          </w:p>
        </w:tc>
      </w:tr>
      <w:tr>
        <w:trPr>
          <w:trHeight w:val="267"/>
        </w:trPr>
        <w:tc>
          <w:tcPr>
            <w:tcW w:w="698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(23,987)</w:t>
            </w:r>
          </w:p>
        </w:tc>
        <w:tc>
          <w:tcPr>
            <w:tcW w:w="120" w:type="dxa"/>
            <w:vAlign w:val="bottom"/>
            <w:tcBorders>
              <w:bottom w:val="single" w:sz="8" w:color="CCFFCC"/>
            </w:tcBorders>
          </w:tcPr>
          <w:p>
            <w:pPr>
              <w:spacing w:after="0"/>
              <w:rPr>
                <w:sz w:val="23"/>
                <w:szCs w:val="23"/>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(8,321)</w:t>
            </w:r>
          </w:p>
        </w:tc>
        <w:tc>
          <w:tcPr>
            <w:tcW w:w="100" w:type="dxa"/>
            <w:vAlign w:val="bottom"/>
            <w:tcBorders>
              <w:bottom w:val="single" w:sz="8" w:color="CCFFCC"/>
            </w:tcBorders>
          </w:tcPr>
          <w:p>
            <w:pPr>
              <w:spacing w:after="0"/>
              <w:rPr>
                <w:sz w:val="23"/>
                <w:szCs w:val="23"/>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(42,877)</w:t>
            </w:r>
          </w:p>
        </w:tc>
        <w:tc>
          <w:tcPr>
            <w:tcW w:w="100" w:type="dxa"/>
            <w:vAlign w:val="bottom"/>
            <w:tcBorders>
              <w:bottom w:val="single" w:sz="8" w:color="CCFFCC"/>
            </w:tcBorders>
          </w:tcPr>
          <w:p>
            <w:pPr>
              <w:spacing w:after="0"/>
              <w:rPr>
                <w:sz w:val="23"/>
                <w:szCs w:val="23"/>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(11,524)</w:t>
            </w:r>
          </w:p>
        </w:tc>
      </w:tr>
      <w:tr>
        <w:trPr>
          <w:trHeight w:val="265"/>
        </w:trPr>
        <w:tc>
          <w:tcPr>
            <w:tcW w:w="69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8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r>
      <w:tr>
        <w:trPr>
          <w:trHeight w:val="224"/>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per share of common stock:</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698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Basic</w:t>
            </w:r>
          </w:p>
        </w:tc>
        <w:tc>
          <w:tcPr>
            <w:tcW w:w="160" w:type="dxa"/>
            <w:vAlign w:val="bottom"/>
            <w:tcBorders>
              <w:bottom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(0.38)</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FFCC"/>
          </w:tcPr>
          <w:p>
            <w:pPr>
              <w:jc w:val="right"/>
              <w:ind w:right="7"/>
              <w:spacing w:after="0"/>
              <w:rPr>
                <w:sz w:val="20"/>
                <w:szCs w:val="20"/>
                <w:color w:val="auto"/>
              </w:rPr>
            </w:pPr>
            <w:r>
              <w:rPr>
                <w:rFonts w:ascii="Times New Roman" w:cs="Times New Roman" w:eastAsia="Times New Roman" w:hAnsi="Times New Roman"/>
                <w:sz w:val="15"/>
                <w:szCs w:val="15"/>
                <w:color w:val="auto"/>
              </w:rPr>
              <w:t>(0.14)</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(0.69)</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(0.20)</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0"/>
        </w:trPr>
        <w:tc>
          <w:tcPr>
            <w:tcW w:w="6980" w:type="dxa"/>
            <w:vAlign w:val="bottom"/>
            <w:tcBorders>
              <w:bottom w:val="single" w:sz="8" w:color="CCFFCC"/>
            </w:tcBorders>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(0.38)</w:t>
            </w:r>
          </w:p>
        </w:tc>
        <w:tc>
          <w:tcPr>
            <w:tcW w:w="12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(0.14)</w:t>
            </w:r>
          </w:p>
        </w:tc>
        <w:tc>
          <w:tcPr>
            <w:tcW w:w="100" w:type="dxa"/>
            <w:vAlign w:val="bottom"/>
            <w:tcBorders>
              <w:bottom w:val="single" w:sz="8" w:color="CCFFCC"/>
            </w:tcBorders>
          </w:tcPr>
          <w:p>
            <w:pPr>
              <w:spacing w:after="0"/>
              <w:rPr>
                <w:sz w:val="22"/>
                <w:szCs w:val="22"/>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(0.69)</w:t>
            </w:r>
          </w:p>
        </w:tc>
        <w:tc>
          <w:tcPr>
            <w:tcW w:w="1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(0.20)</w:t>
            </w:r>
          </w:p>
        </w:tc>
      </w:tr>
      <w:tr>
        <w:trPr>
          <w:trHeight w:val="265"/>
        </w:trPr>
        <w:tc>
          <w:tcPr>
            <w:tcW w:w="69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8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r>
      <w:tr>
        <w:trPr>
          <w:trHeight w:val="224"/>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Weighted-average shares used to compute net loss per share: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698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Basic</w:t>
            </w:r>
          </w:p>
        </w:tc>
        <w:tc>
          <w:tcPr>
            <w:tcW w:w="160" w:type="dxa"/>
            <w:vAlign w:val="bottom"/>
            <w:tcBorders>
              <w:bottom w:val="single" w:sz="8" w:color="auto"/>
            </w:tcBorders>
            <w:shd w:val="clear" w:color="auto" w:fill="CCFFCC"/>
          </w:tcPr>
          <w:p>
            <w:pPr>
              <w:spacing w:after="0"/>
              <w:rPr>
                <w:sz w:val="20"/>
                <w:szCs w:val="20"/>
                <w:color w:val="auto"/>
              </w:rPr>
            </w:pPr>
          </w:p>
        </w:tc>
        <w:tc>
          <w:tcPr>
            <w:tcW w:w="860" w:type="dxa"/>
            <w:vAlign w:val="bottom"/>
            <w:tcBorders>
              <w:bottom w:val="single" w:sz="8" w:color="auto"/>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62,350,787</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58,648,195</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spacing w:after="0"/>
              <w:rPr>
                <w:sz w:val="20"/>
                <w:szCs w:val="20"/>
                <w:color w:val="auto"/>
              </w:rPr>
            </w:pPr>
          </w:p>
        </w:tc>
        <w:tc>
          <w:tcPr>
            <w:tcW w:w="860" w:type="dxa"/>
            <w:vAlign w:val="bottom"/>
            <w:tcBorders>
              <w:bottom w:val="single" w:sz="8" w:color="auto"/>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61,889,072</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57,982,648</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0"/>
        </w:trPr>
        <w:tc>
          <w:tcPr>
            <w:tcW w:w="6980" w:type="dxa"/>
            <w:vAlign w:val="bottom"/>
            <w:tcBorders>
              <w:bottom w:val="single" w:sz="8" w:color="CCFFCC"/>
            </w:tcBorders>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62,350,787</w:t>
            </w:r>
          </w:p>
        </w:tc>
        <w:tc>
          <w:tcPr>
            <w:tcW w:w="12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58,648,195</w:t>
            </w:r>
          </w:p>
        </w:tc>
        <w:tc>
          <w:tcPr>
            <w:tcW w:w="100" w:type="dxa"/>
            <w:vAlign w:val="bottom"/>
            <w:tcBorders>
              <w:bottom w:val="single" w:sz="8" w:color="CCFFC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61,889,072</w:t>
            </w:r>
          </w:p>
        </w:tc>
        <w:tc>
          <w:tcPr>
            <w:tcW w:w="1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57,982,648</w:t>
            </w:r>
          </w:p>
        </w:tc>
      </w:tr>
      <w:tr>
        <w:trPr>
          <w:trHeight w:val="265"/>
        </w:trPr>
        <w:tc>
          <w:tcPr>
            <w:tcW w:w="69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8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r>
      <w:tr>
        <w:trPr>
          <w:trHeight w:val="280"/>
        </w:trPr>
        <w:tc>
          <w:tcPr>
            <w:tcW w:w="6980" w:type="dxa"/>
            <w:vAlign w:val="bottom"/>
            <w:tcBorders>
              <w:bottom w:val="single" w:sz="8" w:color="auto"/>
            </w:tcBorders>
          </w:tcPr>
          <w:p>
            <w:pPr>
              <w:spacing w:after="0"/>
              <w:rPr>
                <w:sz w:val="24"/>
                <w:szCs w:val="24"/>
                <w:color w:val="auto"/>
              </w:rPr>
            </w:pPr>
          </w:p>
        </w:tc>
        <w:tc>
          <w:tcPr>
            <w:tcW w:w="160" w:type="dxa"/>
            <w:vAlign w:val="bottom"/>
            <w:tcBorders>
              <w:bottom w:val="single" w:sz="8" w:color="CCFFCC"/>
            </w:tcBorders>
          </w:tcPr>
          <w:p>
            <w:pPr>
              <w:spacing w:after="0"/>
              <w:rPr>
                <w:sz w:val="24"/>
                <w:szCs w:val="24"/>
                <w:color w:val="auto"/>
              </w:rPr>
            </w:pPr>
          </w:p>
        </w:tc>
        <w:tc>
          <w:tcPr>
            <w:tcW w:w="86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CCFFCC"/>
            </w:tcBorders>
          </w:tcPr>
          <w:p>
            <w:pPr>
              <w:spacing w:after="0"/>
              <w:rPr>
                <w:sz w:val="24"/>
                <w:szCs w:val="24"/>
                <w:color w:val="auto"/>
              </w:rPr>
            </w:pPr>
          </w:p>
        </w:tc>
        <w:tc>
          <w:tcPr>
            <w:tcW w:w="82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80" w:type="dxa"/>
            <w:vAlign w:val="bottom"/>
            <w:tcBorders>
              <w:bottom w:val="single" w:sz="8" w:color="CCFFCC"/>
            </w:tcBorders>
          </w:tcPr>
          <w:p>
            <w:pPr>
              <w:spacing w:after="0"/>
              <w:rPr>
                <w:sz w:val="24"/>
                <w:szCs w:val="24"/>
                <w:color w:val="auto"/>
              </w:rPr>
            </w:pPr>
          </w:p>
        </w:tc>
        <w:tc>
          <w:tcPr>
            <w:tcW w:w="86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CCFFCC"/>
            </w:tcBorders>
          </w:tcPr>
          <w:p>
            <w:pPr>
              <w:spacing w:after="0"/>
              <w:rPr>
                <w:sz w:val="24"/>
                <w:szCs w:val="24"/>
                <w:color w:val="auto"/>
              </w:rPr>
            </w:pPr>
          </w:p>
        </w:tc>
        <w:tc>
          <w:tcPr>
            <w:tcW w:w="800" w:type="dxa"/>
            <w:vAlign w:val="bottom"/>
            <w:tcBorders>
              <w:bottom w:val="single" w:sz="8" w:color="CCFFCC"/>
            </w:tcBorders>
          </w:tcPr>
          <w:p>
            <w:pPr>
              <w:spacing w:after="0"/>
              <w:rPr>
                <w:sz w:val="24"/>
                <w:szCs w:val="24"/>
                <w:color w:val="auto"/>
              </w:rPr>
            </w:pPr>
          </w:p>
        </w:tc>
      </w:tr>
      <w:tr>
        <w:trPr>
          <w:trHeight w:val="234"/>
        </w:trPr>
        <w:tc>
          <w:tcPr>
            <w:tcW w:w="6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8"/>
                <w:szCs w:val="8"/>
                <w:color w:val="auto"/>
              </w:rPr>
              <w:t xml:space="preserve">(1) </w:t>
            </w:r>
            <w:r>
              <w:rPr>
                <w:rFonts w:ascii="Times New Roman" w:cs="Times New Roman" w:eastAsia="Times New Roman" w:hAnsi="Times New Roman"/>
                <w:sz w:val="13"/>
                <w:szCs w:val="13"/>
                <w:color w:val="auto"/>
              </w:rPr>
              <w:t>Amounts include stock-based compensation expense, as follows:</w:t>
            </w:r>
          </w:p>
        </w:tc>
        <w:tc>
          <w:tcPr>
            <w:tcW w:w="1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r>
      <w:tr>
        <w:trPr>
          <w:trHeight w:val="249"/>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revenue</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384</w:t>
            </w:r>
          </w:p>
        </w:tc>
      </w:tr>
      <w:tr>
        <w:trPr>
          <w:trHeight w:val="260"/>
        </w:trPr>
        <w:tc>
          <w:tcPr>
            <w:tcW w:w="698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4"/>
                <w:szCs w:val="14"/>
                <w:color w:val="auto"/>
              </w:rPr>
              <w:t>2,095</w:t>
            </w:r>
          </w:p>
        </w:tc>
        <w:tc>
          <w:tcPr>
            <w:tcW w:w="1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4"/>
                <w:szCs w:val="14"/>
                <w:color w:val="auto"/>
              </w:rPr>
              <w:t>3,694</w:t>
            </w: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0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4"/>
                <w:szCs w:val="14"/>
                <w:color w:val="auto"/>
              </w:rPr>
              <w:t>2,259</w:t>
            </w:r>
          </w:p>
        </w:tc>
      </w:tr>
      <w:tr>
        <w:trPr>
          <w:trHeight w:val="249"/>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Pr>
          <w:p>
            <w:pPr>
              <w:spacing w:after="0"/>
              <w:rPr>
                <w:sz w:val="21"/>
                <w:szCs w:val="21"/>
                <w:color w:val="auto"/>
              </w:rPr>
            </w:pPr>
          </w:p>
        </w:tc>
        <w:tc>
          <w:tcPr>
            <w:tcW w:w="86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2,825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5,391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2,022</w:t>
            </w:r>
          </w:p>
        </w:tc>
      </w:tr>
      <w:tr>
        <w:trPr>
          <w:trHeight w:val="260"/>
        </w:trPr>
        <w:tc>
          <w:tcPr>
            <w:tcW w:w="698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4"/>
                <w:szCs w:val="14"/>
                <w:color w:val="auto"/>
              </w:rPr>
              <w:t>Product development</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4"/>
                <w:szCs w:val="14"/>
                <w:color w:val="auto"/>
              </w:rPr>
              <w:t>3,857</w:t>
            </w:r>
          </w:p>
        </w:tc>
        <w:tc>
          <w:tcPr>
            <w:tcW w:w="1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4"/>
                <w:szCs w:val="14"/>
                <w:color w:val="auto"/>
              </w:rPr>
              <w:t>6,238</w:t>
            </w: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0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4"/>
                <w:szCs w:val="14"/>
                <w:color w:val="auto"/>
              </w:rPr>
              <w:t>1,599</w:t>
            </w:r>
          </w:p>
        </w:tc>
      </w:tr>
      <w:tr>
        <w:trPr>
          <w:trHeight w:val="254"/>
        </w:trPr>
        <w:tc>
          <w:tcPr>
            <w:tcW w:w="6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4"/>
        </w:trPr>
        <w:tc>
          <w:tcPr>
            <w:tcW w:w="6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8"/>
                <w:szCs w:val="8"/>
                <w:color w:val="auto"/>
              </w:rPr>
              <w:t xml:space="preserve">(2) </w:t>
            </w:r>
            <w:r>
              <w:rPr>
                <w:rFonts w:ascii="Times New Roman" w:cs="Times New Roman" w:eastAsia="Times New Roman" w:hAnsi="Times New Roman"/>
                <w:sz w:val="13"/>
                <w:szCs w:val="13"/>
                <w:color w:val="auto"/>
              </w:rPr>
              <w:t>Amounts include depreciation expense, as follows:</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00" w:type="dxa"/>
            <w:vAlign w:val="bottom"/>
            <w:shd w:val="clear" w:color="auto" w:fill="CCFFCC"/>
          </w:tcPr>
          <w:p>
            <w:pPr>
              <w:spacing w:after="0"/>
              <w:rPr>
                <w:sz w:val="22"/>
                <w:szCs w:val="22"/>
                <w:color w:val="auto"/>
              </w:rPr>
            </w:pPr>
          </w:p>
        </w:tc>
      </w:tr>
      <w:tr>
        <w:trPr>
          <w:trHeight w:val="249"/>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revenue</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1,954</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3,981</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3,847</w:t>
            </w:r>
          </w:p>
        </w:tc>
      </w:tr>
      <w:tr>
        <w:trPr>
          <w:trHeight w:val="260"/>
        </w:trPr>
        <w:tc>
          <w:tcPr>
            <w:tcW w:w="698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0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4"/>
                <w:szCs w:val="14"/>
                <w:color w:val="auto"/>
              </w:rPr>
              <w:t>727</w:t>
            </w:r>
          </w:p>
        </w:tc>
      </w:tr>
      <w:tr>
        <w:trPr>
          <w:trHeight w:val="249"/>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Pr>
          <w:p>
            <w:pPr>
              <w:spacing w:after="0"/>
              <w:rPr>
                <w:sz w:val="21"/>
                <w:szCs w:val="21"/>
                <w:color w:val="auto"/>
              </w:rPr>
            </w:pPr>
          </w:p>
        </w:tc>
        <w:tc>
          <w:tcPr>
            <w:tcW w:w="86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520</w:t>
            </w:r>
          </w:p>
        </w:tc>
      </w:tr>
      <w:tr>
        <w:trPr>
          <w:trHeight w:val="260"/>
        </w:trPr>
        <w:tc>
          <w:tcPr>
            <w:tcW w:w="698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4"/>
                <w:szCs w:val="14"/>
                <w:color w:val="auto"/>
              </w:rPr>
              <w:t>Product development</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4"/>
                <w:szCs w:val="14"/>
                <w:color w:val="auto"/>
              </w:rPr>
              <w:t>1,154</w:t>
            </w:r>
          </w:p>
        </w:tc>
        <w:tc>
          <w:tcPr>
            <w:tcW w:w="1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0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4"/>
                <w:szCs w:val="14"/>
                <w:color w:val="auto"/>
              </w:rPr>
              <w:t>1,692</w:t>
            </w:r>
          </w:p>
        </w:tc>
      </w:tr>
      <w:tr>
        <w:trPr>
          <w:trHeight w:val="249"/>
        </w:trPr>
        <w:tc>
          <w:tcPr>
            <w:tcW w:w="69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 xml:space="preserve">(3) </w:t>
            </w:r>
            <w:r>
              <w:rPr>
                <w:rFonts w:ascii="Times New Roman" w:cs="Times New Roman" w:eastAsia="Times New Roman" w:hAnsi="Times New Roman"/>
                <w:sz w:val="13"/>
                <w:szCs w:val="13"/>
                <w:color w:val="auto"/>
              </w:rPr>
              <w:t>Amounts include amortization of purchased intangibles, as follows: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0"/>
        </w:trPr>
        <w:tc>
          <w:tcPr>
            <w:tcW w:w="698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4"/>
                <w:szCs w:val="14"/>
                <w:color w:val="auto"/>
              </w:rPr>
              <w:t>Cost of revenue</w:t>
            </w:r>
          </w:p>
        </w:tc>
        <w:tc>
          <w:tcPr>
            <w:tcW w:w="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FFCC"/>
          </w:tcPr>
          <w:p>
            <w:pPr>
              <w:spacing w:after="0"/>
              <w:rPr>
                <w:sz w:val="22"/>
                <w:szCs w:val="22"/>
                <w:color w:val="auto"/>
              </w:rPr>
            </w:pPr>
          </w:p>
        </w:tc>
        <w:tc>
          <w:tcPr>
            <w:tcW w:w="2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FFCC"/>
          </w:tcPr>
          <w:p>
            <w:pPr>
              <w:jc w:val="right"/>
              <w:ind w:right="27"/>
              <w:spacing w:after="0"/>
              <w:rPr>
                <w:sz w:val="20"/>
                <w:szCs w:val="20"/>
                <w:color w:val="auto"/>
              </w:rPr>
            </w:pPr>
            <w:r>
              <w:rPr>
                <w:rFonts w:ascii="Times New Roman" w:cs="Times New Roman" w:eastAsia="Times New Roman" w:hAnsi="Times New Roman"/>
                <w:sz w:val="14"/>
                <w:szCs w:val="14"/>
                <w:color w:val="auto"/>
              </w:rPr>
              <w:t>574</w:t>
            </w:r>
          </w:p>
        </w:tc>
      </w:tr>
    </w:tbl>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420"/>
          </w:cols>
          <w:pgMar w:left="240" w:top="729" w:right="239" w:bottom="1440" w:gutter="0" w:footer="0" w:header="0"/>
        </w:sectPr>
      </w:pPr>
    </w:p>
    <w:bookmarkStart w:id="5" w:name="page6"/>
    <w:bookmarkEnd w:id="5"/>
    <w:p>
      <w:pPr>
        <w:ind w:left="4940"/>
        <w:spacing w:after="0"/>
        <w:rPr>
          <w:sz w:val="20"/>
          <w:szCs w:val="20"/>
          <w:color w:val="auto"/>
        </w:rPr>
      </w:pPr>
      <w:r>
        <w:rPr>
          <w:rFonts w:ascii="Times New Roman" w:cs="Times New Roman" w:eastAsia="Times New Roman" w:hAnsi="Times New Roman"/>
          <w:sz w:val="17"/>
          <w:szCs w:val="17"/>
          <w:b w:val="1"/>
          <w:bCs w:val="1"/>
          <w:color w:val="auto"/>
        </w:rPr>
        <w:t>LIVEPERSON, INC.</w:t>
      </w:r>
    </w:p>
    <w:p>
      <w:pPr>
        <w:spacing w:after="0" w:line="11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720" w:type="dxa"/>
            <w:vAlign w:val="bottom"/>
            <w:gridSpan w:val="4"/>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0"/>
        </w:trPr>
        <w:tc>
          <w:tcPr>
            <w:tcW w:w="7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22"/>
                <w:szCs w:val="22"/>
                <w:color w:val="auto"/>
              </w:rPr>
            </w:pPr>
          </w:p>
        </w:tc>
      </w:tr>
      <w:tr>
        <w:trPr>
          <w:trHeight w:val="247"/>
        </w:trPr>
        <w:tc>
          <w:tcPr>
            <w:tcW w:w="7200" w:type="dxa"/>
            <w:vAlign w:val="bottom"/>
            <w:tcBorders>
              <w:bottom w:val="single" w:sz="8" w:color="CCFFC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FFC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FFC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0"/>
        </w:trPr>
        <w:tc>
          <w:tcPr>
            <w:tcW w:w="72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240" w:type="dxa"/>
            <w:vAlign w:val="bottom"/>
            <w:tcBorders>
              <w:bottom w:val="single" w:sz="8" w:color="CCFFCC"/>
            </w:tcBorders>
            <w:shd w:val="clear" w:color="auto" w:fill="CCFFC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(23,987)</w:t>
            </w:r>
          </w:p>
        </w:tc>
        <w:tc>
          <w:tcPr>
            <w:tcW w:w="1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(8,321)</w:t>
            </w:r>
          </w:p>
        </w:tc>
        <w:tc>
          <w:tcPr>
            <w:tcW w:w="24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(42,877)</w:t>
            </w:r>
          </w:p>
        </w:tc>
        <w:tc>
          <w:tcPr>
            <w:tcW w:w="12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(11,524)</w:t>
            </w: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927</w:t>
            </w:r>
          </w:p>
        </w:tc>
      </w:tr>
      <w:tr>
        <w:trPr>
          <w:trHeight w:val="30"/>
        </w:trPr>
        <w:tc>
          <w:tcPr>
            <w:tcW w:w="72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7"/>
        </w:trPr>
        <w:tc>
          <w:tcPr>
            <w:tcW w:w="72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Comprehensive loss</w:t>
            </w:r>
          </w:p>
        </w:tc>
        <w:tc>
          <w:tcPr>
            <w:tcW w:w="240" w:type="dxa"/>
            <w:vAlign w:val="bottom"/>
            <w:tcBorders>
              <w:bottom w:val="single" w:sz="8" w:color="auto"/>
            </w:tcBorders>
            <w:shd w:val="clear" w:color="auto" w:fill="CCFFC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(23,994)</w:t>
            </w:r>
          </w:p>
        </w:tc>
        <w:tc>
          <w:tcPr>
            <w:tcW w:w="1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(6,835)</w:t>
            </w:r>
          </w:p>
        </w:tc>
        <w:tc>
          <w:tcPr>
            <w:tcW w:w="24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(42,677)</w:t>
            </w:r>
          </w:p>
        </w:tc>
        <w:tc>
          <w:tcPr>
            <w:tcW w:w="12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(10,597)</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420"/>
          </w:cols>
          <w:pgMar w:left="240" w:top="729" w:right="239" w:bottom="1440" w:gutter="0" w:footer="0" w:header="0"/>
        </w:sectPr>
      </w:pPr>
    </w:p>
    <w:bookmarkStart w:id="6" w:name="page7"/>
    <w:bookmarkEnd w:id="6"/>
    <w:p>
      <w:pPr>
        <w:ind w:left="4940"/>
        <w:spacing w:after="0"/>
        <w:rPr>
          <w:sz w:val="20"/>
          <w:szCs w:val="20"/>
          <w:color w:val="auto"/>
        </w:rPr>
      </w:pPr>
      <w:r>
        <w:rPr>
          <w:rFonts w:ascii="Times New Roman" w:cs="Times New Roman" w:eastAsia="Times New Roman" w:hAnsi="Times New Roman"/>
          <w:sz w:val="17"/>
          <w:szCs w:val="17"/>
          <w:b w:val="1"/>
          <w:bCs w:val="1"/>
          <w:color w:val="auto"/>
        </w:rPr>
        <w:t>LIVEPERSON, INC.</w:t>
      </w:r>
    </w:p>
    <w:p>
      <w:pPr>
        <w:spacing w:after="0" w:line="11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7313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3930"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1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00" w:type="dxa"/>
            <w:vAlign w:val="bottom"/>
          </w:tcPr>
          <w:p>
            <w:pPr>
              <w:spacing w:after="0"/>
              <w:rPr>
                <w:sz w:val="11"/>
                <w:szCs w:val="11"/>
                <w:color w:val="auto"/>
              </w:rPr>
            </w:pPr>
          </w:p>
        </w:tc>
        <w:tc>
          <w:tcPr>
            <w:tcW w:w="1120" w:type="dxa"/>
            <w:vAlign w:val="bottom"/>
            <w:gridSpan w:val="5"/>
            <w:vMerge w:val="continue"/>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940" w:type="dxa"/>
            <w:vAlign w:val="bottom"/>
            <w:gridSpan w:val="3"/>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820" w:type="dxa"/>
            <w:vAlign w:val="bottom"/>
            <w:gridSpan w:val="3"/>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920" w:type="dxa"/>
            <w:vAlign w:val="bottom"/>
            <w:gridSpan w:val="3"/>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8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4"/>
        </w:trPr>
        <w:tc>
          <w:tcPr>
            <w:tcW w:w="1000" w:type="dxa"/>
            <w:vAlign w:val="bottom"/>
            <w:tcBorders>
              <w:top w:val="single" w:sz="8" w:color="CCFFCC"/>
            </w:tcBorders>
            <w:shd w:val="clear" w:color="auto" w:fill="CCFFCC"/>
          </w:tcPr>
          <w:p>
            <w:pPr>
              <w:ind w:left="20"/>
              <w:spacing w:after="0" w:line="124" w:lineRule="exact"/>
              <w:rPr>
                <w:sz w:val="20"/>
                <w:szCs w:val="20"/>
                <w:color w:val="auto"/>
              </w:rPr>
            </w:pPr>
            <w:r>
              <w:rPr>
                <w:rFonts w:ascii="Times New Roman" w:cs="Times New Roman" w:eastAsia="Times New Roman" w:hAnsi="Times New Roman"/>
                <w:sz w:val="12"/>
                <w:szCs w:val="12"/>
                <w:color w:val="auto"/>
              </w:rPr>
              <w:t>Balance at March</w:t>
            </w:r>
          </w:p>
        </w:tc>
        <w:tc>
          <w:tcPr>
            <w:tcW w:w="4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80" w:type="dxa"/>
            <w:vAlign w:val="bottom"/>
            <w:tcBorders>
              <w:top w:val="single" w:sz="8" w:color="auto"/>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80" w:type="dxa"/>
            <w:vAlign w:val="bottom"/>
            <w:tcBorders>
              <w:top w:val="single" w:sz="8" w:color="auto"/>
            </w:tcBorders>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31</w:t>
            </w:r>
          </w:p>
        </w:tc>
        <w:tc>
          <w:tcPr>
            <w:tcW w:w="46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64,748</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shd w:val="clear" w:color="auto" w:fill="CCFFCC"/>
          </w:tcPr>
          <w:p>
            <w:pPr>
              <w:spacing w:after="0"/>
              <w:rPr>
                <w:sz w:val="14"/>
                <w:szCs w:val="14"/>
                <w:color w:val="auto"/>
              </w:rPr>
            </w:pPr>
          </w:p>
        </w:tc>
        <w:tc>
          <w:tcPr>
            <w:tcW w:w="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2"/>
                <w:szCs w:val="12"/>
                <w:color w:val="auto"/>
              </w:rPr>
              <w:t>(2,705)</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jc w:val="right"/>
              <w:ind w:right="61"/>
              <w:spacing w:after="0"/>
              <w:rPr>
                <w:sz w:val="20"/>
                <w:szCs w:val="20"/>
                <w:color w:val="auto"/>
              </w:rPr>
            </w:pPr>
            <w:r>
              <w:rPr>
                <w:rFonts w:ascii="Times New Roman" w:cs="Times New Roman" w:eastAsia="Times New Roman" w:hAnsi="Times New Roman"/>
                <w:sz w:val="12"/>
                <w:szCs w:val="12"/>
                <w:color w:val="auto"/>
                <w:w w:val="99"/>
              </w:rPr>
              <w:t>$ 401,996</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(206,381)</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(4,638)</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w w:val="95"/>
              </w:rPr>
              <w:t>$ 191,039</w:t>
            </w: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60,538</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FFCC"/>
          </w:tcPr>
          <w:p>
            <w:pPr>
              <w:jc w:val="right"/>
              <w:ind w:right="61"/>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2"/>
                <w:szCs w:val="12"/>
                <w:color w:val="auto"/>
              </w:rPr>
              <w:t>(2,681)</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FFCC"/>
          </w:tcPr>
          <w:p>
            <w:pPr>
              <w:spacing w:after="0"/>
              <w:rPr>
                <w:sz w:val="14"/>
                <w:szCs w:val="14"/>
                <w:color w:val="auto"/>
              </w:rPr>
            </w:pPr>
          </w:p>
        </w:tc>
        <w:tc>
          <w:tcPr>
            <w:tcW w:w="62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$ 313,698</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(165,662)</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(1,976)</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w w:val="99"/>
              </w:rPr>
              <w:t>$ 146,117</w:t>
            </w:r>
          </w:p>
        </w:tc>
        <w:tc>
          <w:tcPr>
            <w:tcW w:w="0" w:type="dxa"/>
            <w:vAlign w:val="bottom"/>
          </w:tcPr>
          <w:p>
            <w:pPr>
              <w:spacing w:after="0"/>
              <w:rPr>
                <w:sz w:val="1"/>
                <w:szCs w:val="1"/>
                <w:color w:val="auto"/>
              </w:rPr>
            </w:pPr>
          </w:p>
        </w:tc>
      </w:tr>
      <w:tr>
        <w:trPr>
          <w:trHeight w:val="137"/>
        </w:trPr>
        <w:tc>
          <w:tcPr>
            <w:tcW w:w="1000" w:type="dxa"/>
            <w:vAlign w:val="bottom"/>
          </w:tcPr>
          <w:p>
            <w:pPr>
              <w:ind w:left="260"/>
              <w:spacing w:after="0" w:line="137" w:lineRule="exact"/>
              <w:rPr>
                <w:sz w:val="20"/>
                <w:szCs w:val="20"/>
                <w:color w:val="auto"/>
              </w:rPr>
            </w:pPr>
            <w:r>
              <w:rPr>
                <w:rFonts w:ascii="Times New Roman" w:cs="Times New Roman" w:eastAsia="Times New Roman" w:hAnsi="Times New Roman"/>
                <w:sz w:val="12"/>
                <w:szCs w:val="12"/>
                <w:color w:val="auto"/>
                <w:w w:val="98"/>
              </w:rPr>
              <w:t>Common stock</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issued upon</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exercise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stock options</w:t>
            </w: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2,604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2,604</w:t>
            </w:r>
          </w:p>
        </w:tc>
        <w:tc>
          <w:tcPr>
            <w:tcW w:w="100" w:type="dxa"/>
            <w:vAlign w:val="bottom"/>
          </w:tcPr>
          <w:p>
            <w:pPr>
              <w:spacing w:after="0"/>
              <w:rPr>
                <w:sz w:val="14"/>
                <w:szCs w:val="14"/>
                <w:color w:val="auto"/>
              </w:rPr>
            </w:pP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1,663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18,974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18,976</w:t>
            </w:r>
          </w:p>
        </w:tc>
        <w:tc>
          <w:tcPr>
            <w:tcW w:w="0" w:type="dxa"/>
            <w:vAlign w:val="bottom"/>
          </w:tcPr>
          <w:p>
            <w:pPr>
              <w:spacing w:after="0"/>
              <w:rPr>
                <w:sz w:val="1"/>
                <w:szCs w:val="1"/>
                <w:color w:val="auto"/>
              </w:rPr>
            </w:pPr>
          </w:p>
        </w:tc>
      </w:tr>
      <w:tr>
        <w:trPr>
          <w:trHeight w:val="144"/>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w w:val="98"/>
              </w:rPr>
              <w:t>Common stock</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issued upon</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vesting of</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w w:val="98"/>
              </w:rPr>
              <w:t>restricted stock</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units</w:t>
            </w:r>
          </w:p>
        </w:tc>
        <w:tc>
          <w:tcPr>
            <w:tcW w:w="46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339</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121</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7"/>
        </w:trPr>
        <w:tc>
          <w:tcPr>
            <w:tcW w:w="1000" w:type="dxa"/>
            <w:vAlign w:val="bottom"/>
          </w:tcPr>
          <w:p>
            <w:pPr>
              <w:ind w:left="260"/>
              <w:spacing w:after="0" w:line="137" w:lineRule="exact"/>
              <w:rPr>
                <w:sz w:val="20"/>
                <w:szCs w:val="20"/>
                <w:color w:val="auto"/>
              </w:rPr>
            </w:pPr>
            <w:r>
              <w:rPr>
                <w:rFonts w:ascii="Times New Roman" w:cs="Times New Roman" w:eastAsia="Times New Roman" w:hAnsi="Times New Roman"/>
                <w:sz w:val="12"/>
                <w:szCs w:val="12"/>
                <w:color w:val="auto"/>
              </w:rPr>
              <w:t>Stock-based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compensation</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6,501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6,501</w:t>
            </w: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3,827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3,827</w:t>
            </w:r>
          </w:p>
        </w:tc>
        <w:tc>
          <w:tcPr>
            <w:tcW w:w="0" w:type="dxa"/>
            <w:vAlign w:val="bottom"/>
          </w:tcPr>
          <w:p>
            <w:pPr>
              <w:spacing w:after="0"/>
              <w:rPr>
                <w:sz w:val="1"/>
                <w:szCs w:val="1"/>
                <w:color w:val="auto"/>
              </w:rPr>
            </w:pPr>
          </w:p>
        </w:tc>
      </w:tr>
      <w:tr>
        <w:trPr>
          <w:trHeight w:val="144"/>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w w:val="98"/>
              </w:rPr>
              <w:t>Common stock</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issued under</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Employee</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Stock</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Purchase Plan</w:t>
            </w:r>
          </w:p>
        </w:tc>
        <w:tc>
          <w:tcPr>
            <w:tcW w:w="46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FFCC"/>
          </w:tcPr>
          <w:p>
            <w:pPr>
              <w:jc w:val="right"/>
              <w:ind w:right="61"/>
              <w:spacing w:after="0"/>
              <w:rPr>
                <w:sz w:val="20"/>
                <w:szCs w:val="20"/>
                <w:color w:val="auto"/>
              </w:rPr>
            </w:pPr>
            <w:r>
              <w:rPr>
                <w:rFonts w:ascii="Times New Roman" w:cs="Times New Roman" w:eastAsia="Times New Roman" w:hAnsi="Times New Roman"/>
                <w:sz w:val="12"/>
                <w:szCs w:val="12"/>
                <w:color w:val="auto"/>
              </w:rPr>
              <w:t>1,152</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1,152</w:t>
            </w: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739</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739</w:t>
            </w:r>
          </w:p>
        </w:tc>
        <w:tc>
          <w:tcPr>
            <w:tcW w:w="0" w:type="dxa"/>
            <w:vAlign w:val="bottom"/>
          </w:tcPr>
          <w:p>
            <w:pPr>
              <w:spacing w:after="0"/>
              <w:rPr>
                <w:sz w:val="1"/>
                <w:szCs w:val="1"/>
                <w:color w:val="auto"/>
              </w:rPr>
            </w:pPr>
          </w:p>
        </w:tc>
      </w:tr>
      <w:tr>
        <w:trPr>
          <w:trHeight w:val="247"/>
        </w:trPr>
        <w:tc>
          <w:tcPr>
            <w:tcW w:w="1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Net loss</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1"/>
                <w:szCs w:val="21"/>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(23,987)</w:t>
            </w:r>
          </w:p>
        </w:tc>
        <w:tc>
          <w:tcPr>
            <w:tcW w:w="10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(8,321)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(8,321)</w:t>
            </w:r>
          </w:p>
        </w:tc>
        <w:tc>
          <w:tcPr>
            <w:tcW w:w="0" w:type="dxa"/>
            <w:vAlign w:val="bottom"/>
          </w:tcPr>
          <w:p>
            <w:pPr>
              <w:spacing w:after="0"/>
              <w:rPr>
                <w:sz w:val="1"/>
                <w:szCs w:val="1"/>
                <w:color w:val="auto"/>
              </w:rPr>
            </w:pPr>
          </w:p>
        </w:tc>
      </w:tr>
      <w:tr>
        <w:trPr>
          <w:trHeight w:val="144"/>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Other</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w w:val="99"/>
              </w:rPr>
              <w:t>comprehensive</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income (loss)</w:t>
            </w:r>
          </w:p>
        </w:tc>
        <w:tc>
          <w:tcPr>
            <w:tcW w:w="4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660" w:type="dxa"/>
            <w:vAlign w:val="bottom"/>
            <w:shd w:val="clear" w:color="auto" w:fill="CCFFCC"/>
          </w:tcPr>
          <w:p>
            <w:pPr>
              <w:jc w:val="right"/>
              <w:ind w:right="61"/>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64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(1,486)</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2"/>
                <w:szCs w:val="12"/>
                <w:color w:val="auto"/>
              </w:rPr>
              <w:t>(1,486)</w:t>
            </w:r>
          </w:p>
        </w:tc>
        <w:tc>
          <w:tcPr>
            <w:tcW w:w="0" w:type="dxa"/>
            <w:vAlign w:val="bottom"/>
          </w:tcPr>
          <w:p>
            <w:pPr>
              <w:spacing w:after="0"/>
              <w:rPr>
                <w:sz w:val="1"/>
                <w:szCs w:val="1"/>
                <w:color w:val="auto"/>
              </w:rPr>
            </w:pPr>
          </w:p>
        </w:tc>
      </w:tr>
      <w:tr>
        <w:trPr>
          <w:trHeight w:val="228"/>
        </w:trPr>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June 30</w:t>
            </w:r>
          </w:p>
        </w:tc>
        <w:tc>
          <w:tcPr>
            <w:tcW w:w="4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65,399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w w:val="99"/>
              </w:rPr>
              <w:t>$ 412,253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(230,368)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(4,631)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w w:val="95"/>
              </w:rPr>
              <w:t>$ 177,316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62,367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$ 337,238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(173,983)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(3,462)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w w:val="99"/>
              </w:rPr>
              <w:t>$ 159,852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1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00" w:type="dxa"/>
            <w:vAlign w:val="bottom"/>
          </w:tcPr>
          <w:p>
            <w:pPr>
              <w:spacing w:after="0"/>
              <w:rPr>
                <w:sz w:val="11"/>
                <w:szCs w:val="11"/>
                <w:color w:val="auto"/>
              </w:rPr>
            </w:pPr>
          </w:p>
        </w:tc>
        <w:tc>
          <w:tcPr>
            <w:tcW w:w="1120" w:type="dxa"/>
            <w:vAlign w:val="bottom"/>
            <w:gridSpan w:val="5"/>
            <w:vMerge w:val="continue"/>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940" w:type="dxa"/>
            <w:vAlign w:val="bottom"/>
            <w:gridSpan w:val="3"/>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820" w:type="dxa"/>
            <w:vAlign w:val="bottom"/>
            <w:gridSpan w:val="3"/>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920" w:type="dxa"/>
            <w:vAlign w:val="bottom"/>
            <w:gridSpan w:val="3"/>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8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4"/>
        </w:trPr>
        <w:tc>
          <w:tcPr>
            <w:tcW w:w="1000" w:type="dxa"/>
            <w:vAlign w:val="bottom"/>
            <w:tcBorders>
              <w:top w:val="single" w:sz="8" w:color="CCFFCC"/>
            </w:tcBorders>
            <w:shd w:val="clear" w:color="auto" w:fill="CCFFCC"/>
          </w:tcPr>
          <w:p>
            <w:pPr>
              <w:ind w:left="20"/>
              <w:spacing w:after="0" w:line="124" w:lineRule="exact"/>
              <w:rPr>
                <w:sz w:val="20"/>
                <w:szCs w:val="20"/>
                <w:color w:val="auto"/>
              </w:rPr>
            </w:pPr>
            <w:r>
              <w:rPr>
                <w:rFonts w:ascii="Times New Roman" w:cs="Times New Roman" w:eastAsia="Times New Roman" w:hAnsi="Times New Roman"/>
                <w:sz w:val="12"/>
                <w:szCs w:val="12"/>
                <w:color w:val="auto"/>
              </w:rPr>
              <w:t>Balance at</w:t>
            </w:r>
          </w:p>
        </w:tc>
        <w:tc>
          <w:tcPr>
            <w:tcW w:w="4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80" w:type="dxa"/>
            <w:vAlign w:val="bottom"/>
            <w:tcBorders>
              <w:top w:val="single" w:sz="8" w:color="auto"/>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80" w:type="dxa"/>
            <w:vAlign w:val="bottom"/>
            <w:tcBorders>
              <w:top w:val="single" w:sz="8" w:color="auto"/>
            </w:tcBorders>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0"/>
              <w:spacing w:after="0" w:line="128" w:lineRule="exact"/>
              <w:rPr>
                <w:sz w:val="20"/>
                <w:szCs w:val="20"/>
                <w:color w:val="auto"/>
              </w:rPr>
            </w:pPr>
            <w:r>
              <w:rPr>
                <w:rFonts w:ascii="Times New Roman" w:cs="Times New Roman" w:eastAsia="Times New Roman" w:hAnsi="Times New Roman"/>
                <w:sz w:val="12"/>
                <w:szCs w:val="12"/>
                <w:color w:val="auto"/>
              </w:rPr>
              <w:t>December 31, 2018</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and 2017</w:t>
            </w:r>
          </w:p>
        </w:tc>
        <w:tc>
          <w:tcPr>
            <w:tcW w:w="46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63,676</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64</w:t>
            </w:r>
          </w:p>
        </w:tc>
        <w:tc>
          <w:tcPr>
            <w:tcW w:w="120" w:type="dxa"/>
            <w:vAlign w:val="bottom"/>
            <w:shd w:val="clear" w:color="auto" w:fill="CCFFCC"/>
          </w:tcPr>
          <w:p>
            <w:pPr>
              <w:spacing w:after="0"/>
              <w:rPr>
                <w:sz w:val="14"/>
                <w:szCs w:val="14"/>
                <w:color w:val="auto"/>
              </w:rPr>
            </w:pPr>
          </w:p>
        </w:tc>
        <w:tc>
          <w:tcPr>
            <w:tcW w:w="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2"/>
                <w:szCs w:val="12"/>
                <w:color w:val="auto"/>
              </w:rPr>
              <w:t>(2,681)</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jc w:val="right"/>
              <w:ind w:right="61"/>
              <w:spacing w:after="0"/>
              <w:rPr>
                <w:sz w:val="20"/>
                <w:szCs w:val="20"/>
                <w:color w:val="auto"/>
              </w:rPr>
            </w:pPr>
            <w:r>
              <w:rPr>
                <w:rFonts w:ascii="Times New Roman" w:cs="Times New Roman" w:eastAsia="Times New Roman" w:hAnsi="Times New Roman"/>
                <w:sz w:val="12"/>
                <w:szCs w:val="12"/>
                <w:color w:val="auto"/>
                <w:w w:val="99"/>
              </w:rPr>
              <w:t>$ 362,590</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(187,491)</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(4,431)</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w w:val="95"/>
              </w:rPr>
              <w:t>$ 170,729</w:t>
            </w: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59,664</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FFCC"/>
          </w:tcPr>
          <w:p>
            <w:pPr>
              <w:jc w:val="right"/>
              <w:ind w:right="61"/>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FFCC"/>
          </w:tcPr>
          <w:p>
            <w:pPr>
              <w:spacing w:after="0"/>
              <w:rPr>
                <w:sz w:val="14"/>
                <w:szCs w:val="14"/>
                <w:color w:val="auto"/>
              </w:rPr>
            </w:pPr>
          </w:p>
        </w:tc>
        <w:tc>
          <w:tcPr>
            <w:tcW w:w="62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$ 305,676</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(163,135)</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(2,535)</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w w:val="99"/>
              </w:rPr>
              <w:t>$ 140,063</w:t>
            </w:r>
          </w:p>
        </w:tc>
        <w:tc>
          <w:tcPr>
            <w:tcW w:w="0" w:type="dxa"/>
            <w:vAlign w:val="bottom"/>
          </w:tcPr>
          <w:p>
            <w:pPr>
              <w:spacing w:after="0"/>
              <w:rPr>
                <w:sz w:val="1"/>
                <w:szCs w:val="1"/>
                <w:color w:val="auto"/>
              </w:rPr>
            </w:pPr>
          </w:p>
        </w:tc>
      </w:tr>
      <w:tr>
        <w:trPr>
          <w:trHeight w:val="137"/>
        </w:trPr>
        <w:tc>
          <w:tcPr>
            <w:tcW w:w="1000" w:type="dxa"/>
            <w:vAlign w:val="bottom"/>
          </w:tcPr>
          <w:p>
            <w:pPr>
              <w:ind w:left="260"/>
              <w:spacing w:after="0" w:line="137" w:lineRule="exact"/>
              <w:rPr>
                <w:sz w:val="20"/>
                <w:szCs w:val="20"/>
                <w:color w:val="auto"/>
              </w:rPr>
            </w:pPr>
            <w:r>
              <w:rPr>
                <w:rFonts w:ascii="Times New Roman" w:cs="Times New Roman" w:eastAsia="Times New Roman" w:hAnsi="Times New Roman"/>
                <w:sz w:val="12"/>
                <w:szCs w:val="12"/>
                <w:color w:val="auto"/>
                <w:w w:val="98"/>
              </w:rPr>
              <w:t>Common stock</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issued upon</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exercise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stock options</w:t>
            </w: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890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9,080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9,081</w:t>
            </w:r>
          </w:p>
        </w:tc>
        <w:tc>
          <w:tcPr>
            <w:tcW w:w="100" w:type="dxa"/>
            <w:vAlign w:val="bottom"/>
          </w:tcPr>
          <w:p>
            <w:pPr>
              <w:spacing w:after="0"/>
              <w:rPr>
                <w:sz w:val="14"/>
                <w:szCs w:val="14"/>
                <w:color w:val="auto"/>
              </w:rPr>
            </w:pP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2,308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24,414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24,416</w:t>
            </w:r>
          </w:p>
        </w:tc>
        <w:tc>
          <w:tcPr>
            <w:tcW w:w="0" w:type="dxa"/>
            <w:vAlign w:val="bottom"/>
          </w:tcPr>
          <w:p>
            <w:pPr>
              <w:spacing w:after="0"/>
              <w:rPr>
                <w:sz w:val="1"/>
                <w:szCs w:val="1"/>
                <w:color w:val="auto"/>
              </w:rPr>
            </w:pPr>
          </w:p>
        </w:tc>
      </w:tr>
      <w:tr>
        <w:trPr>
          <w:trHeight w:val="144"/>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w w:val="98"/>
              </w:rPr>
              <w:t>Common stock</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issued upon</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vesting of</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w w:val="98"/>
              </w:rPr>
              <w:t>restricted stock</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units</w:t>
            </w:r>
          </w:p>
        </w:tc>
        <w:tc>
          <w:tcPr>
            <w:tcW w:w="46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754</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7"/>
        </w:trPr>
        <w:tc>
          <w:tcPr>
            <w:tcW w:w="1000" w:type="dxa"/>
            <w:vAlign w:val="bottom"/>
          </w:tcPr>
          <w:p>
            <w:pPr>
              <w:ind w:left="260"/>
              <w:spacing w:after="0" w:line="137" w:lineRule="exact"/>
              <w:rPr>
                <w:sz w:val="20"/>
                <w:szCs w:val="20"/>
                <w:color w:val="auto"/>
              </w:rPr>
            </w:pPr>
            <w:r>
              <w:rPr>
                <w:rFonts w:ascii="Times New Roman" w:cs="Times New Roman" w:eastAsia="Times New Roman" w:hAnsi="Times New Roman"/>
                <w:sz w:val="12"/>
                <w:szCs w:val="12"/>
                <w:color w:val="auto"/>
              </w:rPr>
              <w:t>Stock-based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compensation</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11,689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11,689</w:t>
            </w: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6,264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6,264</w:t>
            </w:r>
          </w:p>
        </w:tc>
        <w:tc>
          <w:tcPr>
            <w:tcW w:w="0" w:type="dxa"/>
            <w:vAlign w:val="bottom"/>
          </w:tcPr>
          <w:p>
            <w:pPr>
              <w:spacing w:after="0"/>
              <w:rPr>
                <w:sz w:val="1"/>
                <w:szCs w:val="1"/>
                <w:color w:val="auto"/>
              </w:rPr>
            </w:pPr>
          </w:p>
        </w:tc>
      </w:tr>
      <w:tr>
        <w:trPr>
          <w:trHeight w:val="144"/>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w w:val="98"/>
              </w:rPr>
              <w:t>Common stock</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issued under</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Employee</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Stock</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Purchase Plan</w:t>
            </w:r>
          </w:p>
        </w:tc>
        <w:tc>
          <w:tcPr>
            <w:tcW w:w="46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79</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FFCC"/>
          </w:tcPr>
          <w:p>
            <w:pPr>
              <w:jc w:val="right"/>
              <w:ind w:right="61"/>
              <w:spacing w:after="0"/>
              <w:rPr>
                <w:sz w:val="20"/>
                <w:szCs w:val="20"/>
                <w:color w:val="auto"/>
              </w:rPr>
            </w:pPr>
            <w:r>
              <w:rPr>
                <w:rFonts w:ascii="Times New Roman" w:cs="Times New Roman" w:eastAsia="Times New Roman" w:hAnsi="Times New Roman"/>
                <w:sz w:val="12"/>
                <w:szCs w:val="12"/>
                <w:color w:val="auto"/>
              </w:rPr>
              <w:t>1,873</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1,873</w:t>
            </w: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FFCC"/>
          </w:tcPr>
          <w:p>
            <w:pPr>
              <w:jc w:val="right"/>
              <w:ind w:right="41"/>
              <w:spacing w:after="0"/>
              <w:rPr>
                <w:sz w:val="20"/>
                <w:szCs w:val="20"/>
                <w:color w:val="auto"/>
              </w:rPr>
            </w:pPr>
            <w:r>
              <w:rPr>
                <w:rFonts w:ascii="Times New Roman" w:cs="Times New Roman" w:eastAsia="Times New Roman" w:hAnsi="Times New Roman"/>
                <w:sz w:val="12"/>
                <w:szCs w:val="12"/>
                <w:color w:val="auto"/>
              </w:rPr>
              <w:t>1,229</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1,229</w:t>
            </w:r>
          </w:p>
        </w:tc>
        <w:tc>
          <w:tcPr>
            <w:tcW w:w="0" w:type="dxa"/>
            <w:vAlign w:val="bottom"/>
          </w:tcPr>
          <w:p>
            <w:pPr>
              <w:spacing w:after="0"/>
              <w:rPr>
                <w:sz w:val="1"/>
                <w:szCs w:val="1"/>
                <w:color w:val="auto"/>
              </w:rPr>
            </w:pPr>
          </w:p>
        </w:tc>
      </w:tr>
      <w:tr>
        <w:trPr>
          <w:trHeight w:val="137"/>
        </w:trPr>
        <w:tc>
          <w:tcPr>
            <w:tcW w:w="1000" w:type="dxa"/>
            <w:vAlign w:val="bottom"/>
          </w:tcPr>
          <w:p>
            <w:pPr>
              <w:ind w:left="260"/>
              <w:spacing w:after="0" w:line="137" w:lineRule="exact"/>
              <w:rPr>
                <w:sz w:val="20"/>
                <w:szCs w:val="20"/>
                <w:color w:val="auto"/>
              </w:rPr>
            </w:pPr>
            <w:r>
              <w:rPr>
                <w:rFonts w:ascii="Times New Roman" w:cs="Times New Roman" w:eastAsia="Times New Roman" w:hAnsi="Times New Roman"/>
                <w:sz w:val="12"/>
                <w:szCs w:val="12"/>
                <w:color w:val="auto"/>
                <w:w w:val="98"/>
              </w:rPr>
              <w:t>Common stock</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repurchase</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(709)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w:t>
            </w: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(1,345)</w:t>
            </w:r>
          </w:p>
        </w:tc>
        <w:tc>
          <w:tcPr>
            <w:tcW w:w="0" w:type="dxa"/>
            <w:vAlign w:val="bottom"/>
          </w:tcPr>
          <w:p>
            <w:pPr>
              <w:spacing w:after="0"/>
              <w:rPr>
                <w:sz w:val="1"/>
                <w:szCs w:val="1"/>
                <w:color w:val="auto"/>
              </w:rPr>
            </w:pPr>
          </w:p>
        </w:tc>
      </w:tr>
      <w:tr>
        <w:trPr>
          <w:trHeight w:val="144"/>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ASC 606 prior</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period</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adjustment</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(see note 1)</w:t>
            </w:r>
          </w:p>
        </w:tc>
        <w:tc>
          <w:tcPr>
            <w:tcW w:w="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jc w:val="right"/>
              <w:ind w:right="61"/>
              <w:spacing w:after="0"/>
              <w:rPr>
                <w:sz w:val="20"/>
                <w:szCs w:val="20"/>
                <w:color w:val="auto"/>
              </w:rPr>
            </w:pPr>
            <w:r>
              <w:rPr>
                <w:rFonts w:ascii="Times New Roman" w:cs="Times New Roman" w:eastAsia="Times New Roman" w:hAnsi="Times New Roman"/>
                <w:sz w:val="12"/>
                <w:szCs w:val="12"/>
                <w:color w:val="auto"/>
              </w:rPr>
              <w:t>676</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676</w:t>
            </w:r>
          </w:p>
        </w:tc>
        <w:tc>
          <w:tcPr>
            <w:tcW w:w="0" w:type="dxa"/>
            <w:vAlign w:val="bottom"/>
          </w:tcPr>
          <w:p>
            <w:pPr>
              <w:spacing w:after="0"/>
              <w:rPr>
                <w:sz w:val="1"/>
                <w:szCs w:val="1"/>
                <w:color w:val="auto"/>
              </w:rPr>
            </w:pPr>
          </w:p>
        </w:tc>
      </w:tr>
      <w:tr>
        <w:trPr>
          <w:trHeight w:val="137"/>
        </w:trPr>
        <w:tc>
          <w:tcPr>
            <w:tcW w:w="1000" w:type="dxa"/>
            <w:vAlign w:val="bottom"/>
          </w:tcPr>
          <w:p>
            <w:pPr>
              <w:ind w:left="260"/>
              <w:spacing w:after="0" w:line="137" w:lineRule="exact"/>
              <w:rPr>
                <w:sz w:val="20"/>
                <w:szCs w:val="20"/>
                <w:color w:val="auto"/>
              </w:rPr>
            </w:pPr>
            <w:r>
              <w:rPr>
                <w:rFonts w:ascii="Times New Roman" w:cs="Times New Roman" w:eastAsia="Times New Roman" w:hAnsi="Times New Roman"/>
                <w:sz w:val="12"/>
                <w:szCs w:val="12"/>
                <w:color w:val="auto"/>
              </w:rPr>
              <w:t>Issuance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common stock</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in connection</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with</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acquisitions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(see note 9)</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Equity</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component of</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convertible</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senior notes</w:t>
            </w:r>
          </w:p>
        </w:tc>
        <w:tc>
          <w:tcPr>
            <w:tcW w:w="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FFCC"/>
          </w:tcPr>
          <w:p>
            <w:pPr>
              <w:jc w:val="right"/>
              <w:ind w:right="61"/>
              <w:spacing w:after="0"/>
              <w:rPr>
                <w:sz w:val="20"/>
                <w:szCs w:val="20"/>
                <w:color w:val="auto"/>
              </w:rPr>
            </w:pPr>
            <w:r>
              <w:rPr>
                <w:rFonts w:ascii="Times New Roman" w:cs="Times New Roman" w:eastAsia="Times New Roman" w:hAnsi="Times New Roman"/>
                <w:sz w:val="12"/>
                <w:szCs w:val="12"/>
                <w:color w:val="auto"/>
              </w:rPr>
              <w:t>52,900</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52,900</w:t>
            </w:r>
          </w:p>
        </w:tc>
        <w:tc>
          <w:tcPr>
            <w:tcW w:w="100" w:type="dxa"/>
            <w:vAlign w:val="bottom"/>
            <w:shd w:val="clear" w:color="auto" w:fill="CCFFCC"/>
          </w:tcPr>
          <w:p>
            <w:pPr>
              <w:spacing w:after="0"/>
              <w:rPr>
                <w:sz w:val="14"/>
                <w:szCs w:val="14"/>
                <w:color w:val="auto"/>
              </w:rPr>
            </w:pPr>
          </w:p>
        </w:tc>
        <w:tc>
          <w:tcPr>
            <w:tcW w:w="5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7"/>
        </w:trPr>
        <w:tc>
          <w:tcPr>
            <w:tcW w:w="1000" w:type="dxa"/>
            <w:vAlign w:val="bottom"/>
          </w:tcPr>
          <w:p>
            <w:pPr>
              <w:ind w:left="260"/>
              <w:spacing w:after="0" w:line="137" w:lineRule="exact"/>
              <w:rPr>
                <w:sz w:val="20"/>
                <w:szCs w:val="20"/>
                <w:color w:val="auto"/>
              </w:rPr>
            </w:pPr>
            <w:r>
              <w:rPr>
                <w:rFonts w:ascii="Times New Roman" w:cs="Times New Roman" w:eastAsia="Times New Roman" w:hAnsi="Times New Roman"/>
                <w:sz w:val="12"/>
                <w:szCs w:val="12"/>
                <w:color w:val="auto"/>
              </w:rPr>
              <w:t>Equity</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component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convertible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senior notes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issuance costs</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(1,986)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(1,986)</w:t>
            </w: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Purchase of</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rPr>
              <w:t>capped call</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option</w:t>
            </w:r>
          </w:p>
        </w:tc>
        <w:tc>
          <w:tcPr>
            <w:tcW w:w="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(23,184)</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2"/>
                <w:szCs w:val="12"/>
                <w:color w:val="auto"/>
              </w:rPr>
              <w:t>(23,184)</w:t>
            </w:r>
          </w:p>
        </w:tc>
        <w:tc>
          <w:tcPr>
            <w:tcW w:w="100" w:type="dxa"/>
            <w:vAlign w:val="bottom"/>
            <w:shd w:val="clear" w:color="auto" w:fill="CCFFCC"/>
          </w:tcPr>
          <w:p>
            <w:pPr>
              <w:spacing w:after="0"/>
              <w:rPr>
                <w:sz w:val="14"/>
                <w:szCs w:val="14"/>
                <w:color w:val="auto"/>
              </w:rPr>
            </w:pPr>
          </w:p>
        </w:tc>
        <w:tc>
          <w:tcPr>
            <w:tcW w:w="5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47"/>
        </w:trPr>
        <w:tc>
          <w:tcPr>
            <w:tcW w:w="10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Net loss</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1"/>
                <w:szCs w:val="21"/>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(42,877)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(42,877)</w:t>
            </w:r>
          </w:p>
        </w:tc>
        <w:tc>
          <w:tcPr>
            <w:tcW w:w="10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(11,524)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(11,524)</w:t>
            </w:r>
          </w:p>
        </w:tc>
        <w:tc>
          <w:tcPr>
            <w:tcW w:w="0" w:type="dxa"/>
            <w:vAlign w:val="bottom"/>
          </w:tcPr>
          <w:p>
            <w:pPr>
              <w:spacing w:after="0"/>
              <w:rPr>
                <w:sz w:val="1"/>
                <w:szCs w:val="1"/>
                <w:color w:val="auto"/>
              </w:rPr>
            </w:pPr>
          </w:p>
        </w:tc>
      </w:tr>
      <w:tr>
        <w:trPr>
          <w:trHeight w:val="144"/>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Other</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Times New Roman" w:cs="Times New Roman" w:eastAsia="Times New Roman" w:hAnsi="Times New Roman"/>
                <w:sz w:val="12"/>
                <w:szCs w:val="12"/>
                <w:color w:val="auto"/>
                <w:w w:val="99"/>
              </w:rPr>
              <w:t>comprehensive</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2"/>
                <w:szCs w:val="12"/>
                <w:color w:val="auto"/>
              </w:rPr>
              <w:t>loss</w:t>
            </w:r>
          </w:p>
        </w:tc>
        <w:tc>
          <w:tcPr>
            <w:tcW w:w="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66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2"/>
                <w:szCs w:val="12"/>
                <w:color w:val="auto"/>
              </w:rPr>
              <w:t>(200)</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00" w:type="dxa"/>
            <w:vAlign w:val="bottom"/>
            <w:shd w:val="clear" w:color="auto" w:fill="CCFFCC"/>
          </w:tcPr>
          <w:p>
            <w:pPr>
              <w:spacing w:after="0"/>
              <w:rPr>
                <w:sz w:val="14"/>
                <w:szCs w:val="14"/>
                <w:color w:val="auto"/>
              </w:rPr>
            </w:pPr>
          </w:p>
        </w:tc>
        <w:tc>
          <w:tcPr>
            <w:tcW w:w="5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CC"/>
          </w:tcPr>
          <w:p>
            <w:pPr>
              <w:spacing w:after="0"/>
              <w:rPr>
                <w:sz w:val="14"/>
                <w:szCs w:val="14"/>
                <w:color w:val="auto"/>
              </w:rPr>
            </w:pPr>
          </w:p>
        </w:tc>
        <w:tc>
          <w:tcPr>
            <w:tcW w:w="64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2"/>
                <w:szCs w:val="12"/>
                <w:color w:val="auto"/>
              </w:rPr>
              <w:t>(927)</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2"/>
                <w:szCs w:val="12"/>
                <w:color w:val="auto"/>
              </w:rPr>
              <w:t>(927)</w:t>
            </w:r>
          </w:p>
        </w:tc>
        <w:tc>
          <w:tcPr>
            <w:tcW w:w="0" w:type="dxa"/>
            <w:vAlign w:val="bottom"/>
          </w:tcPr>
          <w:p>
            <w:pPr>
              <w:spacing w:after="0"/>
              <w:rPr>
                <w:sz w:val="1"/>
                <w:szCs w:val="1"/>
                <w:color w:val="auto"/>
              </w:rPr>
            </w:pPr>
          </w:p>
        </w:tc>
      </w:tr>
      <w:tr>
        <w:trPr>
          <w:trHeight w:val="228"/>
        </w:trPr>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June 30</w:t>
            </w:r>
          </w:p>
        </w:tc>
        <w:tc>
          <w:tcPr>
            <w:tcW w:w="4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65,399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w w:val="99"/>
              </w:rPr>
              <w:t>$ 412,253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(230,368)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(4,631)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w w:val="95"/>
              </w:rPr>
              <w:t>$ 177,316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62,367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$ 337,238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(173,983)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(3,462)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w w:val="99"/>
              </w:rPr>
              <w:t>$ 159,852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520"/>
          </w:cols>
          <w:pgMar w:left="240" w:top="551" w:right="139" w:bottom="1440" w:gutter="0" w:footer="0" w:header="0"/>
        </w:sectPr>
      </w:pP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520"/>
          </w:cols>
          <w:pgMar w:left="240" w:top="551" w:right="1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 (unaudited).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LIVEPERSON,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4"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03"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19685</wp:posOffset>
            </wp:positionV>
            <wp:extent cx="1952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60" w:type="dxa"/>
            <w:vAlign w:val="bottom"/>
            <w:tcBorders>
              <w:bottom w:val="single" w:sz="8" w:color="CCFFCC"/>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41"/>
        </w:trPr>
        <w:tc>
          <w:tcPr>
            <w:tcW w:w="83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90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r>
      <w:tr>
        <w:trPr>
          <w:trHeight w:val="249"/>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(42,877)</w:t>
            </w:r>
          </w:p>
        </w:tc>
        <w:tc>
          <w:tcPr>
            <w:tcW w:w="120" w:type="dxa"/>
            <w:vAlign w:val="bottom"/>
          </w:tcPr>
          <w:p>
            <w:pPr>
              <w:spacing w:after="0"/>
              <w:rPr>
                <w:sz w:val="21"/>
                <w:szCs w:val="21"/>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(11,524)</w:t>
            </w:r>
          </w:p>
        </w:tc>
      </w:tr>
      <w:tr>
        <w:trPr>
          <w:trHeight w:val="260"/>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49"/>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16,471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6,264</w:t>
            </w:r>
          </w:p>
        </w:tc>
      </w:tr>
      <w:tr>
        <w:trPr>
          <w:trHeight w:val="260"/>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Depreciation</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7,643</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6,786</w:t>
            </w:r>
          </w:p>
        </w:tc>
      </w:tr>
      <w:tr>
        <w:trPr>
          <w:trHeight w:val="249"/>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purchased intangibles</w:t>
            </w:r>
          </w:p>
        </w:tc>
        <w:tc>
          <w:tcPr>
            <w:tcW w:w="9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1,422</w:t>
            </w:r>
          </w:p>
        </w:tc>
      </w:tr>
      <w:tr>
        <w:trPr>
          <w:trHeight w:val="260"/>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Accretion of debt discount on convertible senior notes</w:t>
            </w:r>
          </w:p>
        </w:tc>
        <w:tc>
          <w:tcPr>
            <w:tcW w:w="9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2,990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Amortization of tenant allowance</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49"/>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w:t>
            </w:r>
          </w:p>
        </w:tc>
      </w:tr>
      <w:tr>
        <w:trPr>
          <w:trHeight w:val="260"/>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938</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862</w:t>
            </w:r>
          </w:p>
        </w:tc>
      </w:tr>
      <w:tr>
        <w:trPr>
          <w:trHeight w:val="249"/>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836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(6,383)</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(1,045)</w:t>
            </w:r>
          </w:p>
        </w:tc>
      </w:tr>
      <w:tr>
        <w:trPr>
          <w:trHeight w:val="249"/>
        </w:trPr>
        <w:tc>
          <w:tcPr>
            <w:tcW w:w="8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(12,704)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(9,531)</w:t>
            </w:r>
          </w:p>
        </w:tc>
      </w:tr>
      <w:tr>
        <w:trPr>
          <w:trHeight w:val="260"/>
        </w:trPr>
        <w:tc>
          <w:tcPr>
            <w:tcW w:w="836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249"/>
        </w:trPr>
        <w:tc>
          <w:tcPr>
            <w:tcW w:w="8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w:t>
            </w:r>
          </w:p>
        </w:tc>
      </w:tr>
      <w:tr>
        <w:trPr>
          <w:trHeight w:val="260"/>
        </w:trPr>
        <w:tc>
          <w:tcPr>
            <w:tcW w:w="836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(11,114)</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(8,771)</w:t>
            </w:r>
          </w:p>
        </w:tc>
      </w:tr>
      <w:tr>
        <w:trPr>
          <w:trHeight w:val="249"/>
        </w:trPr>
        <w:tc>
          <w:tcPr>
            <w:tcW w:w="8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14,832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13,943</w:t>
            </w:r>
          </w:p>
        </w:tc>
      </w:tr>
      <w:tr>
        <w:trPr>
          <w:trHeight w:val="254"/>
        </w:trPr>
        <w:tc>
          <w:tcPr>
            <w:tcW w:w="836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4"/>
                <w:szCs w:val="14"/>
                <w:color w:val="auto"/>
              </w:rPr>
              <w:t>Other liabilities</w:t>
            </w:r>
          </w:p>
        </w:tc>
        <w:tc>
          <w:tcPr>
            <w:tcW w:w="90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tcBorders>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34"/>
        </w:trPr>
        <w:tc>
          <w:tcPr>
            <w:tcW w:w="8360" w:type="dxa"/>
            <w:vAlign w:val="bottom"/>
            <w:tcBorders>
              <w:bottom w:val="single" w:sz="8" w:color="CCFFCC"/>
            </w:tcBorders>
          </w:tcPr>
          <w:p>
            <w:pPr>
              <w:ind w:left="5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(28,912)</w:t>
            </w:r>
          </w:p>
        </w:tc>
        <w:tc>
          <w:tcPr>
            <w:tcW w:w="12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w:t>
            </w:r>
          </w:p>
        </w:tc>
      </w:tr>
      <w:tr>
        <w:trPr>
          <w:trHeight w:val="112"/>
        </w:trPr>
        <w:tc>
          <w:tcPr>
            <w:tcW w:w="836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r>
      <w:tr>
        <w:trPr>
          <w:trHeight w:val="249"/>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Purchases of property and equipment, including capitalized software</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(21,382)</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(9,664)</w:t>
            </w:r>
          </w:p>
        </w:tc>
      </w:tr>
      <w:tr>
        <w:trPr>
          <w:trHeight w:val="249"/>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held as collateral for foreign exchange forward contracts</w:t>
            </w:r>
          </w:p>
        </w:tc>
        <w:tc>
          <w:tcPr>
            <w:tcW w:w="90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1,235</w:t>
            </w:r>
          </w:p>
        </w:tc>
      </w:tr>
      <w:tr>
        <w:trPr>
          <w:trHeight w:val="254"/>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Payments for acquisitions and intangible assets, net of cash acquired</w:t>
            </w:r>
          </w:p>
        </w:tc>
        <w:tc>
          <w:tcPr>
            <w:tcW w:w="90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tcBorders>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(392)</w:t>
            </w:r>
          </w:p>
        </w:tc>
      </w:tr>
      <w:tr>
        <w:trPr>
          <w:trHeight w:val="234"/>
        </w:trPr>
        <w:tc>
          <w:tcPr>
            <w:tcW w:w="8360" w:type="dxa"/>
            <w:vAlign w:val="bottom"/>
            <w:tcBorders>
              <w:bottom w:val="single" w:sz="8" w:color="CCFFCC"/>
            </w:tcBorders>
          </w:tcPr>
          <w:p>
            <w:pPr>
              <w:ind w:left="5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(21,675)</w:t>
            </w:r>
          </w:p>
        </w:tc>
        <w:tc>
          <w:tcPr>
            <w:tcW w:w="12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(8,821)</w:t>
            </w:r>
          </w:p>
        </w:tc>
      </w:tr>
      <w:tr>
        <w:trPr>
          <w:trHeight w:val="112"/>
        </w:trPr>
        <w:tc>
          <w:tcPr>
            <w:tcW w:w="836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r>
      <w:tr>
        <w:trPr>
          <w:trHeight w:val="249"/>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Proceeds from issuance of convertible senior notes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w w:val="96"/>
              </w:rPr>
              <w:t>230,000</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of issuance costs in connection with convertible senior notes</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(7,587)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Purchase of capped call option</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(23,184)</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Payments related to contingent consideration</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Proceeds from issuance of common stock in connection with the exercise of options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10,953</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25,667</w:t>
            </w:r>
          </w:p>
        </w:tc>
      </w:tr>
      <w:tr>
        <w:trPr>
          <w:trHeight w:val="249"/>
        </w:trPr>
        <w:tc>
          <w:tcPr>
            <w:tcW w:w="8360" w:type="dxa"/>
            <w:vAlign w:val="bottom"/>
            <w:tcBorders>
              <w:bottom w:val="single" w:sz="8" w:color="CCFFCC"/>
            </w:tcBorders>
          </w:tcPr>
          <w:p>
            <w:pPr>
              <w:ind w:left="1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(709)</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w:t>
            </w:r>
          </w:p>
        </w:tc>
      </w:tr>
      <w:tr>
        <w:trPr>
          <w:trHeight w:val="234"/>
        </w:trPr>
        <w:tc>
          <w:tcPr>
            <w:tcW w:w="8360" w:type="dxa"/>
            <w:vAlign w:val="bottom"/>
            <w:shd w:val="clear" w:color="auto" w:fill="CCFFCC"/>
          </w:tcPr>
          <w:p>
            <w:pPr>
              <w:ind w:left="5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00" w:type="dxa"/>
            <w:vAlign w:val="bottom"/>
            <w:tcBorders>
              <w:bottom w:val="single" w:sz="8" w:color="auto"/>
            </w:tcBorders>
            <w:shd w:val="clear" w:color="auto" w:fill="CCFFCC"/>
          </w:tcPr>
          <w:p>
            <w:pPr>
              <w:spacing w:after="0"/>
              <w:rPr>
                <w:sz w:val="20"/>
                <w:szCs w:val="20"/>
                <w:color w:val="auto"/>
              </w:rPr>
            </w:pPr>
          </w:p>
        </w:tc>
        <w:tc>
          <w:tcPr>
            <w:tcW w:w="580" w:type="dxa"/>
            <w:vAlign w:val="bottom"/>
            <w:tcBorders>
              <w:bottom w:val="single" w:sz="8" w:color="auto"/>
            </w:tcBorders>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w w:val="96"/>
              </w:rPr>
              <w:t>208,986</w:t>
            </w:r>
          </w:p>
        </w:tc>
        <w:tc>
          <w:tcPr>
            <w:tcW w:w="120" w:type="dxa"/>
            <w:vAlign w:val="bottom"/>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spacing w:after="0"/>
              <w:rPr>
                <w:sz w:val="20"/>
                <w:szCs w:val="20"/>
                <w:color w:val="auto"/>
              </w:rPr>
            </w:pPr>
          </w:p>
        </w:tc>
        <w:tc>
          <w:tcPr>
            <w:tcW w:w="1120" w:type="dxa"/>
            <w:vAlign w:val="bottom"/>
            <w:tcBorders>
              <w:bottom w:val="single" w:sz="8" w:color="auto"/>
            </w:tcBorders>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24,322</w:t>
            </w:r>
          </w:p>
        </w:tc>
      </w:tr>
      <w:tr>
        <w:trPr>
          <w:trHeight w:val="234"/>
        </w:trPr>
        <w:tc>
          <w:tcPr>
            <w:tcW w:w="836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138</w:t>
            </w:r>
          </w:p>
        </w:tc>
      </w:tr>
      <w:tr>
        <w:trPr>
          <w:trHeight w:val="240"/>
        </w:trPr>
        <w:tc>
          <w:tcPr>
            <w:tcW w:w="83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900" w:type="dxa"/>
            <w:vAlign w:val="bottom"/>
            <w:shd w:val="clear" w:color="auto" w:fill="CCFFCC"/>
          </w:tcPr>
          <w:p>
            <w:pPr>
              <w:spacing w:after="0"/>
              <w:rPr>
                <w:sz w:val="20"/>
                <w:szCs w:val="20"/>
                <w:color w:val="auto"/>
              </w:rPr>
            </w:pPr>
          </w:p>
        </w:tc>
        <w:tc>
          <w:tcPr>
            <w:tcW w:w="5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w w:val="96"/>
              </w:rPr>
              <w:t>158,278</w:t>
            </w: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13,632</w:t>
            </w:r>
          </w:p>
        </w:tc>
      </w:tr>
      <w:tr>
        <w:trPr>
          <w:trHeight w:val="249"/>
        </w:trPr>
        <w:tc>
          <w:tcPr>
            <w:tcW w:w="836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 Beginning of the period</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66,449</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56,115</w:t>
            </w:r>
          </w:p>
        </w:tc>
      </w:tr>
      <w:tr>
        <w:trPr>
          <w:trHeight w:val="227"/>
        </w:trPr>
        <w:tc>
          <w:tcPr>
            <w:tcW w:w="83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4"/>
                <w:szCs w:val="14"/>
                <w:color w:val="auto"/>
              </w:rPr>
              <w:t>CASH AND CASH EQUIVALENTS - End of the period</w:t>
            </w:r>
          </w:p>
        </w:tc>
        <w:tc>
          <w:tcPr>
            <w:tcW w:w="900" w:type="dxa"/>
            <w:vAlign w:val="bottom"/>
            <w:tcBorders>
              <w:bottom w:val="single" w:sz="8" w:color="auto"/>
            </w:tcBorders>
            <w:shd w:val="clear" w:color="auto" w:fill="CCFFCC"/>
          </w:tcPr>
          <w:p>
            <w:pPr>
              <w:jc w:val="right"/>
              <w:ind w:right="75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w w:val="96"/>
              </w:rPr>
              <w:t>224,727</w:t>
            </w:r>
          </w:p>
        </w:tc>
        <w:tc>
          <w:tcPr>
            <w:tcW w:w="12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69,747</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5"/>
        </w:trPr>
        <w:tc>
          <w:tcPr>
            <w:tcW w:w="8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4"/>
        </w:trPr>
        <w:tc>
          <w:tcPr>
            <w:tcW w:w="83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4"/>
                <w:szCs w:val="14"/>
                <w:color w:val="auto"/>
              </w:rPr>
              <w:t>SUPPLEMENTAL DISCLOSURE OF OTHER CASH FLOW INFORMATION:</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81"/>
        </w:trPr>
        <w:tc>
          <w:tcPr>
            <w:tcW w:w="8360" w:type="dxa"/>
            <w:vAlign w:val="bottom"/>
            <w:tcBorders>
              <w:bottom w:val="single" w:sz="8" w:color="CCFFCC"/>
            </w:tcBorders>
          </w:tcPr>
          <w:p>
            <w:pPr>
              <w:ind w:left="1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1,606</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5,553</w:t>
            </w:r>
          </w:p>
        </w:tc>
      </w:tr>
      <w:tr>
        <w:trPr>
          <w:trHeight w:val="143"/>
        </w:trPr>
        <w:tc>
          <w:tcPr>
            <w:tcW w:w="83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r>
      <w:tr>
        <w:trPr>
          <w:trHeight w:val="249"/>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Purchase of property and equipment recorded in accounts payable</w:t>
            </w:r>
          </w:p>
        </w:tc>
        <w:tc>
          <w:tcPr>
            <w:tcW w:w="900" w:type="dxa"/>
            <w:vAlign w:val="bottom"/>
            <w:shd w:val="clear" w:color="auto" w:fill="CCFFCC"/>
          </w:tcPr>
          <w:p>
            <w:pPr>
              <w:jc w:val="right"/>
              <w:ind w:right="75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861</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774</w:t>
            </w:r>
          </w:p>
        </w:tc>
      </w:tr>
      <w:tr>
        <w:trPr>
          <w:trHeight w:val="249"/>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85,861 shares of common stock in connection with the BotCentral transaction on January 22, 2018</w:t>
            </w:r>
          </w:p>
        </w:tc>
        <w:tc>
          <w:tcPr>
            <w:tcW w:w="90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1,000</w:t>
            </w:r>
          </w:p>
        </w:tc>
      </w:tr>
      <w:tr>
        <w:trPr>
          <w:trHeight w:val="260"/>
        </w:trPr>
        <w:tc>
          <w:tcPr>
            <w:tcW w:w="83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4"/>
                <w:szCs w:val="14"/>
                <w:color w:val="auto"/>
              </w:rPr>
              <w:t>Debt offering costs, accrued but not paid</w:t>
            </w:r>
          </w:p>
        </w:tc>
        <w:tc>
          <w:tcPr>
            <w:tcW w:w="900" w:type="dxa"/>
            <w:vAlign w:val="bottom"/>
            <w:shd w:val="clear" w:color="auto" w:fill="CCFFCC"/>
          </w:tcPr>
          <w:p>
            <w:pPr>
              <w:jc w:val="right"/>
              <w:ind w:right="75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1,048</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ectPr>
          <w:pgSz w:w="11900" w:h="16838" w:orient="portrait"/>
          <w:cols w:equalWidth="0" w:num="1">
            <w:col w:w="11420"/>
          </w:cols>
          <w:pgMar w:left="240" w:top="657" w:right="239" w:bottom="1161"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420"/>
          </w:cols>
          <w:pgMar w:left="240" w:top="657" w:right="239" w:bottom="1161"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hanging="298"/>
        <w:spacing w:after="0"/>
        <w:tabs>
          <w:tab w:leader="none" w:pos="30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Basis of Presentation</w:t>
      </w:r>
    </w:p>
    <w:p>
      <w:pPr>
        <w:spacing w:after="0" w:line="215"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Austin (Texas), Mountain View (California) and Seattle (Washington), and international offices in Amsterdam (Netherlands), Berlin (Germany), London (United Kingdom), Mannheim (Germany), Melbourne (Australia), Milan (Italy), Paris (France), Ra'anana (Israel), Reading (United Kingdom), Sydney (Australia), Tel Aviv (Israel), and Tokyo (Japan).</w:t>
      </w:r>
    </w:p>
    <w:p>
      <w:pPr>
        <w:spacing w:after="0" w:line="76"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LivePerson makes life easier by transforming how people communicate with brands. During the past decade, the consumer has made the mobile device the center of their digital lives, and they have made mobile messaging the center of communication with friends, family and peers. The Company’s technology enables consumers to connect with businesses through these same preferred conversational interfaces, including Facebook Messenger,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and brick and mortar engagements. For example, consumers can look up product info like ratings, images and pricing, search for stores, see products in the store, schedule appointments, apply for credit, approve repairs, make purchases or payments - all without ever leaving the messaging channel. LivePerson calls these AI and human-assisted conversational experiences over messaging Conversational Commerce.</w:t>
      </w:r>
    </w:p>
    <w:p>
      <w:pPr>
        <w:spacing w:after="0" w:line="80"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LiveEngage, the Company’s enterprise-class, cloud-based platform, was designed for Conversational Commerce, enabling businesses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having them navigate interactive voice response systems (IVRs) and wait on hold.</w:t>
      </w:r>
    </w:p>
    <w:p>
      <w:pPr>
        <w:spacing w:after="0" w:line="76"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The robust, cloud-based suite of rich mobile messaging and real-time chat offerings features intelligent routing and capacity mapping, queue prioritization, customer sentiment, real-time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or Google Home. An extensible application programming interface (API) stack facilitates a lower cost of ownership by facilitating robust integration into back-end systems, as well as enabling developers to build their own programs and services on top of the platform. More than three dozen APIs are available on LiveEngage.</w:t>
      </w:r>
    </w:p>
    <w:p>
      <w:pPr>
        <w:spacing w:after="0" w:line="75"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LiveEngage also features Maven, a robust AI engine that was custom designed for Conversational Commerce. Maven, announced in December 2018, puts the power of bot development, training and management into the hands of the contact center and its agents, the teams most familiar with how to structure sales and service conversations to drive successful outcomes. The platform enables what the Company calls “the tango” of humans, AI and bots, whereby human agents act as bot managers, overseeing AI-powered conversations and seamlessly stepping into the flow when a personal touch is needed. Through Maven Assist, agents become ultra-efficient, leveraging the AI engine to serve up relevant content, define next-best actions and take over repetitive transactional work, so that the agent can focus on relationship building. By seamlessly integrating LiveEngage with Maven, as well as third-party bots, the platform provides businesses with a comprehensive view of all AI-based and human-based conversations from a single console.</w:t>
      </w:r>
    </w:p>
    <w:p>
      <w:pPr>
        <w:spacing w:after="0" w:line="77"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Complementing LiveEngage are teams of technical, solutions and consulting professionals that have developed deep domain expertise in Conversational Commerce across industries and messaging endpoints. The Company is positioned as an authority in Conversational Commerce, publishing a proprietary Conversational Quotient™ Index that measures each customer across multiple key indicators to ascertain the sophistication and breadth of their conversational commerce capabilities. Each business is then benchmarked against industry peers to determine their relative progression. The Company has developed a Transformation Model that is introduced to existing and prospective customers to help guide them on their journeys from legacy and oftentimes inefficient legacy voice, email and chat solutions to modern conversational ones powered by messaging and AI. LivePerson’s products, coupled with our domain knowledge, industry expertise and professional services, have been proven to maximize the effectiveness of Conversational Commerce and deliver measurable return on investment.</w:t>
      </w:r>
    </w:p>
    <w:p>
      <w:pPr>
        <w:spacing w:after="0" w:line="77"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420"/>
          </w:cols>
          <w:pgMar w:left="240" w:top="17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architecture that is maintained by LivePerson eliminate the majority of the time, server infrastructure costs, and IT resources required to implement, maintain, and support traditional on-premise software.</w:t>
      </w:r>
    </w:p>
    <w:p>
      <w:pPr>
        <w:spacing w:after="0" w:line="5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The Company's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4"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as of June 30, 2019 and for the three and six months ended June 30, 2019 and 2018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June 30, 2019, and the consolidated results of operations, comprehensive loss and cash flows for the interim periods ended June 30, 2019 and 2018.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2018 has been derived from audited consolidated financial statements at that date.</w:t>
      </w:r>
    </w:p>
    <w:p>
      <w:pPr>
        <w:spacing w:after="0" w:line="77"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2018 included in the Company’s Annual Report on Form 10-K filed with the SEC on February 25, 2019.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1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Company and its wholly-owned subsidiaries. All intercompany balances and transactions have been eliminated.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14"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Standards</w:t>
      </w:r>
    </w:p>
    <w:p>
      <w:pPr>
        <w:spacing w:after="0" w:line="114" w:lineRule="exact"/>
        <w:rPr>
          <w:sz w:val="20"/>
          <w:szCs w:val="20"/>
          <w:color w:val="auto"/>
        </w:rPr>
      </w:pPr>
    </w:p>
    <w:p>
      <w:pPr>
        <w:jc w:val="both"/>
        <w:ind w:firstLine="610"/>
        <w:spacing w:after="0" w:line="272" w:lineRule="auto"/>
        <w:rPr>
          <w:sz w:val="20"/>
          <w:szCs w:val="20"/>
          <w:color w:val="auto"/>
        </w:rPr>
      </w:pPr>
      <w:r>
        <w:rPr>
          <w:rFonts w:ascii="Times New Roman" w:cs="Times New Roman" w:eastAsia="Times New Roman" w:hAnsi="Times New Roman"/>
          <w:sz w:val="16"/>
          <w:szCs w:val="16"/>
          <w:color w:val="auto"/>
        </w:rPr>
        <w:t>In August 2018, the Financial Accounting Standards Board (“FASB”) issued Accounting Standards Update ("ASU") No. 2018-15 , "Customer’s Accounting for Implementation Costs Incurred in a Cloud Computing Arrangement That Is a Service Contract; Disclosures for Implementation Costs Incurred for Internal-Use Software and Cloud Computing Arrangements" (“ASU 2018-15”). This standard aligns the accounting for implementation costs incurred in a hosting arrangement that is a service contract with the accounting for implementation costs incurred to develop or obtain internal-use software under Accounting Standards Codification ("ASC") 350-40, in order to determine which costs to capitalize and recognize as an asset. ASU 2018-15 is effective for annual reporting periods, and interim periods within those years, beginning after December 15, 2019, and can be applied either prospectively to implementation costs incurred after the date of adoption or retrospectively to all arrangements. The Company is currently in the process of evaluating the impact of the adoption of ASU 2018-230 on its consolidated financial statements.</w:t>
      </w:r>
    </w:p>
    <w:p>
      <w:pPr>
        <w:spacing w:after="0" w:line="65"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In January 2017, FASB issued ASU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will have a material effect on its financial position, results of operations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Pronouncements</w:t>
      </w:r>
    </w:p>
    <w:p>
      <w:pPr>
        <w:spacing w:after="0" w:line="11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In February 2016, the FASB issued ASU No. 2016-02, “Leases” (“ASU 2016-02”). ASU 2016-02 requires lessees to recognize the following for all leases (with the exception of short-term leases) at the commencement date: a lease liability, which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420"/>
          </w:cols>
          <w:pgMar w:left="240" w:top="170"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Lessees (for capital and operating leases) and lessors (for sales-type, direct financing, and operating leases) may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w:t>
      </w:r>
    </w:p>
    <w:p>
      <w:pPr>
        <w:spacing w:after="0" w:line="177"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The Company adopted ASU No. 2016-02, "Leases" (Topic 842), as of January 1, 2019 using the modified transition approach. The modified transition approach provides a method for recording existing leases at adoption. As a result, the Company was not required to adjust its comparative period financial information for effects of the standard or make the new required lease disclosures for periods before the date of adoption (i.e. January 1, 2019). For its long-term operating lease, the Company recognized a right-of-use asset and a lease liability on its balance sheet. The lease liability is determined as the present value of future lease payments using an estimated rate of interest that the Company would have to pay to borrow equivalent funds on a collateralized basis at the lease commencement date. The right-of-use asset is based on the liability adjusted for any prepaid or deferred rent. The lease term at the commencement date is determined by considering whether renewal options and termination options are reasonably assured of exercise. Rent expense for the operating lease is recognized on a straight-line basis over the lease term and is included in operating expenses on the statements of operations. Variable lease payments include lease operating expenses. Adoption of the new standard resulted in the recording of additional net lease assets and lease liabilities of approximately $16.0 million and $19.9 million, respectively, as of June 30, 2019. The standard did not materially impact the Company's consolidated net earnings and had no impact on cash flows.</w:t>
      </w:r>
    </w:p>
    <w:p>
      <w:pPr>
        <w:spacing w:after="0" w:line="184"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In June 2018, the FASB issued ASU No. 2018-07, "Compensation -Stock Compensation (Topic 718) - Improvements to Nonemployee Share-Based Payment Accounting" ("ASU 2018-07"). This new standard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is effective for public companies for fiscal years beginning after December 15, 2018, including interim periods within that fiscal year. The standard did not materially impact the Company's consolidated net earnings and had no impact on cash flows.</w:t>
      </w:r>
    </w:p>
    <w:p>
      <w:pPr>
        <w:spacing w:after="0" w:line="275" w:lineRule="exact"/>
        <w:rPr>
          <w:sz w:val="20"/>
          <w:szCs w:val="20"/>
          <w:color w:val="auto"/>
        </w:rPr>
      </w:pPr>
    </w:p>
    <w:p>
      <w:pPr>
        <w:ind w:left="300" w:hanging="298"/>
        <w:spacing w:after="0"/>
        <w:tabs>
          <w:tab w:leader="none" w:pos="30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21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The majority of the Company’s revenue is generated from monthly service revenues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determines revenue recognition through the following steps:</w:t>
      </w:r>
    </w:p>
    <w:p>
      <w:pPr>
        <w:spacing w:after="0" w:line="135" w:lineRule="exact"/>
        <w:rPr>
          <w:sz w:val="20"/>
          <w:szCs w:val="20"/>
          <w:color w:val="auto"/>
        </w:rPr>
      </w:pPr>
    </w:p>
    <w:p>
      <w:pPr>
        <w:ind w:left="1260" w:hanging="178"/>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96" w:lineRule="exact"/>
        <w:rPr>
          <w:rFonts w:ascii="Times New Roman" w:cs="Times New Roman" w:eastAsia="Times New Roman" w:hAnsi="Times New Roman"/>
          <w:sz w:val="17"/>
          <w:szCs w:val="17"/>
          <w:color w:val="auto"/>
        </w:rPr>
      </w:pPr>
    </w:p>
    <w:p>
      <w:pPr>
        <w:ind w:left="1260" w:hanging="178"/>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96" w:lineRule="exact"/>
        <w:rPr>
          <w:rFonts w:ascii="Times New Roman" w:cs="Times New Roman" w:eastAsia="Times New Roman" w:hAnsi="Times New Roman"/>
          <w:sz w:val="17"/>
          <w:szCs w:val="17"/>
          <w:color w:val="auto"/>
        </w:rPr>
      </w:pPr>
    </w:p>
    <w:p>
      <w:pPr>
        <w:ind w:left="1260" w:hanging="178"/>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96" w:lineRule="exact"/>
        <w:rPr>
          <w:rFonts w:ascii="Times New Roman" w:cs="Times New Roman" w:eastAsia="Times New Roman" w:hAnsi="Times New Roman"/>
          <w:sz w:val="17"/>
          <w:szCs w:val="17"/>
          <w:color w:val="auto"/>
        </w:rPr>
      </w:pPr>
    </w:p>
    <w:p>
      <w:pPr>
        <w:ind w:left="1260" w:hanging="178"/>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96" w:lineRule="exact"/>
        <w:rPr>
          <w:rFonts w:ascii="Times New Roman" w:cs="Times New Roman" w:eastAsia="Times New Roman" w:hAnsi="Times New Roman"/>
          <w:sz w:val="17"/>
          <w:szCs w:val="17"/>
          <w:color w:val="auto"/>
        </w:rPr>
      </w:pPr>
    </w:p>
    <w:p>
      <w:pPr>
        <w:ind w:left="1260" w:hanging="178"/>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224"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Total revenue of $71.0 million and $61.7 million recognized during the three months ended June 30, 2019 and 2018 and $137.4 million and $119.9 million recognized during the six months ended June 30, 2019 and 2018, respectively, under Topic 606, was not materially different from what would have been recognized under Topic 605.</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420"/>
          </w:cols>
          <w:pgMar w:left="240" w:top="170"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Hosted Services- Business Revenue</w:t>
      </w:r>
    </w:p>
    <w:p>
      <w:pPr>
        <w:spacing w:after="0" w:line="215"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Hosted Services Business revenue is reported at the amount that reflects the ultimate consideration expected to be received and primarily consist of fees that provide customers access to LiveEngage,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Gainshare (formerly Pay for Performance) arrangements in accordance with ASC-606, "Principal Agent Considerations", the Company acts as a principal in a transaction if it controls the specified goods or services before they are transferred to the customer.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Professional Services Revenues</w:t>
      </w:r>
    </w:p>
    <w:p>
      <w:pPr>
        <w:spacing w:after="0" w:line="215"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 with Multiple Performance Obligations</w:t>
      </w:r>
    </w:p>
    <w:p>
      <w:pPr>
        <w:spacing w:after="0" w:line="215"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Hosted Services- Consumer Revenue</w:t>
      </w:r>
    </w:p>
    <w:p>
      <w:pPr>
        <w:spacing w:after="0" w:line="215"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Revenues</w:t>
      </w:r>
    </w:p>
    <w:p>
      <w:pPr>
        <w:spacing w:after="0" w:line="21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The Company records deferred revenues when cash payments are received or due in advance of its performance. The increase in the deferred revenue balance as of June 30, 2019 is primarily driven by cash payments received or due in advance of satisfying its performance obligations, partially offset by $30.1 million of revenues recognized that were included in the deferred revenue balance as of December 31, 2018.</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420"/>
          </w:cols>
          <w:pgMar w:left="240" w:top="170"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deferred revenue by revenue source (amounts in thousands):</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86"/>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0" w:type="dxa"/>
            <w:vAlign w:val="bottom"/>
          </w:tcPr>
          <w:p>
            <w:pPr>
              <w:spacing w:after="0"/>
              <w:rPr>
                <w:sz w:val="1"/>
                <w:szCs w:val="1"/>
                <w:color w:val="auto"/>
              </w:rPr>
            </w:pPr>
          </w:p>
        </w:tc>
      </w:tr>
      <w:tr>
        <w:trPr>
          <w:trHeight w:val="139"/>
        </w:trPr>
        <w:tc>
          <w:tcPr>
            <w:tcW w:w="8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100" w:type="dxa"/>
            <w:vAlign w:val="bottom"/>
          </w:tcPr>
          <w:p>
            <w:pPr>
              <w:spacing w:after="0"/>
              <w:rPr>
                <w:sz w:val="12"/>
                <w:szCs w:val="12"/>
                <w:color w:val="auto"/>
              </w:rPr>
            </w:pPr>
          </w:p>
        </w:tc>
        <w:tc>
          <w:tcPr>
            <w:tcW w:w="1260" w:type="dxa"/>
            <w:vAlign w:val="bottom"/>
          </w:tcPr>
          <w:p>
            <w:pPr>
              <w:jc w:val="right"/>
              <w:ind w:right="46"/>
              <w:spacing w:after="0" w:line="139" w:lineRule="exact"/>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0" w:type="dxa"/>
            <w:vAlign w:val="bottom"/>
          </w:tcPr>
          <w:p>
            <w:pPr>
              <w:spacing w:after="0"/>
              <w:rPr>
                <w:sz w:val="1"/>
                <w:szCs w:val="1"/>
                <w:color w:val="auto"/>
              </w:rPr>
            </w:pPr>
          </w:p>
        </w:tc>
      </w:tr>
      <w:tr>
        <w:trPr>
          <w:trHeight w:val="184"/>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Hosted services – Business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63,949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52,232</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84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Professional services – Business</w:t>
            </w:r>
          </w:p>
        </w:tc>
        <w:tc>
          <w:tcPr>
            <w:tcW w:w="140" w:type="dxa"/>
            <w:vAlign w:val="bottom"/>
            <w:tcBorders>
              <w:bottom w:val="single" w:sz="8" w:color="CCFFCC"/>
            </w:tcBorders>
            <w:shd w:val="clear" w:color="auto" w:fill="CCFFCC"/>
          </w:tcPr>
          <w:p>
            <w:pPr>
              <w:spacing w:after="0"/>
              <w:rPr>
                <w:sz w:val="22"/>
                <w:szCs w:val="22"/>
                <w:color w:val="auto"/>
              </w:rPr>
            </w:pPr>
          </w:p>
        </w:tc>
        <w:tc>
          <w:tcPr>
            <w:tcW w:w="1340" w:type="dxa"/>
            <w:vAlign w:val="bottom"/>
            <w:tcBorders>
              <w:bottom w:val="single" w:sz="8" w:color="CCFFCC"/>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5,410</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2,783</w:t>
            </w:r>
          </w:p>
        </w:tc>
        <w:tc>
          <w:tcPr>
            <w:tcW w:w="0" w:type="dxa"/>
            <w:vAlign w:val="bottom"/>
          </w:tcPr>
          <w:p>
            <w:pPr>
              <w:spacing w:after="0"/>
              <w:rPr>
                <w:sz w:val="1"/>
                <w:szCs w:val="1"/>
                <w:color w:val="auto"/>
              </w:rPr>
            </w:pPr>
          </w:p>
        </w:tc>
      </w:tr>
      <w:tr>
        <w:trPr>
          <w:trHeight w:val="267"/>
        </w:trPr>
        <w:tc>
          <w:tcPr>
            <w:tcW w:w="8440" w:type="dxa"/>
            <w:vAlign w:val="bottom"/>
            <w:tcBorders>
              <w:bottom w:val="single" w:sz="8" w:color="CCFFCC"/>
            </w:tcBorders>
          </w:tcPr>
          <w:p>
            <w:pPr>
              <w:ind w:left="240"/>
              <w:spacing w:after="0"/>
              <w:rPr>
                <w:sz w:val="20"/>
                <w:szCs w:val="20"/>
                <w:color w:val="auto"/>
              </w:rPr>
            </w:pPr>
            <w:r>
              <w:rPr>
                <w:rFonts w:ascii="Times New Roman" w:cs="Times New Roman" w:eastAsia="Times New Roman" w:hAnsi="Times New Roman"/>
                <w:sz w:val="15"/>
                <w:szCs w:val="15"/>
                <w:color w:val="auto"/>
              </w:rPr>
              <w:t>Total deferred revenue - short term</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69,359</w:t>
            </w:r>
          </w:p>
        </w:tc>
        <w:tc>
          <w:tcPr>
            <w:tcW w:w="120" w:type="dxa"/>
            <w:vAlign w:val="bottom"/>
            <w:tcBorders>
              <w:bottom w:val="single" w:sz="8" w:color="CCFFCC"/>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55,015</w:t>
            </w:r>
          </w:p>
        </w:tc>
        <w:tc>
          <w:tcPr>
            <w:tcW w:w="0" w:type="dxa"/>
            <w:vAlign w:val="bottom"/>
          </w:tcPr>
          <w:p>
            <w:pPr>
              <w:spacing w:after="0"/>
              <w:rPr>
                <w:sz w:val="1"/>
                <w:szCs w:val="1"/>
                <w:color w:val="auto"/>
              </w:rPr>
            </w:pPr>
          </w:p>
        </w:tc>
      </w:tr>
      <w:tr>
        <w:trPr>
          <w:trHeight w:val="265"/>
        </w:trPr>
        <w:tc>
          <w:tcPr>
            <w:tcW w:w="844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3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6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8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Hosted services – Business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333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84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Professional services – Business</w:t>
            </w:r>
          </w:p>
        </w:tc>
        <w:tc>
          <w:tcPr>
            <w:tcW w:w="140" w:type="dxa"/>
            <w:vAlign w:val="bottom"/>
            <w:tcBorders>
              <w:bottom w:val="single" w:sz="8" w:color="CCFFCC"/>
            </w:tcBorders>
            <w:shd w:val="clear" w:color="auto" w:fill="CCFFCC"/>
          </w:tcPr>
          <w:p>
            <w:pPr>
              <w:spacing w:after="0"/>
              <w:rPr>
                <w:sz w:val="22"/>
                <w:szCs w:val="22"/>
                <w:color w:val="auto"/>
              </w:rPr>
            </w:pPr>
          </w:p>
        </w:tc>
        <w:tc>
          <w:tcPr>
            <w:tcW w:w="1340" w:type="dxa"/>
            <w:vAlign w:val="bottom"/>
            <w:tcBorders>
              <w:bottom w:val="single" w:sz="8" w:color="CCFFCC"/>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377</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227"/>
        </w:trPr>
        <w:tc>
          <w:tcPr>
            <w:tcW w:w="84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deferred revenue - long term</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710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222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Disaggregated Revenue</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Company's revenues disaggregated by revenue source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120" w:type="dxa"/>
            <w:vAlign w:val="bottom"/>
            <w:gridSpan w:val="4"/>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160" w:type="dxa"/>
            <w:vAlign w:val="bottom"/>
            <w:tcBorders>
              <w:bottom w:val="single" w:sz="8" w:color="CCFFCC"/>
            </w:tcBorders>
          </w:tcPr>
          <w:p>
            <w:pPr>
              <w:spacing w:after="0"/>
              <w:rPr>
                <w:sz w:val="21"/>
                <w:szCs w:val="21"/>
                <w:color w:val="auto"/>
              </w:rPr>
            </w:pPr>
          </w:p>
        </w:tc>
        <w:tc>
          <w:tcPr>
            <w:tcW w:w="6360" w:type="dxa"/>
            <w:vAlign w:val="bottom"/>
            <w:tcBorders>
              <w:bottom w:val="single" w:sz="8" w:color="CCFFC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FFC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FFC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FFC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2"/>
        </w:trPr>
        <w:tc>
          <w:tcPr>
            <w:tcW w:w="160" w:type="dxa"/>
            <w:vAlign w:val="bottom"/>
            <w:tcBorders>
              <w:bottom w:val="single" w:sz="8" w:color="CCFFCC"/>
            </w:tcBorders>
            <w:shd w:val="clear" w:color="auto" w:fill="CCFFCC"/>
          </w:tcPr>
          <w:p>
            <w:pPr>
              <w:spacing w:after="0"/>
              <w:rPr>
                <w:sz w:val="20"/>
                <w:szCs w:val="20"/>
                <w:color w:val="auto"/>
              </w:rPr>
            </w:pPr>
          </w:p>
        </w:tc>
        <w:tc>
          <w:tcPr>
            <w:tcW w:w="63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5"/>
                <w:szCs w:val="15"/>
                <w:color w:val="auto"/>
                <w:shd w:val="clear" w:color="auto" w:fill="CCFFCC"/>
              </w:rPr>
              <w:t>Revenue:</w:t>
            </w:r>
          </w:p>
        </w:tc>
        <w:tc>
          <w:tcPr>
            <w:tcW w:w="2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spacing w:after="0"/>
              <w:rPr>
                <w:sz w:val="20"/>
                <w:szCs w:val="20"/>
                <w:color w:val="auto"/>
              </w:rPr>
            </w:pPr>
          </w:p>
        </w:tc>
      </w:tr>
      <w:tr>
        <w:trPr>
          <w:trHeight w:val="224"/>
        </w:trPr>
        <w:tc>
          <w:tcPr>
            <w:tcW w:w="1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5"/>
                <w:szCs w:val="15"/>
                <w:color w:val="auto"/>
              </w:rPr>
              <w:t>Hosted services – Business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53,672</w:t>
            </w:r>
          </w:p>
        </w:tc>
        <w:tc>
          <w:tcPr>
            <w:tcW w:w="120" w:type="dxa"/>
            <w:vAlign w:val="bottom"/>
          </w:tcPr>
          <w:p>
            <w:pPr>
              <w:spacing w:after="0"/>
              <w:rPr>
                <w:sz w:val="19"/>
                <w:szCs w:val="19"/>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48,331</w:t>
            </w:r>
          </w:p>
        </w:tc>
        <w:tc>
          <w:tcPr>
            <w:tcW w:w="120" w:type="dxa"/>
            <w:vAlign w:val="bottom"/>
          </w:tcPr>
          <w:p>
            <w:pPr>
              <w:spacing w:after="0"/>
              <w:rPr>
                <w:sz w:val="19"/>
                <w:szCs w:val="19"/>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105,209</w:t>
            </w:r>
          </w:p>
        </w:tc>
        <w:tc>
          <w:tcPr>
            <w:tcW w:w="120" w:type="dxa"/>
            <w:vAlign w:val="bottom"/>
          </w:tcPr>
          <w:p>
            <w:pPr>
              <w:spacing w:after="0"/>
              <w:rPr>
                <w:sz w:val="19"/>
                <w:szCs w:val="19"/>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95,759</w:t>
            </w:r>
          </w:p>
        </w:tc>
      </w:tr>
      <w:tr>
        <w:trPr>
          <w:trHeight w:val="30"/>
        </w:trPr>
        <w:tc>
          <w:tcPr>
            <w:tcW w:w="1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4"/>
        </w:trPr>
        <w:tc>
          <w:tcPr>
            <w:tcW w:w="160" w:type="dxa"/>
            <w:vAlign w:val="bottom"/>
            <w:tcBorders>
              <w:bottom w:val="single" w:sz="8" w:color="CCFFCC"/>
            </w:tcBorders>
            <w:shd w:val="clear" w:color="auto" w:fill="CCFFCC"/>
          </w:tcPr>
          <w:p>
            <w:pPr>
              <w:spacing w:after="0"/>
              <w:rPr>
                <w:sz w:val="20"/>
                <w:szCs w:val="20"/>
                <w:color w:val="auto"/>
              </w:rPr>
            </w:pPr>
          </w:p>
        </w:tc>
        <w:tc>
          <w:tcPr>
            <w:tcW w:w="63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5"/>
                <w:szCs w:val="15"/>
                <w:color w:val="auto"/>
                <w:shd w:val="clear" w:color="auto" w:fill="CCFFCC"/>
              </w:rPr>
              <w:t>Hosted services – Consumer</w:t>
            </w:r>
          </w:p>
        </w:tc>
        <w:tc>
          <w:tcPr>
            <w:tcW w:w="2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6,124</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4,952</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11,531</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9,632</w:t>
            </w:r>
          </w:p>
        </w:tc>
      </w:tr>
      <w:tr>
        <w:trPr>
          <w:trHeight w:val="224"/>
        </w:trPr>
        <w:tc>
          <w:tcPr>
            <w:tcW w:w="1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5"/>
                <w:szCs w:val="15"/>
                <w:color w:val="auto"/>
              </w:rPr>
              <w:t>Professional services</w:t>
            </w:r>
          </w:p>
        </w:tc>
        <w:tc>
          <w:tcPr>
            <w:tcW w:w="220" w:type="dxa"/>
            <w:vAlign w:val="bottom"/>
          </w:tcPr>
          <w:p>
            <w:pPr>
              <w:spacing w:after="0"/>
              <w:rPr>
                <w:sz w:val="19"/>
                <w:szCs w:val="19"/>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11,163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8,377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20,621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14,510</w:t>
            </w:r>
          </w:p>
        </w:tc>
      </w:tr>
      <w:tr>
        <w:trPr>
          <w:trHeight w:val="30"/>
        </w:trPr>
        <w:tc>
          <w:tcPr>
            <w:tcW w:w="160" w:type="dxa"/>
            <w:vAlign w:val="bottom"/>
            <w:tcBorders>
              <w:bottom w:val="single" w:sz="8" w:color="CCFFCC"/>
            </w:tcBorders>
          </w:tcPr>
          <w:p>
            <w:pPr>
              <w:spacing w:after="0"/>
              <w:rPr>
                <w:sz w:val="2"/>
                <w:szCs w:val="2"/>
                <w:color w:val="auto"/>
              </w:rPr>
            </w:pPr>
          </w:p>
        </w:tc>
        <w:tc>
          <w:tcPr>
            <w:tcW w:w="63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9"/>
        </w:trPr>
        <w:tc>
          <w:tcPr>
            <w:tcW w:w="160" w:type="dxa"/>
            <w:vAlign w:val="bottom"/>
            <w:tcBorders>
              <w:bottom w:val="single" w:sz="8" w:color="CCFFCC"/>
            </w:tcBorders>
            <w:shd w:val="clear" w:color="auto" w:fill="CCFFCC"/>
          </w:tcPr>
          <w:p>
            <w:pPr>
              <w:spacing w:after="0"/>
              <w:rPr>
                <w:sz w:val="20"/>
                <w:szCs w:val="20"/>
                <w:color w:val="auto"/>
              </w:rPr>
            </w:pPr>
          </w:p>
        </w:tc>
        <w:tc>
          <w:tcPr>
            <w:tcW w:w="6360" w:type="dxa"/>
            <w:vAlign w:val="bottom"/>
            <w:tcBorders>
              <w:bottom w:val="single" w:sz="8" w:color="CCFFCC"/>
            </w:tcBorders>
            <w:shd w:val="clear" w:color="auto" w:fill="CCFFCC"/>
          </w:tcPr>
          <w:p>
            <w:pPr>
              <w:ind w:left="100"/>
              <w:spacing w:after="0"/>
              <w:rPr>
                <w:sz w:val="20"/>
                <w:szCs w:val="20"/>
                <w:color w:val="auto"/>
              </w:rPr>
            </w:pPr>
            <w:r>
              <w:rPr>
                <w:rFonts w:ascii="Times New Roman" w:cs="Times New Roman" w:eastAsia="Times New Roman" w:hAnsi="Times New Roman"/>
                <w:sz w:val="15"/>
                <w:szCs w:val="15"/>
                <w:color w:val="auto"/>
                <w:shd w:val="clear" w:color="auto" w:fill="CCFFCC"/>
              </w:rPr>
              <w:t>Total revenue</w:t>
            </w: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70,959</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61,660</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137,361</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119,901</w:t>
            </w:r>
          </w:p>
        </w:tc>
      </w:tr>
      <w:tr>
        <w:trPr>
          <w:trHeight w:val="20"/>
        </w:trPr>
        <w:tc>
          <w:tcPr>
            <w:tcW w:w="160" w:type="dxa"/>
            <w:vAlign w:val="bottom"/>
            <w:tcBorders>
              <w:top w:val="single" w:sz="8" w:color="CCFFCC"/>
            </w:tcBorders>
          </w:tcPr>
          <w:p>
            <w:pPr>
              <w:spacing w:after="0" w:line="20" w:lineRule="exact"/>
              <w:rPr>
                <w:sz w:val="1"/>
                <w:szCs w:val="1"/>
                <w:color w:val="auto"/>
              </w:rPr>
            </w:pPr>
          </w:p>
        </w:tc>
        <w:tc>
          <w:tcPr>
            <w:tcW w:w="63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by Geographic Location</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following table presents the Company’s revenues attributable to domestic and foreign operations for the periods presented (amounts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2"/>
        </w:trPr>
        <w:tc>
          <w:tcPr>
            <w:tcW w:w="6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30"/>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4"/>
        </w:trPr>
        <w:tc>
          <w:tcPr>
            <w:tcW w:w="6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41,315</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35,572</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79,904</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69,643</w:t>
            </w:r>
          </w:p>
        </w:tc>
      </w:tr>
      <w:tr>
        <w:trPr>
          <w:trHeight w:val="30"/>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65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 xml:space="preserve">Other Americas </w:t>
            </w:r>
            <w:r>
              <w:rPr>
                <w:rFonts w:ascii="Times New Roman" w:cs="Times New Roman" w:eastAsia="Times New Roman" w:hAnsi="Times New Roman"/>
                <w:sz w:val="20"/>
                <w:szCs w:val="20"/>
                <w:color w:val="auto"/>
                <w:vertAlign w:val="superscript"/>
              </w:rPr>
              <w:t>(1)</w:t>
            </w:r>
          </w:p>
        </w:tc>
        <w:tc>
          <w:tcPr>
            <w:tcW w:w="22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1,883</w:t>
            </w:r>
          </w:p>
        </w:tc>
        <w:tc>
          <w:tcPr>
            <w:tcW w:w="120" w:type="dxa"/>
            <w:vAlign w:val="bottom"/>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2,547</w:t>
            </w:r>
          </w:p>
        </w:tc>
        <w:tc>
          <w:tcPr>
            <w:tcW w:w="120" w:type="dxa"/>
            <w:vAlign w:val="bottom"/>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4,652</w:t>
            </w:r>
          </w:p>
        </w:tc>
        <w:tc>
          <w:tcPr>
            <w:tcW w:w="120" w:type="dxa"/>
            <w:vAlign w:val="bottom"/>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3,806</w:t>
            </w:r>
          </w:p>
        </w:tc>
      </w:tr>
      <w:tr>
        <w:trPr>
          <w:trHeight w:val="204"/>
        </w:trPr>
        <w:tc>
          <w:tcPr>
            <w:tcW w:w="6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Americas</w:t>
            </w:r>
          </w:p>
        </w:tc>
        <w:tc>
          <w:tcPr>
            <w:tcW w:w="220" w:type="dxa"/>
            <w:vAlign w:val="bottom"/>
          </w:tcPr>
          <w:p>
            <w:pPr>
              <w:spacing w:after="0"/>
              <w:rPr>
                <w:sz w:val="17"/>
                <w:szCs w:val="17"/>
                <w:color w:val="auto"/>
              </w:rPr>
            </w:pP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43,198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38,119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84,556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73,449</w:t>
            </w:r>
          </w:p>
        </w:tc>
      </w:tr>
      <w:tr>
        <w:trPr>
          <w:trHeight w:val="30"/>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6520" w:type="dxa"/>
            <w:vAlign w:val="bottom"/>
            <w:shd w:val="clear" w:color="auto" w:fill="CCFFCC"/>
          </w:tcPr>
          <w:p>
            <w:pPr>
              <w:ind w:left="20"/>
              <w:spacing w:after="0" w:line="253" w:lineRule="exact"/>
              <w:rPr>
                <w:sz w:val="20"/>
                <w:szCs w:val="20"/>
                <w:color w:val="auto"/>
              </w:rPr>
            </w:pPr>
            <w:r>
              <w:rPr>
                <w:rFonts w:ascii="Times New Roman" w:cs="Times New Roman" w:eastAsia="Times New Roman" w:hAnsi="Times New Roman"/>
                <w:sz w:val="29"/>
                <w:szCs w:val="29"/>
                <w:color w:val="auto"/>
                <w:vertAlign w:val="subscript"/>
              </w:rPr>
              <w:t>EMEA</w:t>
            </w:r>
            <w:r>
              <w:rPr>
                <w:rFonts w:ascii="Times New Roman" w:cs="Times New Roman" w:eastAsia="Times New Roman" w:hAnsi="Times New Roman"/>
                <w:sz w:val="10"/>
                <w:szCs w:val="10"/>
                <w:color w:val="auto"/>
              </w:rPr>
              <w:t xml:space="preserve"> (2) (4)</w:t>
            </w:r>
          </w:p>
        </w:tc>
        <w:tc>
          <w:tcPr>
            <w:tcW w:w="220" w:type="dxa"/>
            <w:vAlign w:val="bottom"/>
            <w:shd w:val="clear" w:color="auto" w:fill="CCFFCC"/>
          </w:tcPr>
          <w:p>
            <w:pPr>
              <w:spacing w:after="0"/>
              <w:rPr>
                <w:sz w:val="22"/>
                <w:szCs w:val="22"/>
                <w:color w:val="auto"/>
              </w:rPr>
            </w:pPr>
          </w:p>
        </w:tc>
        <w:tc>
          <w:tcPr>
            <w:tcW w:w="920" w:type="dxa"/>
            <w:vAlign w:val="bottom"/>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19,911</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17,519</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38,024</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34,438</w:t>
            </w:r>
          </w:p>
        </w:tc>
      </w:tr>
      <w:tr>
        <w:trPr>
          <w:trHeight w:val="254"/>
        </w:trPr>
        <w:tc>
          <w:tcPr>
            <w:tcW w:w="652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5"/>
                <w:szCs w:val="15"/>
                <w:color w:val="auto"/>
              </w:rPr>
              <w:t xml:space="preserve">APAC </w:t>
            </w:r>
            <w:r>
              <w:rPr>
                <w:rFonts w:ascii="Times New Roman" w:cs="Times New Roman" w:eastAsia="Times New Roman" w:hAnsi="Times New Roman"/>
                <w:sz w:val="20"/>
                <w:szCs w:val="20"/>
                <w:color w:val="auto"/>
                <w:vertAlign w:val="superscript"/>
              </w:rPr>
              <w:t>(3)</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7,850</w:t>
            </w:r>
          </w:p>
        </w:tc>
        <w:tc>
          <w:tcPr>
            <w:tcW w:w="12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6,022</w:t>
            </w:r>
          </w:p>
        </w:tc>
        <w:tc>
          <w:tcPr>
            <w:tcW w:w="12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14,781</w:t>
            </w:r>
          </w:p>
        </w:tc>
        <w:tc>
          <w:tcPr>
            <w:tcW w:w="12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12,014</w:t>
            </w:r>
          </w:p>
        </w:tc>
      </w:tr>
      <w:tr>
        <w:trPr>
          <w:trHeight w:val="227"/>
        </w:trPr>
        <w:tc>
          <w:tcPr>
            <w:tcW w:w="652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Total revenue</w:t>
            </w:r>
          </w:p>
        </w:tc>
        <w:tc>
          <w:tcPr>
            <w:tcW w:w="22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70,959</w:t>
            </w:r>
          </w:p>
        </w:tc>
        <w:tc>
          <w:tcPr>
            <w:tcW w:w="12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61,660</w:t>
            </w:r>
          </w:p>
        </w:tc>
        <w:tc>
          <w:tcPr>
            <w:tcW w:w="12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137,361</w:t>
            </w:r>
          </w:p>
        </w:tc>
        <w:tc>
          <w:tcPr>
            <w:tcW w:w="12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119,901</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160" w:hanging="158"/>
        <w:spacing w:after="0"/>
        <w:tabs>
          <w:tab w:leader="none" w:pos="16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Canada, Latin America and South America</w:t>
      </w:r>
    </w:p>
    <w:p>
      <w:pPr>
        <w:ind w:left="160" w:hanging="158"/>
        <w:spacing w:after="0" w:line="185" w:lineRule="auto"/>
        <w:tabs>
          <w:tab w:leader="none" w:pos="16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Europe, the Middle East and Africa (“EMEA”)</w:t>
      </w:r>
    </w:p>
    <w:p>
      <w:pPr>
        <w:ind w:left="160" w:hanging="158"/>
        <w:spacing w:after="0" w:line="189" w:lineRule="auto"/>
        <w:tabs>
          <w:tab w:leader="none" w:pos="16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Asia-Pacific (“APAC”)</w:t>
      </w:r>
    </w:p>
    <w:p>
      <w:pPr>
        <w:spacing w:after="0" w:line="9" w:lineRule="exact"/>
        <w:rPr>
          <w:rFonts w:ascii="Times New Roman" w:cs="Times New Roman" w:eastAsia="Times New Roman" w:hAnsi="Times New Roman"/>
          <w:sz w:val="20"/>
          <w:szCs w:val="20"/>
          <w:color w:val="auto"/>
          <w:vertAlign w:val="superscript"/>
        </w:rPr>
      </w:pPr>
    </w:p>
    <w:p>
      <w:pPr>
        <w:ind w:right="160" w:firstLine="2"/>
        <w:spacing w:after="0" w:line="255" w:lineRule="auto"/>
        <w:tabs>
          <w:tab w:leader="none" w:pos="157"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revenues from the United Kingdom of $13.0 million and $11.9 million for the three months ended June 30, 2019 and 2018, respectively, and $24.7 million and $23.5 million for the six months ended June 30, 2019 and 2018, respectively, and from the Netherlands of $2.6 million and $2.1 million for the three months ended June 30, 2019 and 2018, respectively, and $5.1 million and $4.0 million for the six months ended June 30, 2019 and 2018,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Information about Contract Balances</w:t>
      </w:r>
    </w:p>
    <w:p>
      <w:pPr>
        <w:spacing w:after="0" w:line="215" w:lineRule="exact"/>
        <w:rPr>
          <w:sz w:val="20"/>
          <w:szCs w:val="20"/>
          <w:color w:val="auto"/>
        </w:rPr>
      </w:pPr>
    </w:p>
    <w:p>
      <w:pPr>
        <w:ind w:firstLine="610"/>
        <w:spacing w:after="0" w:line="278" w:lineRule="auto"/>
        <w:rPr>
          <w:sz w:val="20"/>
          <w:szCs w:val="20"/>
          <w:color w:val="auto"/>
        </w:rPr>
      </w:pPr>
      <w:r>
        <w:rPr>
          <w:rFonts w:ascii="Times New Roman" w:cs="Times New Roman" w:eastAsia="Times New Roman" w:hAnsi="Times New Roman"/>
          <w:sz w:val="17"/>
          <w:szCs w:val="17"/>
          <w:color w:val="auto"/>
        </w:rPr>
        <w:t xml:space="preserve">Amounts collected in advance of services being provided are accounted for as deferred revenue. Nearly all of the Company's deferred revenue balance is related to </w:t>
      </w:r>
      <w:r>
        <w:rPr>
          <w:rFonts w:ascii="Times New Roman" w:cs="Times New Roman" w:eastAsia="Times New Roman" w:hAnsi="Times New Roman"/>
          <w:sz w:val="17"/>
          <w:szCs w:val="17"/>
          <w:i w:val="1"/>
          <w:iCs w:val="1"/>
          <w:color w:val="auto"/>
        </w:rPr>
        <w:t>Hosted Services- Business Revenue.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420"/>
          </w:cols>
          <w:pgMar w:left="240" w:top="170"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In some arrangements, the Company allows customers to pay for access to LiveEngage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consolidated balance sheet. The opening and closing balances of the Company's accounts receivable, unbilled receivables, and deferred revenues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2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Unbilled Receivable</w:t>
            </w:r>
          </w:p>
        </w:tc>
        <w:tc>
          <w:tcPr>
            <w:tcW w:w="140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w w:val="98"/>
              </w:rPr>
              <w:t>Prepaid Commissions</w:t>
            </w:r>
          </w:p>
        </w:tc>
        <w:tc>
          <w:tcPr>
            <w:tcW w:w="22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Deferred Revenue</w:t>
            </w:r>
          </w:p>
        </w:tc>
        <w:tc>
          <w:tcPr>
            <w:tcW w:w="140" w:type="dxa"/>
            <w:vAlign w:val="bottom"/>
          </w:tcPr>
          <w:p>
            <w:pPr>
              <w:spacing w:after="0"/>
              <w:rPr>
                <w:sz w:val="13"/>
                <w:szCs w:val="13"/>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w w:val="95"/>
              </w:rPr>
              <w:t>Deferred Revenue</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(current)</w:t>
            </w:r>
          </w:p>
        </w:tc>
        <w:tc>
          <w:tcPr>
            <w:tcW w:w="140" w:type="dxa"/>
            <w:vAlign w:val="bottom"/>
          </w:tcPr>
          <w:p>
            <w:pPr>
              <w:spacing w:after="0"/>
              <w:rPr>
                <w:sz w:val="16"/>
                <w:szCs w:val="16"/>
                <w:color w:val="auto"/>
              </w:rPr>
            </w:pPr>
          </w:p>
        </w:tc>
        <w:tc>
          <w:tcPr>
            <w:tcW w:w="1220" w:type="dxa"/>
            <w:vAlign w:val="bottom"/>
          </w:tcPr>
          <w:p>
            <w:pPr>
              <w:jc w:val="right"/>
              <w:ind w:right="267"/>
              <w:spacing w:after="0"/>
              <w:rPr>
                <w:sz w:val="20"/>
                <w:szCs w:val="20"/>
                <w:color w:val="auto"/>
              </w:rPr>
            </w:pPr>
            <w:r>
              <w:rPr>
                <w:rFonts w:ascii="Times New Roman" w:cs="Times New Roman" w:eastAsia="Times New Roman" w:hAnsi="Times New Roman"/>
                <w:sz w:val="14"/>
                <w:szCs w:val="14"/>
                <w:b w:val="1"/>
                <w:bCs w:val="1"/>
                <w:color w:val="auto"/>
              </w:rPr>
              <w:t>(long term)</w:t>
            </w:r>
          </w:p>
        </w:tc>
        <w:tc>
          <w:tcPr>
            <w:tcW w:w="0" w:type="dxa"/>
            <w:vAlign w:val="bottom"/>
          </w:tcPr>
          <w:p>
            <w:pPr>
              <w:spacing w:after="0"/>
              <w:rPr>
                <w:sz w:val="1"/>
                <w:szCs w:val="1"/>
                <w:color w:val="auto"/>
              </w:rPr>
            </w:pPr>
          </w:p>
        </w:tc>
      </w:tr>
      <w:tr>
        <w:trPr>
          <w:trHeight w:val="232"/>
        </w:trPr>
        <w:tc>
          <w:tcPr>
            <w:tcW w:w="41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Opening Balance as of December 31, 2018</w:t>
            </w:r>
          </w:p>
        </w:tc>
        <w:tc>
          <w:tcPr>
            <w:tcW w:w="460" w:type="dxa"/>
            <w:vAlign w:val="bottom"/>
            <w:tcBorders>
              <w:top w:val="single" w:sz="8" w:color="auto"/>
              <w:bottom w:val="single" w:sz="8" w:color="CCFFCC"/>
            </w:tcBorders>
            <w:shd w:val="clear" w:color="auto" w:fill="CCFFCC"/>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34,211</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CCFFCC"/>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11,812</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460" w:type="dxa"/>
            <w:vAlign w:val="bottom"/>
            <w:tcBorders>
              <w:top w:val="single" w:sz="8" w:color="auto"/>
              <w:bottom w:val="single" w:sz="8" w:color="CCFFCC"/>
            </w:tcBorders>
            <w:shd w:val="clear" w:color="auto" w:fill="CCFFCC"/>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CCFFCC"/>
            </w:tcBorders>
            <w:shd w:val="clear" w:color="auto" w:fill="CCFFCC"/>
          </w:tcPr>
          <w:p>
            <w:pPr>
              <w:jc w:val="right"/>
              <w:ind w:right="64"/>
              <w:spacing w:after="0"/>
              <w:rPr>
                <w:sz w:val="20"/>
                <w:szCs w:val="20"/>
                <w:color w:val="auto"/>
              </w:rPr>
            </w:pPr>
            <w:r>
              <w:rPr>
                <w:rFonts w:ascii="Times New Roman" w:cs="Times New Roman" w:eastAsia="Times New Roman" w:hAnsi="Times New Roman"/>
                <w:sz w:val="15"/>
                <w:szCs w:val="15"/>
                <w:color w:val="auto"/>
              </w:rPr>
              <w:t>13,361</w:t>
            </w:r>
          </w:p>
        </w:tc>
        <w:tc>
          <w:tcPr>
            <w:tcW w:w="2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CCFFCC"/>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55,015</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bottom w:val="single" w:sz="8" w:color="CCFFCC"/>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222</w:t>
            </w:r>
          </w:p>
        </w:tc>
        <w:tc>
          <w:tcPr>
            <w:tcW w:w="0" w:type="dxa"/>
            <w:vAlign w:val="bottom"/>
          </w:tcPr>
          <w:p>
            <w:pPr>
              <w:spacing w:after="0"/>
              <w:rPr>
                <w:sz w:val="1"/>
                <w:szCs w:val="1"/>
                <w:color w:val="auto"/>
              </w:rPr>
            </w:pPr>
          </w:p>
        </w:tc>
      </w:tr>
      <w:tr>
        <w:trPr>
          <w:trHeight w:val="224"/>
        </w:trPr>
        <w:tc>
          <w:tcPr>
            <w:tcW w:w="4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Increase (decrease), net</w:t>
            </w:r>
          </w:p>
        </w:tc>
        <w:tc>
          <w:tcPr>
            <w:tcW w:w="460" w:type="dxa"/>
            <w:vAlign w:val="bottom"/>
          </w:tcPr>
          <w:p>
            <w:pPr>
              <w:spacing w:after="0"/>
              <w:rPr>
                <w:sz w:val="19"/>
                <w:szCs w:val="19"/>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5,522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5,458</w:t>
            </w:r>
          </w:p>
        </w:tc>
        <w:tc>
          <w:tcPr>
            <w:tcW w:w="220" w:type="dxa"/>
            <w:vAlign w:val="bottom"/>
          </w:tcPr>
          <w:p>
            <w:pPr>
              <w:spacing w:after="0"/>
              <w:rPr>
                <w:sz w:val="19"/>
                <w:szCs w:val="19"/>
                <w:color w:val="auto"/>
              </w:rPr>
            </w:pP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14,344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488</w:t>
            </w:r>
          </w:p>
        </w:tc>
        <w:tc>
          <w:tcPr>
            <w:tcW w:w="0" w:type="dxa"/>
            <w:vAlign w:val="bottom"/>
          </w:tcPr>
          <w:p>
            <w:pPr>
              <w:spacing w:after="0"/>
              <w:rPr>
                <w:sz w:val="1"/>
                <w:szCs w:val="1"/>
                <w:color w:val="auto"/>
              </w:rPr>
            </w:pPr>
          </w:p>
        </w:tc>
      </w:tr>
      <w:tr>
        <w:trPr>
          <w:trHeight w:val="30"/>
        </w:trPr>
        <w:tc>
          <w:tcPr>
            <w:tcW w:w="412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Ending Balance as of June 30, 2019</w:t>
            </w:r>
          </w:p>
        </w:tc>
        <w:tc>
          <w:tcPr>
            <w:tcW w:w="460" w:type="dxa"/>
            <w:vAlign w:val="bottom"/>
            <w:tcBorders>
              <w:bottom w:val="single" w:sz="8" w:color="auto"/>
            </w:tcBorders>
            <w:shd w:val="clear" w:color="auto" w:fill="CCFFCC"/>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39,733</w:t>
            </w: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11,734</w:t>
            </w:r>
          </w:p>
        </w:tc>
        <w:tc>
          <w:tcPr>
            <w:tcW w:w="12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auto"/>
            </w:tcBorders>
            <w:shd w:val="clear" w:color="auto" w:fill="CCFFCC"/>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FFCC"/>
          </w:tcPr>
          <w:p>
            <w:pPr>
              <w:jc w:val="right"/>
              <w:ind w:right="64"/>
              <w:spacing w:after="0"/>
              <w:rPr>
                <w:sz w:val="20"/>
                <w:szCs w:val="20"/>
                <w:color w:val="auto"/>
              </w:rPr>
            </w:pPr>
            <w:r>
              <w:rPr>
                <w:rFonts w:ascii="Times New Roman" w:cs="Times New Roman" w:eastAsia="Times New Roman" w:hAnsi="Times New Roman"/>
                <w:sz w:val="15"/>
                <w:szCs w:val="15"/>
                <w:color w:val="auto"/>
              </w:rPr>
              <w:t>18,819</w:t>
            </w:r>
          </w:p>
        </w:tc>
        <w:tc>
          <w:tcPr>
            <w:tcW w:w="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69,359</w:t>
            </w: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710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2019, the Company expects to recognize the long term performance obligations in 2020.</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Net Loss Per Share</w:t>
      </w:r>
    </w:p>
    <w:p>
      <w:pPr>
        <w:spacing w:after="0" w:line="215"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7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Diluted net loss per common share for the three and six months ended June 30, 2019 does not include the effect of 9,286,508 outstanding common stock awards, as the effect of their inclusion is anti-dilutive. Diluted net loss per common share for the three and six months ended June 30, 2018 does not include the effect of 9,784,690 outstanding common stock awards, as the effect of their inclusion is anti-dilutive.</w:t>
      </w: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shares used in calculating basic and diluted net loss per share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5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380" w:type="dxa"/>
            <w:vAlign w:val="bottom"/>
            <w:gridSpan w:val="3"/>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65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11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62,350,787</w:t>
            </w:r>
          </w:p>
        </w:tc>
        <w:tc>
          <w:tcPr>
            <w:tcW w:w="120" w:type="dxa"/>
            <w:vAlign w:val="bottom"/>
          </w:tcPr>
          <w:p>
            <w:pPr>
              <w:spacing w:after="0"/>
              <w:rPr>
                <w:sz w:val="18"/>
                <w:szCs w:val="18"/>
                <w:color w:val="auto"/>
              </w:rPr>
            </w:pP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58,648,195</w:t>
            </w:r>
          </w:p>
        </w:tc>
        <w:tc>
          <w:tcPr>
            <w:tcW w:w="120" w:type="dxa"/>
            <w:vAlign w:val="bottom"/>
          </w:tcPr>
          <w:p>
            <w:pPr>
              <w:spacing w:after="0"/>
              <w:rPr>
                <w:sz w:val="18"/>
                <w:szCs w:val="18"/>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61,889,072</w:t>
            </w:r>
          </w:p>
        </w:tc>
        <w:tc>
          <w:tcPr>
            <w:tcW w:w="12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57,982,648</w:t>
            </w:r>
          </w:p>
        </w:tc>
      </w:tr>
      <w:tr>
        <w:trPr>
          <w:trHeight w:val="30"/>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4"/>
        </w:trPr>
        <w:tc>
          <w:tcPr>
            <w:tcW w:w="65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Effect of assumed exercised options</w:t>
            </w:r>
          </w:p>
        </w:tc>
        <w:tc>
          <w:tcPr>
            <w:tcW w:w="12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1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62,350,787</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58,648,195</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61,889,072</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57,982,648</w:t>
            </w:r>
          </w:p>
        </w:tc>
      </w:tr>
      <w:tr>
        <w:trPr>
          <w:trHeight w:val="20"/>
        </w:trPr>
        <w:tc>
          <w:tcPr>
            <w:tcW w:w="6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The Company expects to settle the principal amount of its outstanding Notes (as defined below) in cash and any excess in shares of the Company’s common stock. The Company uses the treasury stock method for calculating any potential dilutive effect of the conversion spread on diluted net income per share, if applicable. The conversion spread will have a dilutive impact on diluted net income per share of common stock when the average market price of the Company’s common stock for a given period exceeds the initial conversion price of $38.58 per share for the Notes. See Note 8 of the Notes to Condensed Consolidated Financial Statements for a full description of the Notes.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420"/>
          </w:cols>
          <w:pgMar w:left="240" w:top="170"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hanging="298"/>
        <w:spacing w:after="0"/>
        <w:tabs>
          <w:tab w:leader="none" w:pos="3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p>
    <w:p>
      <w:pPr>
        <w:spacing w:after="0" w:line="215"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79"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Summarized financial information by segment for the three months ended June 30, 2019, based on the Company’s internal financial reporting system utilized by the Company’s chief operating decision maker, follows (amounts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r>
      <w:tr>
        <w:trPr>
          <w:trHeight w:val="232"/>
        </w:trPr>
        <w:tc>
          <w:tcPr>
            <w:tcW w:w="61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240" w:type="dxa"/>
            <w:vAlign w:val="bottom"/>
            <w:tcBorders>
              <w:top w:val="single" w:sz="8" w:color="auto"/>
              <w:bottom w:val="single" w:sz="8" w:color="CCFFCC"/>
            </w:tcBorders>
            <w:shd w:val="clear" w:color="auto" w:fill="CCFFCC"/>
          </w:tcPr>
          <w:p>
            <w:pPr>
              <w:spacing w:after="0"/>
              <w:rPr>
                <w:sz w:val="20"/>
                <w:szCs w:val="20"/>
                <w:color w:val="auto"/>
              </w:rPr>
            </w:pPr>
          </w:p>
        </w:tc>
        <w:tc>
          <w:tcPr>
            <w:tcW w:w="102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0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spacing w:after="0"/>
              <w:rPr>
                <w:sz w:val="20"/>
                <w:szCs w:val="20"/>
                <w:color w:val="auto"/>
              </w:rPr>
            </w:pPr>
          </w:p>
        </w:tc>
        <w:tc>
          <w:tcPr>
            <w:tcW w:w="980" w:type="dxa"/>
            <w:vAlign w:val="bottom"/>
            <w:tcBorders>
              <w:top w:val="single" w:sz="8" w:color="auto"/>
              <w:bottom w:val="single" w:sz="8" w:color="CCFFCC"/>
            </w:tcBorders>
            <w:shd w:val="clear" w:color="auto" w:fill="CCFFCC"/>
          </w:tcPr>
          <w:p>
            <w:pPr>
              <w:spacing w:after="0"/>
              <w:rPr>
                <w:sz w:val="20"/>
                <w:szCs w:val="20"/>
                <w:color w:val="auto"/>
              </w:rPr>
            </w:pPr>
          </w:p>
        </w:tc>
      </w:tr>
      <w:tr>
        <w:trPr>
          <w:trHeight w:val="224"/>
        </w:trPr>
        <w:tc>
          <w:tcPr>
            <w:tcW w:w="6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Hosted services – Business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53,672</w:t>
            </w:r>
          </w:p>
        </w:tc>
        <w:tc>
          <w:tcPr>
            <w:tcW w:w="12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53,672</w:t>
            </w:r>
          </w:p>
        </w:tc>
      </w:tr>
      <w:tr>
        <w:trPr>
          <w:trHeight w:val="30"/>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4"/>
        </w:trPr>
        <w:tc>
          <w:tcPr>
            <w:tcW w:w="61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Hosted services – Consumer</w:t>
            </w:r>
          </w:p>
        </w:tc>
        <w:tc>
          <w:tcPr>
            <w:tcW w:w="24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6,124</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6,124</w:t>
            </w:r>
          </w:p>
        </w:tc>
      </w:tr>
      <w:tr>
        <w:trPr>
          <w:trHeight w:val="224"/>
        </w:trPr>
        <w:tc>
          <w:tcPr>
            <w:tcW w:w="6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Professional services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11,163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11,163</w:t>
            </w:r>
          </w:p>
        </w:tc>
      </w:tr>
      <w:tr>
        <w:trPr>
          <w:trHeight w:val="30"/>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4"/>
        </w:trPr>
        <w:tc>
          <w:tcPr>
            <w:tcW w:w="616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Total revenue</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64,835</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6,124</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70,959</w:t>
            </w:r>
          </w:p>
        </w:tc>
      </w:tr>
      <w:tr>
        <w:trPr>
          <w:trHeight w:val="204"/>
        </w:trPr>
        <w:tc>
          <w:tcPr>
            <w:tcW w:w="6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revenue</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16,960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1,089</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18,049</w:t>
            </w:r>
          </w:p>
        </w:tc>
      </w:tr>
      <w:tr>
        <w:trPr>
          <w:trHeight w:val="30"/>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4"/>
        </w:trPr>
        <w:tc>
          <w:tcPr>
            <w:tcW w:w="61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35,568</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3,775</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39,343</w:t>
            </w:r>
          </w:p>
        </w:tc>
      </w:tr>
      <w:tr>
        <w:trPr>
          <w:trHeight w:val="224"/>
        </w:trPr>
        <w:tc>
          <w:tcPr>
            <w:tcW w:w="6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of purchased intangibles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438</w:t>
            </w:r>
          </w:p>
        </w:tc>
      </w:tr>
      <w:tr>
        <w:trPr>
          <w:trHeight w:val="30"/>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4"/>
        </w:trPr>
        <w:tc>
          <w:tcPr>
            <w:tcW w:w="61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Unallocated corporate expenses</w:t>
            </w:r>
          </w:p>
        </w:tc>
        <w:tc>
          <w:tcPr>
            <w:tcW w:w="2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34,150</w:t>
            </w:r>
          </w:p>
        </w:tc>
        <w:tc>
          <w:tcPr>
            <w:tcW w:w="1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34,150</w:t>
            </w:r>
          </w:p>
        </w:tc>
      </w:tr>
      <w:tr>
        <w:trPr>
          <w:trHeight w:val="227"/>
        </w:trPr>
        <w:tc>
          <w:tcPr>
            <w:tcW w:w="61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 income (loss)</w:t>
            </w: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11,869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1,260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(34,150)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(21,021)</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Summarized financial information by segment for the three months ended June 30, 2018, based on the Company’s internal financial reporting system utilized by the Company’s chief operating decision maker, follows (amounts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6"/>
                <w:szCs w:val="16"/>
                <w:color w:val="auto"/>
              </w:rPr>
            </w:pPr>
          </w:p>
        </w:tc>
        <w:tc>
          <w:tcPr>
            <w:tcW w:w="106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2"/>
        </w:trPr>
        <w:tc>
          <w:tcPr>
            <w:tcW w:w="60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240" w:type="dxa"/>
            <w:vAlign w:val="bottom"/>
            <w:tcBorders>
              <w:top w:val="single" w:sz="8" w:color="auto"/>
              <w:bottom w:val="single" w:sz="8" w:color="CCFFCC"/>
            </w:tcBorders>
            <w:shd w:val="clear" w:color="auto" w:fill="CCFFCC"/>
          </w:tcPr>
          <w:p>
            <w:pPr>
              <w:spacing w:after="0"/>
              <w:rPr>
                <w:sz w:val="20"/>
                <w:szCs w:val="20"/>
                <w:color w:val="auto"/>
              </w:rPr>
            </w:pPr>
          </w:p>
        </w:tc>
        <w:tc>
          <w:tcPr>
            <w:tcW w:w="100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spacing w:after="0"/>
              <w:rPr>
                <w:sz w:val="20"/>
                <w:szCs w:val="20"/>
                <w:color w:val="auto"/>
              </w:rPr>
            </w:pPr>
          </w:p>
        </w:tc>
        <w:tc>
          <w:tcPr>
            <w:tcW w:w="1060" w:type="dxa"/>
            <w:vAlign w:val="bottom"/>
            <w:tcBorders>
              <w:top w:val="single" w:sz="8" w:color="auto"/>
              <w:bottom w:val="single" w:sz="8" w:color="CCFFCC"/>
            </w:tcBorders>
            <w:shd w:val="clear" w:color="auto" w:fill="CCFFCC"/>
          </w:tcPr>
          <w:p>
            <w:pPr>
              <w:spacing w:after="0"/>
              <w:rPr>
                <w:sz w:val="20"/>
                <w:szCs w:val="20"/>
                <w:color w:val="auto"/>
              </w:rPr>
            </w:pPr>
          </w:p>
        </w:tc>
      </w:tr>
      <w:tr>
        <w:trPr>
          <w:trHeight w:val="224"/>
        </w:trPr>
        <w:tc>
          <w:tcPr>
            <w:tcW w:w="6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Hosted services – Business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48,331</w:t>
            </w:r>
          </w:p>
        </w:tc>
        <w:tc>
          <w:tcPr>
            <w:tcW w:w="12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48,331</w:t>
            </w:r>
          </w:p>
        </w:tc>
      </w:tr>
      <w:tr>
        <w:trPr>
          <w:trHeight w:val="30"/>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60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Hosted services – Consumer</w:t>
            </w:r>
          </w:p>
        </w:tc>
        <w:tc>
          <w:tcPr>
            <w:tcW w:w="24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4,952</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4,952</w:t>
            </w:r>
          </w:p>
        </w:tc>
      </w:tr>
      <w:tr>
        <w:trPr>
          <w:trHeight w:val="224"/>
        </w:trPr>
        <w:tc>
          <w:tcPr>
            <w:tcW w:w="6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Professional services</w:t>
            </w:r>
          </w:p>
        </w:tc>
        <w:tc>
          <w:tcPr>
            <w:tcW w:w="240" w:type="dxa"/>
            <w:vAlign w:val="bottom"/>
          </w:tcPr>
          <w:p>
            <w:pPr>
              <w:spacing w:after="0"/>
              <w:rPr>
                <w:sz w:val="19"/>
                <w:szCs w:val="19"/>
                <w:color w:val="auto"/>
              </w:rPr>
            </w:pP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8,377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0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8,377</w:t>
            </w:r>
          </w:p>
        </w:tc>
      </w:tr>
      <w:tr>
        <w:trPr>
          <w:trHeight w:val="30"/>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606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Total revenue</w:t>
            </w:r>
          </w:p>
        </w:tc>
        <w:tc>
          <w:tcPr>
            <w:tcW w:w="24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56,708</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4,952</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61,660</w:t>
            </w:r>
          </w:p>
        </w:tc>
      </w:tr>
      <w:tr>
        <w:trPr>
          <w:trHeight w:val="204"/>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revenue</w:t>
            </w: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15,086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950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16,036</w:t>
            </w:r>
          </w:p>
        </w:tc>
      </w:tr>
      <w:tr>
        <w:trPr>
          <w:trHeight w:val="30"/>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60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24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23,339</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2,053</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25,392</w:t>
            </w:r>
          </w:p>
        </w:tc>
      </w:tr>
      <w:tr>
        <w:trPr>
          <w:trHeight w:val="224"/>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of purchased intangibles</w:t>
            </w:r>
          </w:p>
        </w:tc>
        <w:tc>
          <w:tcPr>
            <w:tcW w:w="240" w:type="dxa"/>
            <w:vAlign w:val="bottom"/>
          </w:tcPr>
          <w:p>
            <w:pPr>
              <w:spacing w:after="0"/>
              <w:rPr>
                <w:sz w:val="19"/>
                <w:szCs w:val="19"/>
                <w:color w:val="auto"/>
              </w:rPr>
            </w:pP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0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424</w:t>
            </w:r>
          </w:p>
        </w:tc>
      </w:tr>
      <w:tr>
        <w:trPr>
          <w:trHeight w:val="30"/>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4"/>
        </w:trPr>
        <w:tc>
          <w:tcPr>
            <w:tcW w:w="60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Unallocated corporate expenses</w:t>
            </w:r>
          </w:p>
        </w:tc>
        <w:tc>
          <w:tcPr>
            <w:tcW w:w="240" w:type="dxa"/>
            <w:vAlign w:val="bottom"/>
            <w:tcBorders>
              <w:bottom w:val="single" w:sz="8" w:color="CCFFCC"/>
            </w:tcBorders>
            <w:shd w:val="clear" w:color="auto" w:fill="CCFFCC"/>
          </w:tcPr>
          <w:p>
            <w:pPr>
              <w:spacing w:after="0"/>
              <w:rPr>
                <w:sz w:val="22"/>
                <w:szCs w:val="22"/>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27,624</w:t>
            </w:r>
          </w:p>
        </w:tc>
        <w:tc>
          <w:tcPr>
            <w:tcW w:w="10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27,624</w:t>
            </w:r>
          </w:p>
        </w:tc>
      </w:tr>
      <w:tr>
        <w:trPr>
          <w:trHeight w:val="227"/>
        </w:trPr>
        <w:tc>
          <w:tcPr>
            <w:tcW w:w="6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 income (loss)</w:t>
            </w: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17,859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1,949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(27,624)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(7,816)</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420"/>
          </w:cols>
          <w:pgMar w:left="240" w:top="170"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Summarized financial information by segment for the six months ended June 30, 2019, based on the Company’s internal financial reporting system utilized by the Company’s chief operating decision maker, follows (amounts in thousands):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96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r>
      <w:tr>
        <w:trPr>
          <w:trHeight w:val="232"/>
        </w:trPr>
        <w:tc>
          <w:tcPr>
            <w:tcW w:w="61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240" w:type="dxa"/>
            <w:vAlign w:val="bottom"/>
            <w:tcBorders>
              <w:top w:val="single" w:sz="8" w:color="auto"/>
              <w:bottom w:val="single" w:sz="8" w:color="CCFFCC"/>
            </w:tcBorders>
            <w:shd w:val="clear" w:color="auto" w:fill="CCFFCC"/>
          </w:tcPr>
          <w:p>
            <w:pPr>
              <w:spacing w:after="0"/>
              <w:rPr>
                <w:sz w:val="20"/>
                <w:szCs w:val="20"/>
                <w:color w:val="auto"/>
              </w:rPr>
            </w:pPr>
          </w:p>
        </w:tc>
        <w:tc>
          <w:tcPr>
            <w:tcW w:w="102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0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spacing w:after="0"/>
              <w:rPr>
                <w:sz w:val="20"/>
                <w:szCs w:val="20"/>
                <w:color w:val="auto"/>
              </w:rPr>
            </w:pPr>
          </w:p>
        </w:tc>
        <w:tc>
          <w:tcPr>
            <w:tcW w:w="960" w:type="dxa"/>
            <w:vAlign w:val="bottom"/>
            <w:tcBorders>
              <w:top w:val="single" w:sz="8" w:color="auto"/>
              <w:bottom w:val="single" w:sz="8" w:color="CCFFCC"/>
            </w:tcBorders>
            <w:shd w:val="clear" w:color="auto" w:fill="CCFFCC"/>
          </w:tcPr>
          <w:p>
            <w:pPr>
              <w:spacing w:after="0"/>
              <w:rPr>
                <w:sz w:val="20"/>
                <w:szCs w:val="20"/>
                <w:color w:val="auto"/>
              </w:rPr>
            </w:pPr>
          </w:p>
        </w:tc>
      </w:tr>
      <w:tr>
        <w:trPr>
          <w:trHeight w:val="224"/>
        </w:trPr>
        <w:tc>
          <w:tcPr>
            <w:tcW w:w="61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Hosted services – Business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105,209</w:t>
            </w:r>
          </w:p>
        </w:tc>
        <w:tc>
          <w:tcPr>
            <w:tcW w:w="12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105,209</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Hosted services – Consumer</w:t>
            </w:r>
          </w:p>
        </w:tc>
        <w:tc>
          <w:tcPr>
            <w:tcW w:w="24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11,531</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11,531</w:t>
            </w:r>
          </w:p>
        </w:tc>
      </w:tr>
      <w:tr>
        <w:trPr>
          <w:trHeight w:val="224"/>
        </w:trPr>
        <w:tc>
          <w:tcPr>
            <w:tcW w:w="61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Professional services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20,621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20,621</w:t>
            </w:r>
          </w:p>
        </w:tc>
      </w:tr>
      <w:tr>
        <w:trPr>
          <w:trHeight w:val="30"/>
        </w:trPr>
        <w:tc>
          <w:tcPr>
            <w:tcW w:w="61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Total revenue</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125,830</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11,531</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137,361</w:t>
            </w:r>
          </w:p>
        </w:tc>
      </w:tr>
      <w:tr>
        <w:trPr>
          <w:trHeight w:val="204"/>
        </w:trPr>
        <w:tc>
          <w:tcPr>
            <w:tcW w:w="6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revenue</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34,622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2,076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36,698</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65,660</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6,719</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72,379</w:t>
            </w: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of purchased intangibles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899</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4"/>
        </w:trPr>
        <w:tc>
          <w:tcPr>
            <w:tcW w:w="61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Unallocated corporate expenses</w:t>
            </w:r>
          </w:p>
        </w:tc>
        <w:tc>
          <w:tcPr>
            <w:tcW w:w="2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66,769</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66,769</w:t>
            </w:r>
          </w:p>
        </w:tc>
      </w:tr>
      <w:tr>
        <w:trPr>
          <w:trHeight w:val="227"/>
        </w:trPr>
        <w:tc>
          <w:tcPr>
            <w:tcW w:w="61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 income (loss)</w:t>
            </w: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24,649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2,736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(66,769)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(39,384)</w:t>
            </w: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Summarized financial information by segment for the six months ended June 30, 2018, based on the Company’s internal financial reporting system utilized by the Company’s chief operating decision maker, follows (amounts in thousands):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96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r>
      <w:tr>
        <w:trPr>
          <w:trHeight w:val="232"/>
        </w:trPr>
        <w:tc>
          <w:tcPr>
            <w:tcW w:w="61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240" w:type="dxa"/>
            <w:vAlign w:val="bottom"/>
            <w:tcBorders>
              <w:top w:val="single" w:sz="8" w:color="auto"/>
              <w:bottom w:val="single" w:sz="8" w:color="CCFFCC"/>
            </w:tcBorders>
            <w:shd w:val="clear" w:color="auto" w:fill="CCFFCC"/>
          </w:tcPr>
          <w:p>
            <w:pPr>
              <w:spacing w:after="0"/>
              <w:rPr>
                <w:sz w:val="20"/>
                <w:szCs w:val="20"/>
                <w:color w:val="auto"/>
              </w:rPr>
            </w:pPr>
          </w:p>
        </w:tc>
        <w:tc>
          <w:tcPr>
            <w:tcW w:w="102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0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spacing w:after="0"/>
              <w:rPr>
                <w:sz w:val="20"/>
                <w:szCs w:val="20"/>
                <w:color w:val="auto"/>
              </w:rPr>
            </w:pPr>
          </w:p>
        </w:tc>
        <w:tc>
          <w:tcPr>
            <w:tcW w:w="960" w:type="dxa"/>
            <w:vAlign w:val="bottom"/>
            <w:tcBorders>
              <w:top w:val="single" w:sz="8" w:color="auto"/>
              <w:bottom w:val="single" w:sz="8" w:color="CCFFCC"/>
            </w:tcBorders>
            <w:shd w:val="clear" w:color="auto" w:fill="CCFFCC"/>
          </w:tcPr>
          <w:p>
            <w:pPr>
              <w:spacing w:after="0"/>
              <w:rPr>
                <w:sz w:val="20"/>
                <w:szCs w:val="20"/>
                <w:color w:val="auto"/>
              </w:rPr>
            </w:pPr>
          </w:p>
        </w:tc>
      </w:tr>
      <w:tr>
        <w:trPr>
          <w:trHeight w:val="224"/>
        </w:trPr>
        <w:tc>
          <w:tcPr>
            <w:tcW w:w="61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Hosted services – Business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95,759</w:t>
            </w:r>
          </w:p>
        </w:tc>
        <w:tc>
          <w:tcPr>
            <w:tcW w:w="12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95,759</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Hosted services – Consumer</w:t>
            </w:r>
          </w:p>
        </w:tc>
        <w:tc>
          <w:tcPr>
            <w:tcW w:w="24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9,632</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9,632</w:t>
            </w:r>
          </w:p>
        </w:tc>
      </w:tr>
      <w:tr>
        <w:trPr>
          <w:trHeight w:val="224"/>
        </w:trPr>
        <w:tc>
          <w:tcPr>
            <w:tcW w:w="61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Professional services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14,510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14,510</w:t>
            </w:r>
          </w:p>
        </w:tc>
      </w:tr>
      <w:tr>
        <w:trPr>
          <w:trHeight w:val="30"/>
        </w:trPr>
        <w:tc>
          <w:tcPr>
            <w:tcW w:w="61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Total revenue</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110,269</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9,632</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119,901</w:t>
            </w:r>
          </w:p>
        </w:tc>
      </w:tr>
      <w:tr>
        <w:trPr>
          <w:trHeight w:val="204"/>
        </w:trPr>
        <w:tc>
          <w:tcPr>
            <w:tcW w:w="6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revenue</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28,004</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1,986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29,990</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45,062</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4,461</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49,523</w:t>
            </w: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of purchased intangibles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848</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4"/>
        </w:trPr>
        <w:tc>
          <w:tcPr>
            <w:tcW w:w="61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Unallocated corporate expenses</w:t>
            </w:r>
          </w:p>
        </w:tc>
        <w:tc>
          <w:tcPr>
            <w:tcW w:w="2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51,177</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51,177</w:t>
            </w:r>
          </w:p>
        </w:tc>
      </w:tr>
      <w:tr>
        <w:trPr>
          <w:trHeight w:val="227"/>
        </w:trPr>
        <w:tc>
          <w:tcPr>
            <w:tcW w:w="61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 income (loss)</w:t>
            </w: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36,355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3,185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(51,177)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(11,637)</w:t>
            </w: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Geographic Information</w:t>
      </w:r>
    </w:p>
    <w:p>
      <w:pPr>
        <w:spacing w:after="0" w:line="114"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The Company is domiciled in the United States and has international operations in Israel, the United Kingdom, Asia-Pacific and Australia, Latin America and Western Europe, particularly France, Germany and the Netherlands. The following table presents the Company’s long-lived assets by geographic region as of the dates presented (amounts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6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60"/>
        </w:trPr>
        <w:tc>
          <w:tcPr>
            <w:tcW w:w="8320" w:type="dxa"/>
            <w:vAlign w:val="bottom"/>
            <w:tcBorders>
              <w:bottom w:val="single" w:sz="8" w:color="CCFFC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0"/>
        </w:trPr>
        <w:tc>
          <w:tcPr>
            <w:tcW w:w="8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300" w:type="dxa"/>
            <w:vAlign w:val="bottom"/>
            <w:tcBorders>
              <w:bottom w:val="single" w:sz="8" w:color="CCFFCC"/>
            </w:tcBorders>
            <w:shd w:val="clear" w:color="auto" w:fill="CCFFCC"/>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FFCC"/>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142,116</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121,894</w:t>
            </w: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Israel</w:t>
            </w:r>
          </w:p>
        </w:tc>
        <w:tc>
          <w:tcPr>
            <w:tcW w:w="30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16,347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13,598</w:t>
            </w:r>
          </w:p>
        </w:tc>
      </w:tr>
      <w:tr>
        <w:trPr>
          <w:trHeight w:val="30"/>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Australia</w:t>
            </w:r>
          </w:p>
        </w:tc>
        <w:tc>
          <w:tcPr>
            <w:tcW w:w="30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9,429</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8,970</w:t>
            </w: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Netherlands</w:t>
            </w:r>
          </w:p>
        </w:tc>
        <w:tc>
          <w:tcPr>
            <w:tcW w:w="30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7,561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7,426</w:t>
            </w:r>
          </w:p>
        </w:tc>
      </w:tr>
      <w:tr>
        <w:trPr>
          <w:trHeight w:val="30"/>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(1)</w:t>
            </w:r>
          </w:p>
        </w:tc>
        <w:tc>
          <w:tcPr>
            <w:tcW w:w="300" w:type="dxa"/>
            <w:vAlign w:val="bottom"/>
            <w:tcBorders>
              <w:bottom w:val="single" w:sz="8" w:color="auto"/>
            </w:tcBorders>
            <w:shd w:val="clear" w:color="auto" w:fill="CCFFCC"/>
          </w:tcPr>
          <w:p>
            <w:pPr>
              <w:spacing w:after="0"/>
              <w:rPr>
                <w:sz w:val="22"/>
                <w:szCs w:val="22"/>
                <w:color w:val="auto"/>
              </w:rPr>
            </w:pPr>
          </w:p>
        </w:tc>
        <w:tc>
          <w:tcPr>
            <w:tcW w:w="1200" w:type="dxa"/>
            <w:vAlign w:val="bottom"/>
            <w:tcBorders>
              <w:bottom w:val="single" w:sz="8" w:color="auto"/>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9,055</w:t>
            </w:r>
          </w:p>
        </w:tc>
        <w:tc>
          <w:tcPr>
            <w:tcW w:w="100" w:type="dxa"/>
            <w:vAlign w:val="bottom"/>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spacing w:after="0"/>
              <w:rPr>
                <w:sz w:val="22"/>
                <w:szCs w:val="22"/>
                <w:color w:val="auto"/>
              </w:rPr>
            </w:pPr>
          </w:p>
        </w:tc>
        <w:tc>
          <w:tcPr>
            <w:tcW w:w="1260" w:type="dxa"/>
            <w:vAlign w:val="bottom"/>
            <w:tcBorders>
              <w:bottom w:val="single" w:sz="8" w:color="auto"/>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3,130</w:t>
            </w:r>
          </w:p>
        </w:tc>
      </w:tr>
      <w:tr>
        <w:trPr>
          <w:trHeight w:val="227"/>
        </w:trPr>
        <w:tc>
          <w:tcPr>
            <w:tcW w:w="83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long-lived assets</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184,508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155,018</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160" w:hanging="158"/>
        <w:spacing w:after="0"/>
        <w:tabs>
          <w:tab w:leader="none" w:pos="16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United Kingdom, Germany, Japan, France and Italy</w:t>
      </w:r>
    </w:p>
    <w:p>
      <w:pPr>
        <w:spacing w:after="0" w:line="128" w:lineRule="exact"/>
        <w:rPr>
          <w:sz w:val="20"/>
          <w:szCs w:val="20"/>
          <w:color w:val="auto"/>
        </w:rPr>
      </w:pPr>
    </w:p>
    <w:p>
      <w:pPr>
        <w:ind w:firstLine="610"/>
        <w:spacing w:after="0" w:line="278" w:lineRule="auto"/>
        <w:rPr>
          <w:sz w:val="20"/>
          <w:szCs w:val="20"/>
          <w:color w:val="auto"/>
        </w:rPr>
      </w:pPr>
      <w:r>
        <w:rPr>
          <w:rFonts w:ascii="Times New Roman" w:cs="Times New Roman" w:eastAsia="Times New Roman" w:hAnsi="Times New Roman"/>
          <w:sz w:val="17"/>
          <w:szCs w:val="17"/>
          <w:color w:val="auto"/>
        </w:rPr>
        <w:t>No individual customer accounted for 10% or more of consolidated revenue for any of the periods presented. No individual customer accounted for 10% or more of accounts receivable as of June 30, 2019. One customer exceeded 10% of our total accounts receivable as of December 31, 2018.</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420"/>
          </w:cols>
          <w:pgMar w:left="240" w:top="170" w:right="2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Goodwill and Intangible Assets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changes in the carrying amount of goodwill for the six months ended June 30, 2019 are as follows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0"/>
        </w:trPr>
        <w:tc>
          <w:tcPr>
            <w:tcW w:w="67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Balance as of December 31, 2018</w:t>
            </w:r>
          </w:p>
        </w:tc>
        <w:tc>
          <w:tcPr>
            <w:tcW w:w="300" w:type="dxa"/>
            <w:vAlign w:val="bottom"/>
            <w:tcBorders>
              <w:top w:val="single" w:sz="8" w:color="auto"/>
              <w:bottom w:val="single" w:sz="8" w:color="CCFFCC"/>
            </w:tcBorders>
            <w:shd w:val="clear" w:color="auto" w:fill="CCFFCC"/>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CCFFCC"/>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87,007</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CCFFCC"/>
            </w:tcBorders>
            <w:shd w:val="clear" w:color="auto" w:fill="CCFFC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8,024</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95,031</w:t>
            </w:r>
          </w:p>
        </w:tc>
      </w:tr>
      <w:tr>
        <w:trPr>
          <w:trHeight w:val="224"/>
        </w:trPr>
        <w:tc>
          <w:tcPr>
            <w:tcW w:w="6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Adjustments to goodwill:</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0"/>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4"/>
        </w:trPr>
        <w:tc>
          <w:tcPr>
            <w:tcW w:w="674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Foreign exchange adjustment</w:t>
            </w:r>
          </w:p>
        </w:tc>
        <w:tc>
          <w:tcPr>
            <w:tcW w:w="300" w:type="dxa"/>
            <w:vAlign w:val="bottom"/>
            <w:tcBorders>
              <w:bottom w:val="single" w:sz="8" w:color="CCFFCC"/>
            </w:tcBorders>
            <w:shd w:val="clear" w:color="auto" w:fill="CCFFCC"/>
          </w:tcPr>
          <w:p>
            <w:pPr>
              <w:spacing w:after="0"/>
              <w:rPr>
                <w:sz w:val="22"/>
                <w:szCs w:val="22"/>
                <w:color w:val="auto"/>
              </w:rPr>
            </w:pPr>
          </w:p>
        </w:tc>
        <w:tc>
          <w:tcPr>
            <w:tcW w:w="11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CCFFCC"/>
            </w:tcBorders>
            <w:shd w:val="clear" w:color="auto" w:fill="CCFFCC"/>
          </w:tcPr>
          <w:p>
            <w:pPr>
              <w:spacing w:after="0"/>
              <w:rPr>
                <w:sz w:val="22"/>
                <w:szCs w:val="22"/>
                <w:color w:val="auto"/>
              </w:rPr>
            </w:pPr>
          </w:p>
        </w:tc>
        <w:tc>
          <w:tcPr>
            <w:tcW w:w="13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June 30, 2019</w:t>
            </w: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86,992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8,024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95,016</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are summarized as follows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0"/>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Net Carrying</w:t>
            </w:r>
          </w:p>
        </w:tc>
        <w:tc>
          <w:tcPr>
            <w:tcW w:w="10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0"/>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0"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0" w:type="dxa"/>
            <w:vAlign w:val="bottom"/>
          </w:tcPr>
          <w:p>
            <w:pPr>
              <w:spacing w:after="0"/>
              <w:rPr>
                <w:sz w:val="1"/>
                <w:szCs w:val="1"/>
                <w:color w:val="auto"/>
              </w:rPr>
            </w:pPr>
          </w:p>
        </w:tc>
      </w:tr>
      <w:tr>
        <w:trPr>
          <w:trHeight w:val="184"/>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232"/>
        </w:trPr>
        <w:tc>
          <w:tcPr>
            <w:tcW w:w="68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0"/>
                <w:szCs w:val="20"/>
                <w:color w:val="auto"/>
              </w:rPr>
            </w:pPr>
          </w:p>
        </w:tc>
        <w:tc>
          <w:tcPr>
            <w:tcW w:w="76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spacing w:after="0"/>
              <w:rPr>
                <w:sz w:val="20"/>
                <w:szCs w:val="20"/>
                <w:color w:val="auto"/>
              </w:rPr>
            </w:pPr>
          </w:p>
        </w:tc>
        <w:tc>
          <w:tcPr>
            <w:tcW w:w="108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60" w:type="dxa"/>
            <w:vAlign w:val="bottom"/>
            <w:tcBorders>
              <w:top w:val="single" w:sz="8" w:color="auto"/>
              <w:bottom w:val="single" w:sz="8" w:color="CCFFCC"/>
            </w:tcBorders>
            <w:shd w:val="clear" w:color="auto" w:fill="CCFFCC"/>
          </w:tcPr>
          <w:p>
            <w:pPr>
              <w:spacing w:after="0"/>
              <w:rPr>
                <w:sz w:val="20"/>
                <w:szCs w:val="20"/>
                <w:color w:val="auto"/>
              </w:rPr>
            </w:pPr>
          </w:p>
        </w:tc>
        <w:tc>
          <w:tcPr>
            <w:tcW w:w="740" w:type="dxa"/>
            <w:vAlign w:val="bottom"/>
            <w:tcBorders>
              <w:top w:val="single" w:sz="8" w:color="auto"/>
              <w:bottom w:val="single" w:sz="8" w:color="CCFFCC"/>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140" w:type="dxa"/>
            <w:vAlign w:val="bottom"/>
            <w:tcBorders>
              <w:top w:val="single" w:sz="8" w:color="auto"/>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30,425</w:t>
            </w:r>
          </w:p>
        </w:tc>
        <w:tc>
          <w:tcPr>
            <w:tcW w:w="12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6,020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 years</w:t>
            </w:r>
          </w:p>
        </w:tc>
        <w:tc>
          <w:tcPr>
            <w:tcW w:w="0" w:type="dxa"/>
            <w:vAlign w:val="bottom"/>
          </w:tcPr>
          <w:p>
            <w:pPr>
              <w:spacing w:after="0"/>
              <w:rPr>
                <w:sz w:val="1"/>
                <w:szCs w:val="1"/>
                <w:color w:val="auto"/>
              </w:rPr>
            </w:pPr>
          </w:p>
        </w:tc>
      </w:tr>
      <w:tr>
        <w:trPr>
          <w:trHeight w:val="30"/>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Customer relationships</w:t>
            </w:r>
          </w:p>
        </w:tc>
        <w:tc>
          <w:tcPr>
            <w:tcW w:w="14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16,967</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(12,370)</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4,597</w:t>
            </w:r>
          </w:p>
        </w:tc>
        <w:tc>
          <w:tcPr>
            <w:tcW w:w="10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8.4 years</w:t>
            </w:r>
          </w:p>
        </w:tc>
        <w:tc>
          <w:tcPr>
            <w:tcW w:w="0" w:type="dxa"/>
            <w:vAlign w:val="bottom"/>
          </w:tcPr>
          <w:p>
            <w:pPr>
              <w:spacing w:after="0"/>
              <w:rPr>
                <w:sz w:val="1"/>
                <w:szCs w:val="1"/>
                <w:color w:val="auto"/>
              </w:rPr>
            </w:pPr>
          </w:p>
        </w:tc>
      </w:tr>
      <w:tr>
        <w:trPr>
          <w:trHeight w:val="224"/>
        </w:trPr>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Trade names</w:t>
            </w:r>
          </w:p>
        </w:tc>
        <w:tc>
          <w:tcPr>
            <w:tcW w:w="14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 years</w:t>
            </w:r>
          </w:p>
        </w:tc>
        <w:tc>
          <w:tcPr>
            <w:tcW w:w="0" w:type="dxa"/>
            <w:vAlign w:val="bottom"/>
          </w:tcPr>
          <w:p>
            <w:pPr>
              <w:spacing w:after="0"/>
              <w:rPr>
                <w:sz w:val="1"/>
                <w:szCs w:val="1"/>
                <w:color w:val="auto"/>
              </w:rPr>
            </w:pPr>
          </w:p>
        </w:tc>
      </w:tr>
      <w:tr>
        <w:trPr>
          <w:trHeight w:val="30"/>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Non-compete agreements</w:t>
            </w:r>
          </w:p>
        </w:tc>
        <w:tc>
          <w:tcPr>
            <w:tcW w:w="14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1,436</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(1,436)</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2.3 years</w:t>
            </w:r>
          </w:p>
        </w:tc>
        <w:tc>
          <w:tcPr>
            <w:tcW w:w="0" w:type="dxa"/>
            <w:vAlign w:val="bottom"/>
          </w:tcPr>
          <w:p>
            <w:pPr>
              <w:spacing w:after="0"/>
              <w:rPr>
                <w:sz w:val="1"/>
                <w:szCs w:val="1"/>
                <w:color w:val="auto"/>
              </w:rPr>
            </w:pPr>
          </w:p>
        </w:tc>
      </w:tr>
      <w:tr>
        <w:trPr>
          <w:trHeight w:val="224"/>
        </w:trPr>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Patents</w:t>
            </w:r>
          </w:p>
        </w:tc>
        <w:tc>
          <w:tcPr>
            <w:tcW w:w="14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2,634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2,008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 years</w:t>
            </w:r>
          </w:p>
        </w:tc>
        <w:tc>
          <w:tcPr>
            <w:tcW w:w="0" w:type="dxa"/>
            <w:vAlign w:val="bottom"/>
          </w:tcPr>
          <w:p>
            <w:pPr>
              <w:spacing w:after="0"/>
              <w:rPr>
                <w:sz w:val="1"/>
                <w:szCs w:val="1"/>
                <w:color w:val="auto"/>
              </w:rPr>
            </w:pPr>
          </w:p>
        </w:tc>
      </w:tr>
      <w:tr>
        <w:trPr>
          <w:trHeight w:val="30"/>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tcBorders>
              <w:bottom w:val="single" w:sz="8" w:color="CCFFCC"/>
            </w:tcBorders>
            <w:shd w:val="clear" w:color="auto" w:fill="CCFFCC"/>
          </w:tcPr>
          <w:p>
            <w:pPr>
              <w:spacing w:after="0"/>
              <w:rPr>
                <w:sz w:val="22"/>
                <w:szCs w:val="22"/>
                <w:color w:val="auto"/>
              </w:rPr>
            </w:pPr>
          </w:p>
        </w:tc>
        <w:tc>
          <w:tcPr>
            <w:tcW w:w="7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262</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2.7 years</w:t>
            </w:r>
          </w:p>
        </w:tc>
        <w:tc>
          <w:tcPr>
            <w:tcW w:w="0" w:type="dxa"/>
            <w:vAlign w:val="bottom"/>
          </w:tcPr>
          <w:p>
            <w:pPr>
              <w:spacing w:after="0"/>
              <w:rPr>
                <w:sz w:val="1"/>
                <w:szCs w:val="1"/>
                <w:color w:val="auto"/>
              </w:rPr>
            </w:pPr>
          </w:p>
        </w:tc>
      </w:tr>
      <w:tr>
        <w:trPr>
          <w:trHeight w:val="227"/>
        </w:trPr>
        <w:tc>
          <w:tcPr>
            <w:tcW w:w="68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53,010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(40,358)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12,652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6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0"/>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Net Carrying</w:t>
            </w:r>
          </w:p>
        </w:tc>
        <w:tc>
          <w:tcPr>
            <w:tcW w:w="10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0"/>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0"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0" w:type="dxa"/>
            <w:vAlign w:val="bottom"/>
          </w:tcPr>
          <w:p>
            <w:pPr>
              <w:spacing w:after="0"/>
              <w:rPr>
                <w:sz w:val="1"/>
                <w:szCs w:val="1"/>
                <w:color w:val="auto"/>
              </w:rPr>
            </w:pPr>
          </w:p>
        </w:tc>
      </w:tr>
      <w:tr>
        <w:trPr>
          <w:trHeight w:val="184"/>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232"/>
        </w:trPr>
        <w:tc>
          <w:tcPr>
            <w:tcW w:w="68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0"/>
                <w:szCs w:val="20"/>
                <w:color w:val="auto"/>
              </w:rPr>
            </w:pPr>
          </w:p>
        </w:tc>
        <w:tc>
          <w:tcPr>
            <w:tcW w:w="76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spacing w:after="0"/>
              <w:rPr>
                <w:sz w:val="20"/>
                <w:szCs w:val="20"/>
                <w:color w:val="auto"/>
              </w:rPr>
            </w:pPr>
          </w:p>
        </w:tc>
        <w:tc>
          <w:tcPr>
            <w:tcW w:w="108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60" w:type="dxa"/>
            <w:vAlign w:val="bottom"/>
            <w:tcBorders>
              <w:top w:val="single" w:sz="8" w:color="auto"/>
              <w:bottom w:val="single" w:sz="8" w:color="CCFFCC"/>
            </w:tcBorders>
            <w:shd w:val="clear" w:color="auto" w:fill="CCFFCC"/>
          </w:tcPr>
          <w:p>
            <w:pPr>
              <w:spacing w:after="0"/>
              <w:rPr>
                <w:sz w:val="20"/>
                <w:szCs w:val="20"/>
                <w:color w:val="auto"/>
              </w:rPr>
            </w:pPr>
          </w:p>
        </w:tc>
        <w:tc>
          <w:tcPr>
            <w:tcW w:w="740" w:type="dxa"/>
            <w:vAlign w:val="bottom"/>
            <w:tcBorders>
              <w:top w:val="single" w:sz="8" w:color="auto"/>
              <w:bottom w:val="single" w:sz="8" w:color="CCFFCC"/>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140" w:type="dxa"/>
            <w:vAlign w:val="bottom"/>
            <w:tcBorders>
              <w:top w:val="single" w:sz="8" w:color="auto"/>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30,447</w:t>
            </w:r>
          </w:p>
        </w:tc>
        <w:tc>
          <w:tcPr>
            <w:tcW w:w="12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6,832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 years</w:t>
            </w:r>
          </w:p>
        </w:tc>
        <w:tc>
          <w:tcPr>
            <w:tcW w:w="0" w:type="dxa"/>
            <w:vAlign w:val="bottom"/>
          </w:tcPr>
          <w:p>
            <w:pPr>
              <w:spacing w:after="0"/>
              <w:rPr>
                <w:sz w:val="1"/>
                <w:szCs w:val="1"/>
                <w:color w:val="auto"/>
              </w:rPr>
            </w:pPr>
          </w:p>
        </w:tc>
      </w:tr>
      <w:tr>
        <w:trPr>
          <w:trHeight w:val="30"/>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Customer relationships</w:t>
            </w:r>
          </w:p>
        </w:tc>
        <w:tc>
          <w:tcPr>
            <w:tcW w:w="14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17,219</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(11,786)</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5,433</w:t>
            </w:r>
          </w:p>
        </w:tc>
        <w:tc>
          <w:tcPr>
            <w:tcW w:w="10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8.4 years</w:t>
            </w:r>
          </w:p>
        </w:tc>
        <w:tc>
          <w:tcPr>
            <w:tcW w:w="0" w:type="dxa"/>
            <w:vAlign w:val="bottom"/>
          </w:tcPr>
          <w:p>
            <w:pPr>
              <w:spacing w:after="0"/>
              <w:rPr>
                <w:sz w:val="1"/>
                <w:szCs w:val="1"/>
                <w:color w:val="auto"/>
              </w:rPr>
            </w:pPr>
          </w:p>
        </w:tc>
      </w:tr>
      <w:tr>
        <w:trPr>
          <w:trHeight w:val="224"/>
        </w:trPr>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Trade names</w:t>
            </w:r>
          </w:p>
        </w:tc>
        <w:tc>
          <w:tcPr>
            <w:tcW w:w="14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 years</w:t>
            </w:r>
          </w:p>
        </w:tc>
        <w:tc>
          <w:tcPr>
            <w:tcW w:w="0" w:type="dxa"/>
            <w:vAlign w:val="bottom"/>
          </w:tcPr>
          <w:p>
            <w:pPr>
              <w:spacing w:after="0"/>
              <w:rPr>
                <w:sz w:val="1"/>
                <w:szCs w:val="1"/>
                <w:color w:val="auto"/>
              </w:rPr>
            </w:pPr>
          </w:p>
        </w:tc>
      </w:tr>
      <w:tr>
        <w:trPr>
          <w:trHeight w:val="30"/>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Non-compete agreements</w:t>
            </w:r>
          </w:p>
        </w:tc>
        <w:tc>
          <w:tcPr>
            <w:tcW w:w="14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1,436</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(1,436)</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2.3 years</w:t>
            </w:r>
          </w:p>
        </w:tc>
        <w:tc>
          <w:tcPr>
            <w:tcW w:w="0" w:type="dxa"/>
            <w:vAlign w:val="bottom"/>
          </w:tcPr>
          <w:p>
            <w:pPr>
              <w:spacing w:after="0"/>
              <w:rPr>
                <w:sz w:val="1"/>
                <w:szCs w:val="1"/>
                <w:color w:val="auto"/>
              </w:rPr>
            </w:pPr>
          </w:p>
        </w:tc>
      </w:tr>
      <w:tr>
        <w:trPr>
          <w:trHeight w:val="224"/>
        </w:trPr>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Patents</w:t>
            </w:r>
          </w:p>
        </w:tc>
        <w:tc>
          <w:tcPr>
            <w:tcW w:w="14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1,540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 years</w:t>
            </w:r>
          </w:p>
        </w:tc>
        <w:tc>
          <w:tcPr>
            <w:tcW w:w="0" w:type="dxa"/>
            <w:vAlign w:val="bottom"/>
          </w:tcPr>
          <w:p>
            <w:pPr>
              <w:spacing w:after="0"/>
              <w:rPr>
                <w:sz w:val="1"/>
                <w:szCs w:val="1"/>
                <w:color w:val="auto"/>
              </w:rPr>
            </w:pPr>
          </w:p>
        </w:tc>
      </w:tr>
      <w:tr>
        <w:trPr>
          <w:trHeight w:val="30"/>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tcBorders>
              <w:bottom w:val="single" w:sz="8" w:color="CCFFCC"/>
            </w:tcBorders>
            <w:shd w:val="clear" w:color="auto" w:fill="CCFFCC"/>
          </w:tcPr>
          <w:p>
            <w:pPr>
              <w:spacing w:after="0"/>
              <w:rPr>
                <w:sz w:val="22"/>
                <w:szCs w:val="22"/>
                <w:color w:val="auto"/>
              </w:rPr>
            </w:pPr>
          </w:p>
        </w:tc>
        <w:tc>
          <w:tcPr>
            <w:tcW w:w="7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262</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4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2.7 years</w:t>
            </w:r>
          </w:p>
        </w:tc>
        <w:tc>
          <w:tcPr>
            <w:tcW w:w="0" w:type="dxa"/>
            <w:vAlign w:val="bottom"/>
          </w:tcPr>
          <w:p>
            <w:pPr>
              <w:spacing w:after="0"/>
              <w:rPr>
                <w:sz w:val="1"/>
                <w:szCs w:val="1"/>
                <w:color w:val="auto"/>
              </w:rPr>
            </w:pPr>
          </w:p>
        </w:tc>
      </w:tr>
      <w:tr>
        <w:trPr>
          <w:trHeight w:val="227"/>
        </w:trPr>
        <w:tc>
          <w:tcPr>
            <w:tcW w:w="68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52,724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(38,892)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13,832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400"/>
          </w:cols>
          <w:pgMar w:left="240" w:top="170" w:right="2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Amortization expense is calculated over the estimated useful life of the asset. Aggregate amortization expense for intangible assets was $0.7 million for the three months ended June 30, 2019 and 2018, respectively, and $1.5 million and $1.4 million for the six months ended June 30, 2019 and 2018, respectively. For the three and six months ended June 30, 2019 and 2018, respectively, a portion of this amortization is included in cost of revenue. Estimated amortization expense for the next five years is as follows (amounts in thousands):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340" w:type="dxa"/>
            <w:vAlign w:val="bottom"/>
            <w:tcBorders>
              <w:bottom w:val="single" w:sz="8" w:color="CCFFCC"/>
            </w:tcBorders>
          </w:tcPr>
          <w:p>
            <w:pPr>
              <w:spacing w:after="0"/>
              <w:rPr>
                <w:sz w:val="16"/>
                <w:szCs w:val="16"/>
                <w:color w:val="auto"/>
              </w:rPr>
            </w:pPr>
          </w:p>
        </w:tc>
        <w:tc>
          <w:tcPr>
            <w:tcW w:w="20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99"/>
              </w:rPr>
              <w:t>Estimated Amortization Expense</w:t>
            </w:r>
          </w:p>
        </w:tc>
      </w:tr>
      <w:tr>
        <w:trPr>
          <w:trHeight w:val="220"/>
        </w:trPr>
        <w:tc>
          <w:tcPr>
            <w:tcW w:w="93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Remaining 2019</w:t>
            </w:r>
          </w:p>
        </w:tc>
        <w:tc>
          <w:tcPr>
            <w:tcW w:w="820" w:type="dxa"/>
            <w:vAlign w:val="bottom"/>
            <w:tcBorders>
              <w:bottom w:val="single" w:sz="8" w:color="CCFFCC"/>
            </w:tcBorders>
            <w:shd w:val="clear" w:color="auto" w:fill="CCFFCC"/>
          </w:tcPr>
          <w:p>
            <w:pPr>
              <w:jc w:val="right"/>
              <w:ind w:right="647"/>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1,451</w:t>
            </w:r>
          </w:p>
        </w:tc>
      </w:tr>
      <w:tr>
        <w:trPr>
          <w:trHeight w:val="211"/>
        </w:trPr>
        <w:tc>
          <w:tcPr>
            <w:tcW w:w="9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2020</w:t>
            </w:r>
          </w:p>
        </w:tc>
        <w:tc>
          <w:tcPr>
            <w:tcW w:w="82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2,714</w:t>
            </w:r>
          </w:p>
        </w:tc>
      </w:tr>
      <w:tr>
        <w:trPr>
          <w:trHeight w:val="30"/>
        </w:trPr>
        <w:tc>
          <w:tcPr>
            <w:tcW w:w="9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1"/>
        </w:trPr>
        <w:tc>
          <w:tcPr>
            <w:tcW w:w="93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8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2,502</w:t>
            </w:r>
          </w:p>
        </w:tc>
      </w:tr>
      <w:tr>
        <w:trPr>
          <w:trHeight w:val="211"/>
        </w:trPr>
        <w:tc>
          <w:tcPr>
            <w:tcW w:w="9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82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2,143</w:t>
            </w:r>
          </w:p>
        </w:tc>
      </w:tr>
      <w:tr>
        <w:trPr>
          <w:trHeight w:val="30"/>
        </w:trPr>
        <w:tc>
          <w:tcPr>
            <w:tcW w:w="9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1"/>
        </w:trPr>
        <w:tc>
          <w:tcPr>
            <w:tcW w:w="93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8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897</w:t>
            </w:r>
          </w:p>
        </w:tc>
      </w:tr>
      <w:tr>
        <w:trPr>
          <w:trHeight w:val="211"/>
        </w:trPr>
        <w:tc>
          <w:tcPr>
            <w:tcW w:w="9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82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2,945</w:t>
            </w:r>
          </w:p>
        </w:tc>
      </w:tr>
      <w:tr>
        <w:trPr>
          <w:trHeight w:val="30"/>
        </w:trPr>
        <w:tc>
          <w:tcPr>
            <w:tcW w:w="934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9340" w:type="dxa"/>
            <w:vAlign w:val="bottom"/>
            <w:tcBorders>
              <w:bottom w:val="single" w:sz="8" w:color="CCFFCC"/>
            </w:tcBorders>
            <w:shd w:val="clear" w:color="auto" w:fill="CCFFCC"/>
          </w:tcPr>
          <w:p>
            <w:pPr>
              <w:ind w:left="240"/>
              <w:spacing w:after="0"/>
              <w:rPr>
                <w:sz w:val="20"/>
                <w:szCs w:val="20"/>
                <w:color w:val="auto"/>
              </w:rPr>
            </w:pPr>
            <w:r>
              <w:rPr>
                <w:rFonts w:ascii="Times New Roman" w:cs="Times New Roman" w:eastAsia="Times New Roman" w:hAnsi="Times New Roman"/>
                <w:sz w:val="15"/>
                <w:szCs w:val="15"/>
                <w:color w:val="auto"/>
              </w:rPr>
              <w:t>Total</w:t>
            </w:r>
          </w:p>
        </w:tc>
        <w:tc>
          <w:tcPr>
            <w:tcW w:w="820" w:type="dxa"/>
            <w:vAlign w:val="bottom"/>
            <w:tcBorders>
              <w:bottom w:val="single" w:sz="8" w:color="auto"/>
            </w:tcBorders>
            <w:shd w:val="clear" w:color="auto" w:fill="CCFFCC"/>
          </w:tcPr>
          <w:p>
            <w:pPr>
              <w:jc w:val="right"/>
              <w:ind w:right="647"/>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12,652</w:t>
            </w:r>
          </w:p>
        </w:tc>
      </w:tr>
      <w:tr>
        <w:trPr>
          <w:trHeight w:val="20"/>
        </w:trPr>
        <w:tc>
          <w:tcPr>
            <w:tcW w:w="9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 w:hanging="298"/>
        <w:spacing w:after="0"/>
        <w:tabs>
          <w:tab w:leader="none" w:pos="30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detail of property and equipment for the periods presented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832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0"/>
        </w:trPr>
        <w:tc>
          <w:tcPr>
            <w:tcW w:w="8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Computer equipment and software</w:t>
            </w:r>
          </w:p>
        </w:tc>
        <w:tc>
          <w:tcPr>
            <w:tcW w:w="300" w:type="dxa"/>
            <w:vAlign w:val="bottom"/>
            <w:tcBorders>
              <w:bottom w:val="single" w:sz="8" w:color="CCFFCC"/>
            </w:tcBorders>
            <w:shd w:val="clear" w:color="auto" w:fill="CCFFCC"/>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FFCC"/>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82,550</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79,161</w:t>
            </w: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Internal-use software development costs</w:t>
            </w:r>
          </w:p>
        </w:tc>
        <w:tc>
          <w:tcPr>
            <w:tcW w:w="30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36,048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19,240</w:t>
            </w:r>
          </w:p>
        </w:tc>
      </w:tr>
      <w:tr>
        <w:trPr>
          <w:trHeight w:val="30"/>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Furniture, equipment and building improvements</w:t>
            </w:r>
          </w:p>
        </w:tc>
        <w:tc>
          <w:tcPr>
            <w:tcW w:w="30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16,067</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14,132</w:t>
            </w:r>
          </w:p>
        </w:tc>
      </w:tr>
      <w:tr>
        <w:trPr>
          <w:trHeight w:val="204"/>
        </w:trPr>
        <w:tc>
          <w:tcPr>
            <w:tcW w:w="8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134,665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112,533</w:t>
            </w:r>
          </w:p>
        </w:tc>
      </w:tr>
      <w:tr>
        <w:trPr>
          <w:trHeight w:val="30"/>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30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6"/>
              <w:spacing w:after="0"/>
              <w:rPr>
                <w:sz w:val="20"/>
                <w:szCs w:val="20"/>
                <w:color w:val="auto"/>
              </w:rPr>
            </w:pPr>
            <w:r>
              <w:rPr>
                <w:rFonts w:ascii="Times New Roman" w:cs="Times New Roman" w:eastAsia="Times New Roman" w:hAnsi="Times New Roman"/>
                <w:sz w:val="15"/>
                <w:szCs w:val="15"/>
                <w:color w:val="auto"/>
              </w:rPr>
              <w:t>(76,371)</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(68,798)</w:t>
            </w:r>
          </w:p>
        </w:tc>
      </w:tr>
      <w:tr>
        <w:trPr>
          <w:trHeight w:val="227"/>
        </w:trPr>
        <w:tc>
          <w:tcPr>
            <w:tcW w:w="83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58,294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43,735</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 w:hanging="298"/>
        <w:spacing w:after="0"/>
        <w:tabs>
          <w:tab w:leader="none" w:pos="30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Expenses and Other Current Liabilities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detail of accrued expenses and other current liabilities for the periods presented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832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0"/>
        </w:trPr>
        <w:tc>
          <w:tcPr>
            <w:tcW w:w="8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Payroll and other employee related costs</w:t>
            </w:r>
          </w:p>
        </w:tc>
        <w:tc>
          <w:tcPr>
            <w:tcW w:w="300" w:type="dxa"/>
            <w:vAlign w:val="bottom"/>
            <w:tcBorders>
              <w:bottom w:val="single" w:sz="8" w:color="CCFFCC"/>
            </w:tcBorders>
            <w:shd w:val="clear" w:color="auto" w:fill="CCFFCC"/>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16,545</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19,014</w:t>
            </w: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Professional services and consulting and other vendor fees</w:t>
            </w:r>
          </w:p>
        </w:tc>
        <w:tc>
          <w:tcPr>
            <w:tcW w:w="300" w:type="dxa"/>
            <w:vAlign w:val="bottom"/>
          </w:tcPr>
          <w:p>
            <w:pPr>
              <w:spacing w:after="0"/>
              <w:rPr>
                <w:sz w:val="19"/>
                <w:szCs w:val="19"/>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16,485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17,461</w:t>
            </w:r>
          </w:p>
        </w:tc>
      </w:tr>
      <w:tr>
        <w:trPr>
          <w:trHeight w:val="30"/>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Unrecognized tax benefits</w:t>
            </w:r>
          </w:p>
        </w:tc>
        <w:tc>
          <w:tcPr>
            <w:tcW w:w="30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1,938</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1,913</w:t>
            </w: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Sales commissions</w:t>
            </w:r>
          </w:p>
        </w:tc>
        <w:tc>
          <w:tcPr>
            <w:tcW w:w="300" w:type="dxa"/>
            <w:vAlign w:val="bottom"/>
          </w:tcPr>
          <w:p>
            <w:pPr>
              <w:spacing w:after="0"/>
              <w:rPr>
                <w:sz w:val="19"/>
                <w:szCs w:val="19"/>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4,454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6,239</w:t>
            </w:r>
          </w:p>
        </w:tc>
      </w:tr>
      <w:tr>
        <w:trPr>
          <w:trHeight w:val="30"/>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Contingent earn-out (see Note 9)</w:t>
            </w:r>
          </w:p>
        </w:tc>
        <w:tc>
          <w:tcPr>
            <w:tcW w:w="30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1,885</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2,372</w:t>
            </w: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Restructuring (see Note 13)</w:t>
            </w: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977</w:t>
            </w:r>
          </w:p>
        </w:tc>
      </w:tr>
      <w:tr>
        <w:trPr>
          <w:trHeight w:val="30"/>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30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45"/>
              <w:spacing w:after="0"/>
              <w:rPr>
                <w:sz w:val="20"/>
                <w:szCs w:val="20"/>
                <w:color w:val="auto"/>
              </w:rPr>
            </w:pPr>
            <w:r>
              <w:rPr>
                <w:rFonts w:ascii="Times New Roman" w:cs="Times New Roman" w:eastAsia="Times New Roman" w:hAnsi="Times New Roman"/>
                <w:sz w:val="15"/>
                <w:szCs w:val="15"/>
                <w:color w:val="auto"/>
              </w:rPr>
              <w:t>3,901</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2,686</w:t>
            </w:r>
          </w:p>
        </w:tc>
      </w:tr>
      <w:tr>
        <w:trPr>
          <w:trHeight w:val="227"/>
        </w:trPr>
        <w:tc>
          <w:tcPr>
            <w:tcW w:w="83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45,208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50,662</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420"/>
          </w:cols>
          <w:pgMar w:left="240" w:top="170"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hanging="298"/>
        <w:spacing w:after="0"/>
        <w:tabs>
          <w:tab w:leader="none" w:pos="3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Senior Notes and Capped Call Transactions</w:t>
      </w:r>
    </w:p>
    <w:p>
      <w:pPr>
        <w:spacing w:after="0" w:line="21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In March 2019, the Company issued $230.0 million aggregate principal amount of 0.750% Convertible Senior Notes due 2024 in a private placement, which amount includes $30.0 million aggregate principal amount of such Notes pursuant to the exercise in full of the over-allotment options of the initial purchasers (collectively, the “Notes”). The interest on the Notes is payable semi-annually in arrears on March 1 and September 1 of each year, beginning on September 1, 2019.</w:t>
      </w:r>
    </w:p>
    <w:p>
      <w:pPr>
        <w:spacing w:after="0" w:line="67" w:lineRule="exact"/>
        <w:rPr>
          <w:sz w:val="20"/>
          <w:szCs w:val="20"/>
          <w:color w:val="auto"/>
        </w:rPr>
      </w:pPr>
    </w:p>
    <w:p>
      <w:pPr>
        <w:jc w:val="both"/>
        <w:ind w:firstLine="652"/>
        <w:spacing w:after="0" w:line="278" w:lineRule="auto"/>
        <w:rPr>
          <w:sz w:val="20"/>
          <w:szCs w:val="20"/>
          <w:color w:val="auto"/>
        </w:rPr>
      </w:pPr>
      <w:r>
        <w:rPr>
          <w:rFonts w:ascii="Times New Roman" w:cs="Times New Roman" w:eastAsia="Times New Roman" w:hAnsi="Times New Roman"/>
          <w:sz w:val="17"/>
          <w:szCs w:val="17"/>
          <w:color w:val="auto"/>
        </w:rPr>
        <w:t>The Notes will mature on March 1, 2024, unless earlier repurchased or redeemed by the Company or converted pursuant to their terms. The total net proceeds from the debt offering, after deducting debt issuance costs, paid or payable by us, was approximately $221.0 million.</w:t>
      </w:r>
    </w:p>
    <w:p>
      <w:pPr>
        <w:spacing w:after="0" w:line="55" w:lineRule="exact"/>
        <w:rPr>
          <w:sz w:val="20"/>
          <w:szCs w:val="20"/>
          <w:color w:val="auto"/>
        </w:rPr>
      </w:pPr>
    </w:p>
    <w:p>
      <w:pPr>
        <w:jc w:val="both"/>
        <w:ind w:firstLine="652"/>
        <w:spacing w:after="0" w:line="268" w:lineRule="auto"/>
        <w:rPr>
          <w:sz w:val="20"/>
          <w:szCs w:val="20"/>
          <w:color w:val="auto"/>
        </w:rPr>
      </w:pPr>
      <w:r>
        <w:rPr>
          <w:rFonts w:ascii="Times New Roman" w:cs="Times New Roman" w:eastAsia="Times New Roman" w:hAnsi="Times New Roman"/>
          <w:sz w:val="16"/>
          <w:szCs w:val="16"/>
          <w:color w:val="auto"/>
        </w:rPr>
        <w:t>Each $1,000 principal amount of the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Notes in connection with such a corporate event. The Notes are not redeemable prior to the maturity date of the Notes and no sinking fund is provided for the Notes. If we undergo a fundamental change (as defined in the indenture governing the Notes) prior to the maturity date, holders may require us to repurchase for cash all or any portion of their Notes in principal amounts of $1,000 or a multiple thereof at a fundamental change repurchase price equal to 100% of the principal amount of the Notes to be repurchased, plus accrued and unpaid interest to, but excluding, the fundamental change repurchase date.</w:t>
      </w:r>
    </w:p>
    <w:p>
      <w:pPr>
        <w:spacing w:after="0" w:line="1" w:lineRule="exact"/>
        <w:rPr>
          <w:sz w:val="20"/>
          <w:szCs w:val="20"/>
          <w:color w:val="auto"/>
        </w:rPr>
      </w:pPr>
    </w:p>
    <w:p>
      <w:pPr>
        <w:jc w:val="both"/>
        <w:ind w:firstLine="610"/>
        <w:spacing w:after="0" w:line="250" w:lineRule="auto"/>
        <w:rPr>
          <w:sz w:val="20"/>
          <w:szCs w:val="20"/>
          <w:color w:val="auto"/>
        </w:rPr>
      </w:pPr>
      <w:r>
        <w:rPr>
          <w:rFonts w:ascii="Times New Roman" w:cs="Times New Roman" w:eastAsia="Times New Roman" w:hAnsi="Times New Roman"/>
          <w:sz w:val="17"/>
          <w:szCs w:val="17"/>
          <w:color w:val="auto"/>
        </w:rPr>
        <w:t>Holders of the Notes may convert their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as determined by the Company; (2) during the five business day period after any five consecutive trading day period (the “measurement period”) in which the “trading price” (as defined in the indenture governing the Notes) per $1,000 principal amount of Notes for each trading day of the measurement period was less than 98% of the product of the last reported sale price of the Company’s common stock and the conversion rate for the Notes on each such trading day; or (3) upon the occurrence of specified corporate events. On or after November 1, 2023, holders may convert all or any portion of their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It is the Company’s current intent to settle the principal amount of its outstanding Notes in cash and any excess in shares of the Company’s common stock.</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six months ended June 30, 2019, the conditions allowing holders of the Notes to convert were not met.</w:t>
      </w:r>
    </w:p>
    <w:p>
      <w:pPr>
        <w:spacing w:after="0" w:line="110" w:lineRule="exact"/>
        <w:rPr>
          <w:sz w:val="20"/>
          <w:szCs w:val="20"/>
          <w:color w:val="auto"/>
        </w:rPr>
      </w:pPr>
    </w:p>
    <w:p>
      <w:pPr>
        <w:jc w:val="both"/>
        <w:ind w:firstLine="660"/>
        <w:spacing w:after="0" w:line="259" w:lineRule="auto"/>
        <w:rPr>
          <w:sz w:val="20"/>
          <w:szCs w:val="20"/>
          <w:color w:val="auto"/>
        </w:rPr>
      </w:pPr>
      <w:r>
        <w:rPr>
          <w:rFonts w:ascii="Times New Roman" w:cs="Times New Roman" w:eastAsia="Times New Roman" w:hAnsi="Times New Roman"/>
          <w:sz w:val="17"/>
          <w:szCs w:val="17"/>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71" w:lineRule="exact"/>
        <w:rPr>
          <w:sz w:val="20"/>
          <w:szCs w:val="20"/>
          <w:color w:val="auto"/>
        </w:rPr>
      </w:pPr>
    </w:p>
    <w:p>
      <w:pPr>
        <w:jc w:val="both"/>
        <w:ind w:firstLine="671"/>
        <w:spacing w:after="0" w:line="256" w:lineRule="auto"/>
        <w:rPr>
          <w:sz w:val="20"/>
          <w:szCs w:val="20"/>
          <w:color w:val="auto"/>
        </w:rPr>
      </w:pPr>
      <w:r>
        <w:rPr>
          <w:rFonts w:ascii="Times New Roman" w:cs="Times New Roman" w:eastAsia="Times New Roman" w:hAnsi="Times New Roman"/>
          <w:sz w:val="17"/>
          <w:szCs w:val="17"/>
          <w:color w:val="auto"/>
        </w:rPr>
        <w:t>In accounting for the issuance of the Notes, the Company separated the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Notes.</w:t>
      </w:r>
    </w:p>
    <w:p>
      <w:pPr>
        <w:spacing w:after="0" w:line="177"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In accounting for the transaction costs related to the Notes, the Company allocated the total amount incurred of approximately $8.6 million to the liability and equity components of the Notes based on the proportion of the proceeds allocated to the debt and equity components. Issuance costs attributable to the liability component were approximately $6.6 million, were recorded as an additional debt discount and are amortized to interest expense using the effective interest method over the contractual terms of the Notes. Issuance costs attributable to the equity component were approximately $2.0 million and recorded as a reduction of additional paid in capital in stockholders’ equity.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420"/>
          </w:cols>
          <w:pgMar w:left="240" w:top="170"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net carrying amount of the liability component of the Notes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5948680</wp:posOffset>
            </wp:positionH>
            <wp:positionV relativeFrom="paragraph">
              <wp:posOffset>95885</wp:posOffset>
            </wp:positionV>
            <wp:extent cx="1299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80" w:type="dxa"/>
            <w:vAlign w:val="bottom"/>
            <w:tcBorders>
              <w:bottom w:val="single" w:sz="8" w:color="CCFFCC"/>
            </w:tcBorders>
          </w:tcPr>
          <w:p>
            <w:pPr>
              <w:spacing w:after="0"/>
              <w:rPr>
                <w:sz w:val="16"/>
                <w:szCs w:val="16"/>
                <w:color w:val="auto"/>
              </w:rPr>
            </w:pPr>
          </w:p>
        </w:tc>
        <w:tc>
          <w:tcPr>
            <w:tcW w:w="440" w:type="dxa"/>
            <w:vAlign w:val="bottom"/>
            <w:tcBorders>
              <w:bottom w:val="single" w:sz="8" w:color="CCFFCC"/>
            </w:tcBorders>
          </w:tcPr>
          <w:p>
            <w:pPr>
              <w:spacing w:after="0"/>
              <w:rPr>
                <w:sz w:val="16"/>
                <w:szCs w:val="16"/>
                <w:color w:val="auto"/>
              </w:rPr>
            </w:pPr>
          </w:p>
        </w:tc>
        <w:tc>
          <w:tcPr>
            <w:tcW w:w="102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Principal</w:t>
            </w:r>
          </w:p>
        </w:tc>
        <w:tc>
          <w:tcPr>
            <w:tcW w:w="44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230,000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Unamortized discount</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(49,910)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788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Unamortized issuance costs</w:t>
            </w:r>
          </w:p>
        </w:tc>
        <w:tc>
          <w:tcPr>
            <w:tcW w:w="4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(6,273)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Net carrying amount</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173,817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The net carrying amount of the equity component of the Notes was as follows (in thousands):</w:t>
            </w: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78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tcBorders>
              <w:bottom w:val="single" w:sz="8" w:color="CCFFCC"/>
            </w:tcBorders>
          </w:tcPr>
          <w:p>
            <w:pPr>
              <w:spacing w:after="0"/>
              <w:rPr>
                <w:sz w:val="19"/>
                <w:szCs w:val="19"/>
                <w:color w:val="auto"/>
              </w:rPr>
            </w:pPr>
          </w:p>
        </w:tc>
        <w:tc>
          <w:tcPr>
            <w:tcW w:w="440" w:type="dxa"/>
            <w:vAlign w:val="bottom"/>
            <w:tcBorders>
              <w:bottom w:val="single" w:sz="8" w:color="CCFFCC"/>
            </w:tcBorders>
          </w:tcPr>
          <w:p>
            <w:pPr>
              <w:spacing w:after="0"/>
              <w:rPr>
                <w:sz w:val="19"/>
                <w:szCs w:val="19"/>
                <w:color w:val="auto"/>
              </w:rPr>
            </w:pPr>
          </w:p>
        </w:tc>
        <w:tc>
          <w:tcPr>
            <w:tcW w:w="102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w w:val="98"/>
              </w:rPr>
              <w:t>As of June 30, 2019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Proceeds allocated to the conversion options (debt discount)</w:t>
            </w:r>
          </w:p>
        </w:tc>
        <w:tc>
          <w:tcPr>
            <w:tcW w:w="440" w:type="dxa"/>
            <w:vAlign w:val="bottom"/>
            <w:tcBorders>
              <w:bottom w:val="single" w:sz="8" w:color="CCFFCC"/>
            </w:tcBorders>
            <w:shd w:val="clear" w:color="auto" w:fill="CCFFCC"/>
          </w:tcPr>
          <w:p>
            <w:pPr>
              <w:spacing w:after="0"/>
              <w:rPr>
                <w:sz w:val="19"/>
                <w:szCs w:val="19"/>
                <w:color w:val="auto"/>
              </w:rPr>
            </w:pPr>
          </w:p>
        </w:tc>
        <w:tc>
          <w:tcPr>
            <w:tcW w:w="1380" w:type="dxa"/>
            <w:vAlign w:val="bottom"/>
            <w:tcBorders>
              <w:bottom w:val="single" w:sz="8" w:color="CCFFCC"/>
            </w:tcBorders>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52,900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costs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88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1140" w:type="dxa"/>
            <w:vAlign w:val="bottom"/>
            <w:tcBorders>
              <w:bottom w:val="single" w:sz="8" w:color="CCFFCC"/>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8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5"/>
                <w:szCs w:val="15"/>
                <w:color w:val="auto"/>
              </w:rPr>
              <w:t>Net carrying amount</w:t>
            </w:r>
          </w:p>
        </w:tc>
        <w:tc>
          <w:tcPr>
            <w:tcW w:w="440" w:type="dxa"/>
            <w:vAlign w:val="bottom"/>
            <w:shd w:val="clear" w:color="auto" w:fill="CCFFCC"/>
          </w:tcPr>
          <w:p>
            <w:pPr>
              <w:spacing w:after="0"/>
              <w:rPr>
                <w:sz w:val="19"/>
                <w:szCs w:val="19"/>
                <w:color w:val="auto"/>
              </w:rPr>
            </w:pPr>
          </w:p>
        </w:tc>
        <w:tc>
          <w:tcPr>
            <w:tcW w:w="1380" w:type="dxa"/>
            <w:vAlign w:val="bottom"/>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50,914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FFCC"/>
              <w:bottom w:val="single" w:sz="8" w:color="CCFFCC"/>
            </w:tcBorders>
            <w:vMerge w:val="restart"/>
          </w:tcPr>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interest expense recognized related to the Notes (in thousands):</w:t>
            </w:r>
          </w:p>
        </w:tc>
        <w:tc>
          <w:tcPr>
            <w:tcW w:w="44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78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820" w:type="dxa"/>
            <w:vAlign w:val="bottom"/>
            <w:tcBorders>
              <w:bottom w:val="single" w:sz="8" w:color="auto"/>
            </w:tcBorders>
            <w:gridSpan w:val="4"/>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820" w:type="dxa"/>
            <w:vAlign w:val="bottom"/>
            <w:gridSpan w:val="4"/>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6"/>
              </w:rPr>
              <w:t>Three months ended June 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right"/>
              <w:ind w:right="25"/>
              <w:spacing w:after="0" w:line="134" w:lineRule="exact"/>
              <w:rPr>
                <w:sz w:val="20"/>
                <w:szCs w:val="20"/>
                <w:color w:val="auto"/>
              </w:rPr>
            </w:pPr>
            <w:r>
              <w:rPr>
                <w:rFonts w:ascii="Times New Roman" w:cs="Times New Roman" w:eastAsia="Times New Roman" w:hAnsi="Times New Roman"/>
                <w:sz w:val="14"/>
                <w:szCs w:val="14"/>
                <w:b w:val="1"/>
                <w:bCs w:val="1"/>
                <w:color w:val="auto"/>
                <w:w w:val="95"/>
              </w:rPr>
              <w:t>Six Months Ended June</w:t>
            </w:r>
          </w:p>
        </w:tc>
        <w:tc>
          <w:tcPr>
            <w:tcW w:w="0" w:type="dxa"/>
            <w:vAlign w:val="bottom"/>
          </w:tcPr>
          <w:p>
            <w:pPr>
              <w:spacing w:after="0"/>
              <w:rPr>
                <w:sz w:val="1"/>
                <w:szCs w:val="1"/>
                <w:color w:val="auto"/>
              </w:rPr>
            </w:pPr>
          </w:p>
        </w:tc>
      </w:tr>
      <w:tr>
        <w:trPr>
          <w:trHeight w:val="184"/>
        </w:trPr>
        <w:tc>
          <w:tcPr>
            <w:tcW w:w="20" w:type="dxa"/>
            <w:vAlign w:val="bottom"/>
            <w:tcBorders>
              <w:bottom w:val="single" w:sz="8" w:color="CCFFCC"/>
            </w:tcBorders>
          </w:tcPr>
          <w:p>
            <w:pPr>
              <w:spacing w:after="0"/>
              <w:rPr>
                <w:sz w:val="16"/>
                <w:szCs w:val="16"/>
                <w:color w:val="auto"/>
              </w:rPr>
            </w:pPr>
          </w:p>
        </w:tc>
        <w:tc>
          <w:tcPr>
            <w:tcW w:w="7880" w:type="dxa"/>
            <w:vAlign w:val="bottom"/>
            <w:tcBorders>
              <w:bottom w:val="single" w:sz="8" w:color="CCFFC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FFCC"/>
            </w:tcBorders>
            <w:shd w:val="clear" w:color="auto" w:fill="CCFFCC"/>
          </w:tcPr>
          <w:p>
            <w:pPr>
              <w:spacing w:after="0"/>
              <w:rPr>
                <w:sz w:val="19"/>
                <w:szCs w:val="19"/>
                <w:color w:val="auto"/>
              </w:rPr>
            </w:pPr>
          </w:p>
        </w:tc>
        <w:tc>
          <w:tcPr>
            <w:tcW w:w="78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5"/>
                <w:szCs w:val="15"/>
                <w:color w:val="auto"/>
              </w:rPr>
              <w:t>Contractual interest expense</w:t>
            </w:r>
          </w:p>
        </w:tc>
        <w:tc>
          <w:tcPr>
            <w:tcW w:w="440" w:type="dxa"/>
            <w:vAlign w:val="bottom"/>
            <w:tcBorders>
              <w:bottom w:val="single" w:sz="8" w:color="CCFFCC"/>
            </w:tcBorders>
            <w:shd w:val="clear" w:color="auto" w:fill="CCFFCC"/>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FFCC"/>
            </w:tcBorders>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5"/>
                <w:szCs w:val="15"/>
                <w:color w:val="auto"/>
              </w:rPr>
              <w:t>431</w:t>
            </w:r>
          </w:p>
        </w:tc>
        <w:tc>
          <w:tcPr>
            <w:tcW w:w="220" w:type="dxa"/>
            <w:vAlign w:val="bottom"/>
            <w:tcBorders>
              <w:bottom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575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issuance costs</w:t>
            </w:r>
          </w:p>
        </w:tc>
        <w:tc>
          <w:tcPr>
            <w:tcW w:w="440" w:type="dxa"/>
            <w:vAlign w:val="bottom"/>
          </w:tcPr>
          <w:p>
            <w:pPr>
              <w:spacing w:after="0"/>
              <w:rPr>
                <w:sz w:val="19"/>
                <w:szCs w:val="19"/>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376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Borders>
              <w:bottom w:val="single" w:sz="8" w:color="CCFFCC"/>
            </w:tcBorders>
            <w:shd w:val="clear" w:color="auto" w:fill="CCFFCC"/>
          </w:tcPr>
          <w:p>
            <w:pPr>
              <w:spacing w:after="0"/>
              <w:rPr>
                <w:sz w:val="22"/>
                <w:szCs w:val="22"/>
                <w:color w:val="auto"/>
              </w:rPr>
            </w:pPr>
          </w:p>
        </w:tc>
        <w:tc>
          <w:tcPr>
            <w:tcW w:w="78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5"/>
                <w:szCs w:val="15"/>
                <w:color w:val="auto"/>
              </w:rPr>
              <w:t>Amortization of debt discount</w:t>
            </w:r>
          </w:p>
        </w:tc>
        <w:tc>
          <w:tcPr>
            <w:tcW w:w="440" w:type="dxa"/>
            <w:vAlign w:val="bottom"/>
            <w:tcBorders>
              <w:bottom w:val="single" w:sz="8" w:color="CCFFCC"/>
            </w:tcBorders>
            <w:shd w:val="clear" w:color="auto" w:fill="CCFFCC"/>
          </w:tcPr>
          <w:p>
            <w:pPr>
              <w:spacing w:after="0"/>
              <w:rPr>
                <w:sz w:val="22"/>
                <w:szCs w:val="22"/>
                <w:color w:val="auto"/>
              </w:rPr>
            </w:pPr>
          </w:p>
        </w:tc>
        <w:tc>
          <w:tcPr>
            <w:tcW w:w="1380" w:type="dxa"/>
            <w:vAlign w:val="bottom"/>
            <w:tcBorders>
              <w:bottom w:val="single" w:sz="8" w:color="CCFFCC"/>
            </w:tcBorders>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5"/>
                <w:szCs w:val="15"/>
                <w:color w:val="auto"/>
              </w:rPr>
              <w:t>2,263</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2,990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5"/>
                <w:szCs w:val="15"/>
                <w:color w:val="auto"/>
              </w:rPr>
              <w:t>Total interest expense</w:t>
            </w:r>
          </w:p>
        </w:tc>
        <w:tc>
          <w:tcPr>
            <w:tcW w:w="440" w:type="dxa"/>
            <w:vAlign w:val="bottom"/>
            <w:tcBorders>
              <w:top w:val="single" w:sz="8" w:color="auto"/>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2,954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The remaining term over which the debt discount and debt issuance costs will be amortized is 4.7 years. The effective interest rate on the debt was 6.89% for the period ended June 30, 2019.</w:t>
      </w:r>
    </w:p>
    <w:p>
      <w:pPr>
        <w:spacing w:after="0" w:line="55"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In connection with the offering of the Notes, the Company entered into privately-negotiated capped call option transactions with certain counterparties (the “capped calls”). The capped calls each have an initial strike price of approximately $38.58 per share, subject to certain adjustments, which corresponds to the initial conversion price of the Notes. The capped calls have initial cap prices of $57.16 per share, subject to certain adjustment events. The capped calls cover, subject to anti-dilution adjustments, approximately 5.96 million shares of common stock. The capped calls are generally intended to reduce or offset the potential dilution to the common stock upon any conversion of the Notes with such reduction or offset, as the case may be, subject to a cap based on the cap price. The capped calls expire on March 1, 2024,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failure to deliver, and hedging disruptions. The capped calls are recorded in stockholders’ equity and are not accounted for as derivatives. The net cost of $23.2 million incurred to purchase the capped calls was recorded as a reduction to additional paid-in capital in the accompanying condensed consolidated balance sheet.</w:t>
      </w:r>
    </w:p>
    <w:p>
      <w:pPr>
        <w:spacing w:after="0" w:line="282" w:lineRule="exact"/>
        <w:rPr>
          <w:sz w:val="20"/>
          <w:szCs w:val="20"/>
          <w:color w:val="auto"/>
        </w:rPr>
      </w:pPr>
    </w:p>
    <w:p>
      <w:pPr>
        <w:ind w:left="300" w:hanging="298"/>
        <w:spacing w:after="0"/>
        <w:tabs>
          <w:tab w:leader="none" w:pos="30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AdvantageTec Inc.</w:t>
      </w:r>
    </w:p>
    <w:p>
      <w:pPr>
        <w:spacing w:after="0" w:line="114"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In October 2018, the Company entered into a stock purchase agreement to acquire the outstanding equity interest of AdvantageTec Inc. (“AdvantageTec”), a leading provider of texting solutions for service departments of automotive dealerships that helps enable Conversational Commerce across the entire dealership, including both front end/variable operations (new and used vehicle sales) and back end/fixed operations (parts and services). The purchase agreement was for total consideration of approximately $11.2 million, which includes approximately $6.0 million in cash, approximately $4.3 million in shares of common stock, and approximately $0.9 million of potential earn-out consideration in cash and shares of common stock. The earn-out is contingent upon achieving certain targeted financial, strategic and integration objectives and milestones and is included as part of the purchase price. During the six months ended June 30, 2019, the Company made $0.5 million of payments in earn-out consideration, with potential future earn-out payments of $0.4 million at June 30, 2019.</w:t>
      </w:r>
    </w:p>
    <w:p>
      <w:pPr>
        <w:spacing w:after="0" w:line="77"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The purchase price allocation resulted in approximately $9.1 million of goodwill and approximately $2.2 million of intangible assets. The goodwill will not be deductible for tax purposes. The intangible assets are being amortized over their expected period of benefit. A deferred tax liability for the identified intangibles has been recorded.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420"/>
          </w:cols>
          <w:pgMar w:left="240" w:top="170"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AdvantageTec Inc. enhances the Company’s messaging platform available for the automotive industry and is included in the Company's business segment.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Conversable, Inc.</w:t>
      </w:r>
    </w:p>
    <w:p>
      <w:pPr>
        <w:spacing w:after="0" w:line="114"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In September 2018, the Company acquired the employees and technology assets of Conversable, Inc. a SaaS based Artificial Intelligence powered conversational platform, headquartered in Austin, Texas, for an aggregate estimated purchase price of $5.7 million. The estimated purchase price consisted of $1.3 million in cash, approximately $2.9 million in shares of common stock of the Company, and a potential earn-out consideration of $1.5 million in cash, which is based on achieving certain targeted financial, strategic, and integration objectives. This transaction was accounted for under the purchase method of accounting and was based upon the estimated fair value of Conversable, Inc.'s net tangible and identifiable intangible assets as of the date of acquisition.</w:t>
      </w:r>
    </w:p>
    <w:p>
      <w:pPr>
        <w:spacing w:after="0" w:line="76"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The purchase price allocation resulted in approximately $5.5 million of goodwill and approximately $0.5 million of intangible assets. The goodwill will be deductible for tax purposes. The intangible assets are being amortized over their expected period of benefit. The allocation of the purchase price to net book value of acquired assets and liabilities resulted in a net liability of $0.3 million, which includes accounts receivable, property and equipment, accrued expenses, and deferred revenue. Transaction costs of $0.3 million were expensed during the six months ended June 30, 2019.</w:t>
      </w:r>
    </w:p>
    <w:p>
      <w:pPr>
        <w:spacing w:after="0" w:line="71"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Conversable Inc.’s capabilities will accelerate the ongoing expansion of the Company's Conversational Commerce solutions and enhance the Company’s ability to deliver proactive and personalized content and services when and where the customer needs it, helping consumers find immediate service through messaging. Conversable, Inc is included in the Company's business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BotCentral, Inc.</w:t>
      </w:r>
    </w:p>
    <w:p>
      <w:pPr>
        <w:spacing w:after="0" w:line="317"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In January 2018, the Company acquired the employees and technology assets of BotCentral, Inc., a Silicon Valley based startup, for a purchase price of approximately $1.0 million in common stock of the Company. The Company incurred an additional $0.2 million related to acquisition costs. This transaction was accounted for as an asset purchase. The aggregate amount of approximately $1.2 million is included in intangibles on the Company's consolidated balance sheet. With the BotCentral team's expertise and knowledge of the LiveEngage platform, the team is bringing valuable insight for the Company's customers and partners, and enabling the company to more rapidly optimize its bot deployment capabilities, and grow the ecosystem. BotCentral, Inc. is included in the Company's business segment.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Fair Value Measurements</w:t>
      </w:r>
    </w:p>
    <w:p>
      <w:pPr>
        <w:spacing w:after="0" w:line="215"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76" w:lineRule="exact"/>
        <w:rPr>
          <w:sz w:val="20"/>
          <w:szCs w:val="20"/>
          <w:color w:val="auto"/>
        </w:rPr>
      </w:pPr>
    </w:p>
    <w:p>
      <w:pPr>
        <w:ind w:left="1060" w:hanging="296"/>
        <w:spacing w:after="0"/>
        <w:tabs>
          <w:tab w:leader="none" w:pos="10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that reflect quoted prices (unadjusted) for identical assets or liabilities in active markets.</w:t>
      </w:r>
    </w:p>
    <w:p>
      <w:pPr>
        <w:spacing w:after="0" w:line="109" w:lineRule="exact"/>
        <w:rPr>
          <w:rFonts w:ascii="Times New Roman" w:cs="Times New Roman" w:eastAsia="Times New Roman" w:hAnsi="Times New Roman"/>
          <w:sz w:val="17"/>
          <w:szCs w:val="17"/>
          <w:color w:val="auto"/>
        </w:rPr>
      </w:pPr>
    </w:p>
    <w:p>
      <w:pPr>
        <w:jc w:val="both"/>
        <w:ind w:left="1060" w:hanging="296"/>
        <w:spacing w:after="0" w:line="264" w:lineRule="auto"/>
        <w:tabs>
          <w:tab w:leader="none" w:pos="10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66" w:lineRule="exact"/>
        <w:rPr>
          <w:rFonts w:ascii="Times New Roman" w:cs="Times New Roman" w:eastAsia="Times New Roman" w:hAnsi="Times New Roman"/>
          <w:sz w:val="17"/>
          <w:szCs w:val="17"/>
          <w:color w:val="auto"/>
        </w:rPr>
      </w:pPr>
    </w:p>
    <w:p>
      <w:pPr>
        <w:ind w:left="1060" w:hanging="296"/>
        <w:spacing w:after="0" w:line="278" w:lineRule="auto"/>
        <w:tabs>
          <w:tab w:leader="none" w:pos="10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420"/>
          </w:cols>
          <w:pgMar w:left="240" w:top="170"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Assets and Liabilities</w:t>
      </w:r>
    </w:p>
    <w:p>
      <w:pPr>
        <w:spacing w:after="0" w:line="114"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June 30, 2019 and December 31, 2018, are summarized as follows (amounts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5"/>
          </w:tcPr>
          <w:p>
            <w:pPr>
              <w:ind w:left="380"/>
              <w:spacing w:after="0"/>
              <w:rPr>
                <w:sz w:val="20"/>
                <w:szCs w:val="20"/>
                <w:color w:val="auto"/>
              </w:rPr>
            </w:pPr>
            <w:r>
              <w:rPr>
                <w:rFonts w:ascii="Times New Roman" w:cs="Times New Roman" w:eastAsia="Times New Roman" w:hAnsi="Times New Roman"/>
                <w:sz w:val="15"/>
                <w:szCs w:val="15"/>
                <w:b w:val="1"/>
                <w:bCs w:val="1"/>
                <w:color w:val="auto"/>
              </w:rPr>
              <w:t>June 30, 2019</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5"/>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 2018</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0"/>
        </w:trPr>
        <w:tc>
          <w:tcPr>
            <w:tcW w:w="3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4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160" w:type="dxa"/>
            <w:vAlign w:val="bottom"/>
          </w:tcPr>
          <w:p>
            <w:pPr>
              <w:spacing w:after="0"/>
              <w:rPr>
                <w:sz w:val="18"/>
                <w:szCs w:val="18"/>
                <w:color w:val="auto"/>
              </w:rPr>
            </w:pPr>
          </w:p>
        </w:tc>
        <w:tc>
          <w:tcPr>
            <w:tcW w:w="62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30"/>
        </w:trPr>
        <w:tc>
          <w:tcPr>
            <w:tcW w:w="388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7"/>
        </w:trPr>
        <w:tc>
          <w:tcPr>
            <w:tcW w:w="388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2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7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620" w:type="dxa"/>
            <w:vAlign w:val="bottom"/>
            <w:tcBorders>
              <w:bottom w:val="single" w:sz="8" w:color="CCFFCC"/>
            </w:tcBorders>
            <w:shd w:val="clear" w:color="auto" w:fill="CCFFCC"/>
          </w:tcPr>
          <w:p>
            <w:pPr>
              <w:spacing w:after="0"/>
              <w:rPr>
                <w:sz w:val="19"/>
                <w:szCs w:val="19"/>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equivalents: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0"/>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4"/>
        </w:trPr>
        <w:tc>
          <w:tcPr>
            <w:tcW w:w="3880" w:type="dxa"/>
            <w:vAlign w:val="bottom"/>
            <w:tcBorders>
              <w:bottom w:val="single" w:sz="8" w:color="CCFFCC"/>
            </w:tcBorders>
            <w:shd w:val="clear" w:color="auto" w:fill="CCFFCC"/>
          </w:tcPr>
          <w:p>
            <w:pPr>
              <w:ind w:left="240"/>
              <w:spacing w:after="0"/>
              <w:rPr>
                <w:sz w:val="20"/>
                <w:szCs w:val="20"/>
                <w:color w:val="auto"/>
              </w:rPr>
            </w:pPr>
            <w:r>
              <w:rPr>
                <w:rFonts w:ascii="Times New Roman" w:cs="Times New Roman" w:eastAsia="Times New Roman" w:hAnsi="Times New Roman"/>
                <w:sz w:val="15"/>
                <w:szCs w:val="15"/>
                <w:color w:val="auto"/>
              </w:rPr>
              <w:t>Money market funds</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2,867</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FFCC"/>
            </w:tcBorders>
            <w:gridSpan w:val="2"/>
            <w:shd w:val="clear" w:color="auto" w:fill="CCFFCC"/>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FFCC"/>
            </w:tcBorders>
            <w:shd w:val="clear" w:color="auto" w:fill="CCFFC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2,867</w:t>
            </w:r>
          </w:p>
        </w:tc>
        <w:tc>
          <w:tcPr>
            <w:tcW w:w="24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2,828</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FFCC"/>
            </w:tcBorders>
            <w:gridSpan w:val="2"/>
            <w:shd w:val="clear" w:color="auto" w:fill="CCFFCC"/>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2,828</w:t>
            </w:r>
          </w:p>
        </w:tc>
      </w:tr>
      <w:tr>
        <w:trPr>
          <w:trHeight w:val="267"/>
        </w:trPr>
        <w:tc>
          <w:tcPr>
            <w:tcW w:w="3880" w:type="dxa"/>
            <w:vAlign w:val="bottom"/>
            <w:tcBorders>
              <w:bottom w:val="single" w:sz="8" w:color="CCFFCC"/>
            </w:tcBorders>
          </w:tcPr>
          <w:p>
            <w:pPr>
              <w:ind w:left="240"/>
              <w:spacing w:after="0"/>
              <w:rPr>
                <w:sz w:val="20"/>
                <w:szCs w:val="20"/>
                <w:color w:val="auto"/>
              </w:rPr>
            </w:pPr>
            <w:r>
              <w:rPr>
                <w:rFonts w:ascii="Times New Roman" w:cs="Times New Roman" w:eastAsia="Times New Roman" w:hAnsi="Times New Roman"/>
                <w:sz w:val="15"/>
                <w:szCs w:val="15"/>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2,867</w:t>
            </w:r>
          </w:p>
        </w:tc>
        <w:tc>
          <w:tcPr>
            <w:tcW w:w="100" w:type="dxa"/>
            <w:vAlign w:val="bottom"/>
            <w:tcBorders>
              <w:bottom w:val="single" w:sz="8" w:color="CCFFCC"/>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FFCC"/>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FFCC"/>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2,867</w:t>
            </w:r>
          </w:p>
        </w:tc>
        <w:tc>
          <w:tcPr>
            <w:tcW w:w="240" w:type="dxa"/>
            <w:vAlign w:val="bottom"/>
            <w:tcBorders>
              <w:bottom w:val="single" w:sz="8" w:color="CCFFCC"/>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2,828</w:t>
            </w:r>
          </w:p>
        </w:tc>
        <w:tc>
          <w:tcPr>
            <w:tcW w:w="100" w:type="dxa"/>
            <w:vAlign w:val="bottom"/>
            <w:tcBorders>
              <w:bottom w:val="single" w:sz="8" w:color="CCFFCC"/>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FFCC"/>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2,828</w:t>
            </w:r>
          </w:p>
        </w:tc>
      </w:tr>
      <w:tr>
        <w:trPr>
          <w:trHeight w:val="290"/>
        </w:trPr>
        <w:tc>
          <w:tcPr>
            <w:tcW w:w="38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7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72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0"/>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4"/>
        </w:trPr>
        <w:tc>
          <w:tcPr>
            <w:tcW w:w="3880" w:type="dxa"/>
            <w:vAlign w:val="bottom"/>
            <w:tcBorders>
              <w:bottom w:val="single" w:sz="8" w:color="CCFFCC"/>
            </w:tcBorders>
            <w:shd w:val="clear" w:color="auto" w:fill="CCFFCC"/>
          </w:tcPr>
          <w:p>
            <w:pPr>
              <w:ind w:left="240"/>
              <w:spacing w:after="0"/>
              <w:rPr>
                <w:sz w:val="20"/>
                <w:szCs w:val="20"/>
                <w:color w:val="auto"/>
              </w:rPr>
            </w:pPr>
            <w:r>
              <w:rPr>
                <w:rFonts w:ascii="Times New Roman" w:cs="Times New Roman" w:eastAsia="Times New Roman" w:hAnsi="Times New Roman"/>
                <w:sz w:val="15"/>
                <w:szCs w:val="15"/>
                <w:color w:val="auto"/>
              </w:rPr>
              <w:t>Contingent earn-out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FFCC"/>
            </w:tcBorders>
            <w:gridSpan w:val="2"/>
            <w:shd w:val="clear" w:color="auto" w:fill="CCFFCC"/>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1,885</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1,885</w:t>
            </w:r>
          </w:p>
        </w:tc>
        <w:tc>
          <w:tcPr>
            <w:tcW w:w="24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FFCC"/>
            </w:tcBorders>
            <w:gridSpan w:val="2"/>
            <w:shd w:val="clear" w:color="auto" w:fill="CCFFCC"/>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2,372</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2,372</w:t>
            </w:r>
          </w:p>
        </w:tc>
      </w:tr>
      <w:tr>
        <w:trPr>
          <w:trHeight w:val="227"/>
        </w:trPr>
        <w:tc>
          <w:tcPr>
            <w:tcW w:w="3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1,885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1,885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2,372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2,372</w:t>
            </w: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67"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As of June 30, 2019, the fair value of the Notes, as further described in Note 8 above, was approximately $184.8 million. The fair value was determined by an independent valuation specialist using the antithetic variable technique and is considered a Level 2 fair value measurement.</w:t>
      </w:r>
    </w:p>
    <w:p>
      <w:pPr>
        <w:spacing w:after="0" w:line="55"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The Company recorded a contingent earn-out of $2.4 million in December 2018 in connection with the acquisitions of Conversable, Inc. and AdvantageTec Inc. The contingent earn-out is based on achieving certain targeted financial, strategic, and integration objectives. The unobservable inputs considered are probability factors and the time value of money. During the six months ended June 30, 2019, there were payments of $0.5 million. As a result, the contingent earn-out balance was $1.9 million as of June 30, 2019. See Note 9 of the Notes to Condensed Consolidated Financial Statements for a full description of the acquisition.</w:t>
      </w:r>
    </w:p>
    <w:p>
      <w:pPr>
        <w:spacing w:after="0" w:line="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changes in fair value of the Level 3 liabilities are as follows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6"/>
              </w:rPr>
              <w:t>Contingent Earn-Out</w:t>
            </w:r>
          </w:p>
        </w:tc>
      </w:tr>
      <w:tr>
        <w:trPr>
          <w:trHeight w:val="247"/>
        </w:trPr>
        <w:tc>
          <w:tcPr>
            <w:tcW w:w="8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21"/>
                <w:szCs w:val="21"/>
                <w:color w:val="auto"/>
              </w:rPr>
            </w:pPr>
          </w:p>
        </w:tc>
        <w:tc>
          <w:tcPr>
            <w:tcW w:w="140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0"/>
        </w:trPr>
        <w:tc>
          <w:tcPr>
            <w:tcW w:w="83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Balance, Beginning of period</w:t>
            </w:r>
          </w:p>
        </w:tc>
        <w:tc>
          <w:tcPr>
            <w:tcW w:w="180" w:type="dxa"/>
            <w:vAlign w:val="bottom"/>
            <w:tcBorders>
              <w:top w:val="single" w:sz="8" w:color="auto"/>
              <w:bottom w:val="single" w:sz="8" w:color="CCFFCC"/>
            </w:tcBorders>
            <w:shd w:val="clear" w:color="auto" w:fill="CCFFC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CCFFCC"/>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2,372</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r>
      <w:tr>
        <w:trPr>
          <w:trHeight w:val="224"/>
        </w:trPr>
        <w:tc>
          <w:tcPr>
            <w:tcW w:w="8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Conversable, Inc. addition (see Note 9)</w:t>
            </w:r>
          </w:p>
        </w:tc>
        <w:tc>
          <w:tcPr>
            <w:tcW w:w="1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4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1,496</w:t>
            </w:r>
          </w:p>
        </w:tc>
      </w:tr>
      <w:tr>
        <w:trPr>
          <w:trHeight w:val="30"/>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AdvantageTec Inc. addition (see Note 9)</w:t>
            </w:r>
          </w:p>
        </w:tc>
        <w:tc>
          <w:tcPr>
            <w:tcW w:w="180" w:type="dxa"/>
            <w:vAlign w:val="bottom"/>
            <w:tcBorders>
              <w:bottom w:val="single" w:sz="8" w:color="CCFFCC"/>
            </w:tcBorders>
            <w:shd w:val="clear" w:color="auto" w:fill="CCFFCC"/>
          </w:tcPr>
          <w:p>
            <w:pPr>
              <w:spacing w:after="0"/>
              <w:rPr>
                <w:sz w:val="20"/>
                <w:szCs w:val="20"/>
                <w:color w:val="auto"/>
              </w:rPr>
            </w:pPr>
          </w:p>
        </w:tc>
        <w:tc>
          <w:tcPr>
            <w:tcW w:w="13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FFCC"/>
            </w:tcBorders>
            <w:shd w:val="clear" w:color="auto" w:fill="CCFFCC"/>
          </w:tcPr>
          <w:p>
            <w:pPr>
              <w:spacing w:after="0"/>
              <w:rPr>
                <w:sz w:val="20"/>
                <w:szCs w:val="20"/>
                <w:color w:val="auto"/>
              </w:rPr>
            </w:pPr>
          </w:p>
        </w:tc>
        <w:tc>
          <w:tcPr>
            <w:tcW w:w="140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876</w:t>
            </w:r>
          </w:p>
        </w:tc>
      </w:tr>
      <w:tr>
        <w:trPr>
          <w:trHeight w:val="224"/>
        </w:trPr>
        <w:tc>
          <w:tcPr>
            <w:tcW w:w="8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Cash payment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836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7"/>
        </w:trPr>
        <w:tc>
          <w:tcPr>
            <w:tcW w:w="83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Balance, End of period</w:t>
            </w:r>
          </w:p>
        </w:tc>
        <w:tc>
          <w:tcPr>
            <w:tcW w:w="180" w:type="dxa"/>
            <w:vAlign w:val="bottom"/>
            <w:tcBorders>
              <w:bottom w:val="single" w:sz="8" w:color="auto"/>
            </w:tcBorders>
            <w:shd w:val="clear" w:color="auto" w:fill="CCFFC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FFCC"/>
          </w:tcPr>
          <w:p>
            <w:pPr>
              <w:jc w:val="right"/>
              <w:ind w:right="46"/>
              <w:spacing w:after="0"/>
              <w:rPr>
                <w:sz w:val="20"/>
                <w:szCs w:val="20"/>
                <w:color w:val="auto"/>
              </w:rPr>
            </w:pPr>
            <w:r>
              <w:rPr>
                <w:rFonts w:ascii="Times New Roman" w:cs="Times New Roman" w:eastAsia="Times New Roman" w:hAnsi="Times New Roman"/>
                <w:sz w:val="15"/>
                <w:szCs w:val="15"/>
                <w:color w:val="auto"/>
              </w:rPr>
              <w:t>1,885</w:t>
            </w:r>
          </w:p>
        </w:tc>
        <w:tc>
          <w:tcPr>
            <w:tcW w:w="1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2,372</w:t>
            </w: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420"/>
          </w:cols>
          <w:pgMar w:left="240" w:top="170"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Financial Instruments</w:t>
      </w:r>
    </w:p>
    <w:p>
      <w:pPr>
        <w:spacing w:after="0" w:line="114"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 As of June 30, 2019, the Company is not party to any foreign currency forward contracts and does not have any restricted cash balance.</w:t>
      </w:r>
    </w:p>
    <w:p>
      <w:pPr>
        <w:spacing w:after="0" w:line="7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The following summarizes certain information regarding the Company’s derivatives that are not designated or are not effective as hedges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Gain (losses) on Derivative Instruments Recognized in Statements of Operations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21"/>
                <w:szCs w:val="21"/>
                <w:color w:val="auto"/>
              </w:rPr>
            </w:pPr>
          </w:p>
        </w:tc>
        <w:tc>
          <w:tcPr>
            <w:tcW w:w="3120" w:type="dxa"/>
            <w:vAlign w:val="bottom"/>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7"/>
        </w:trPr>
        <w:tc>
          <w:tcPr>
            <w:tcW w:w="2400" w:type="dxa"/>
            <w:vAlign w:val="bottom"/>
            <w:tcBorders>
              <w:bottom w:val="single" w:sz="8" w:color="CCFFCC"/>
            </w:tcBorders>
          </w:tcPr>
          <w:p>
            <w:pPr>
              <w:spacing w:after="0"/>
              <w:rPr>
                <w:sz w:val="21"/>
                <w:szCs w:val="21"/>
                <w:color w:val="auto"/>
              </w:rPr>
            </w:pPr>
          </w:p>
        </w:tc>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Borders>
              <w:bottom w:val="single" w:sz="8" w:color="CCFFC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FFCC"/>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FFCC"/>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FFCC"/>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9"/>
        </w:trPr>
        <w:tc>
          <w:tcPr>
            <w:tcW w:w="24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Foreign currency derivatives</w:t>
            </w:r>
          </w:p>
        </w:tc>
        <w:tc>
          <w:tcPr>
            <w:tcW w:w="17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20" w:type="dxa"/>
            <w:vAlign w:val="bottom"/>
            <w:vMerge w:val="restart"/>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vMerge w:val="restart"/>
            <w:shd w:val="clear" w:color="auto" w:fill="CCFFCC"/>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vMerge w:val="restart"/>
            <w:shd w:val="clear" w:color="auto" w:fill="CCFFCC"/>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vMerge w:val="restart"/>
            <w:shd w:val="clear" w:color="auto" w:fill="CCFFCC"/>
          </w:tcPr>
          <w:p>
            <w:pPr>
              <w:ind w:left="10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shd w:val="clear" w:color="auto" w:fill="CCFFCC"/>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vMerge w:val="restart"/>
            <w:shd w:val="clear" w:color="auto" w:fill="CCFFCC"/>
          </w:tcPr>
          <w:p>
            <w:pPr>
              <w:ind w:left="10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vMerge w:val="restart"/>
            <w:shd w:val="clear" w:color="auto" w:fill="CCFFCC"/>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08"/>
        </w:trPr>
        <w:tc>
          <w:tcPr>
            <w:tcW w:w="24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contracts</w:t>
            </w:r>
          </w:p>
        </w:tc>
        <w:tc>
          <w:tcPr>
            <w:tcW w:w="18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220" w:type="dxa"/>
            <w:vAlign w:val="bottom"/>
            <w:vMerge w:val="continue"/>
            <w:shd w:val="clear" w:color="auto" w:fill="CCFFCC"/>
          </w:tcPr>
          <w:p>
            <w:pPr>
              <w:spacing w:after="0"/>
              <w:rPr>
                <w:sz w:val="18"/>
                <w:szCs w:val="18"/>
                <w:color w:val="auto"/>
              </w:rPr>
            </w:pPr>
          </w:p>
        </w:tc>
        <w:tc>
          <w:tcPr>
            <w:tcW w:w="1600" w:type="dxa"/>
            <w:vAlign w:val="bottom"/>
            <w:gridSpan w:val="2"/>
            <w:vMerge w:val="continue"/>
            <w:shd w:val="clear" w:color="auto" w:fill="CCFFCC"/>
          </w:tcPr>
          <w:p>
            <w:pPr>
              <w:spacing w:after="0"/>
              <w:rPr>
                <w:sz w:val="18"/>
                <w:szCs w:val="18"/>
                <w:color w:val="auto"/>
              </w:rPr>
            </w:pPr>
          </w:p>
        </w:tc>
        <w:tc>
          <w:tcPr>
            <w:tcW w:w="420" w:type="dxa"/>
            <w:vAlign w:val="bottom"/>
            <w:vMerge w:val="continue"/>
            <w:shd w:val="clear" w:color="auto" w:fill="CCFFCC"/>
          </w:tcPr>
          <w:p>
            <w:pPr>
              <w:spacing w:after="0"/>
              <w:rPr>
                <w:sz w:val="18"/>
                <w:szCs w:val="18"/>
                <w:color w:val="auto"/>
              </w:rPr>
            </w:pPr>
          </w:p>
        </w:tc>
        <w:tc>
          <w:tcPr>
            <w:tcW w:w="1420" w:type="dxa"/>
            <w:vAlign w:val="bottom"/>
            <w:gridSpan w:val="2"/>
            <w:vMerge w:val="continue"/>
            <w:shd w:val="clear" w:color="auto" w:fill="CCFFCC"/>
          </w:tcPr>
          <w:p>
            <w:pPr>
              <w:spacing w:after="0"/>
              <w:rPr>
                <w:sz w:val="18"/>
                <w:szCs w:val="18"/>
                <w:color w:val="auto"/>
              </w:rPr>
            </w:pPr>
          </w:p>
        </w:tc>
        <w:tc>
          <w:tcPr>
            <w:tcW w:w="400" w:type="dxa"/>
            <w:vAlign w:val="bottom"/>
            <w:vMerge w:val="continue"/>
            <w:shd w:val="clear" w:color="auto" w:fill="CCFFCC"/>
          </w:tcPr>
          <w:p>
            <w:pPr>
              <w:spacing w:after="0"/>
              <w:rPr>
                <w:sz w:val="18"/>
                <w:szCs w:val="18"/>
                <w:color w:val="auto"/>
              </w:rPr>
            </w:pPr>
          </w:p>
        </w:tc>
        <w:tc>
          <w:tcPr>
            <w:tcW w:w="1420" w:type="dxa"/>
            <w:vAlign w:val="bottom"/>
            <w:gridSpan w:val="2"/>
            <w:vMerge w:val="continue"/>
            <w:shd w:val="clear" w:color="auto" w:fill="CCFFCC"/>
          </w:tcPr>
          <w:p>
            <w:pPr>
              <w:spacing w:after="0"/>
              <w:rPr>
                <w:sz w:val="18"/>
                <w:szCs w:val="18"/>
                <w:color w:val="auto"/>
              </w:rPr>
            </w:pPr>
          </w:p>
        </w:tc>
        <w:tc>
          <w:tcPr>
            <w:tcW w:w="420" w:type="dxa"/>
            <w:vAlign w:val="bottom"/>
            <w:vMerge w:val="continue"/>
            <w:shd w:val="clear" w:color="auto" w:fill="CCFFCC"/>
          </w:tcPr>
          <w:p>
            <w:pPr>
              <w:spacing w:after="0"/>
              <w:rPr>
                <w:sz w:val="18"/>
                <w:szCs w:val="18"/>
                <w:color w:val="auto"/>
              </w:rPr>
            </w:pPr>
          </w:p>
        </w:tc>
        <w:tc>
          <w:tcPr>
            <w:tcW w:w="1280" w:type="dxa"/>
            <w:vAlign w:val="bottom"/>
            <w:vMerge w:val="continue"/>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FFCC"/>
            </w:tcBorders>
          </w:tcPr>
          <w:p>
            <w:pPr>
              <w:spacing w:after="0" w:line="20" w:lineRule="exact"/>
              <w:rPr>
                <w:sz w:val="1"/>
                <w:szCs w:val="1"/>
                <w:color w:val="auto"/>
              </w:rPr>
            </w:pPr>
          </w:p>
        </w:tc>
        <w:tc>
          <w:tcPr>
            <w:tcW w:w="17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Commitments and Contingencies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w:t>
      </w:r>
    </w:p>
    <w:p>
      <w:pPr>
        <w:spacing w:after="0" w:line="114"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111111"/>
        </w:rPr>
        <w:t xml:space="preserve">The Company leases facilities and certain car leases (the "leases") under agreements accounted for as operating leases. The </w:t>
      </w:r>
      <w:r>
        <w:rPr>
          <w:rFonts w:ascii="Times New Roman" w:cs="Times New Roman" w:eastAsia="Times New Roman" w:hAnsi="Times New Roman"/>
          <w:sz w:val="17"/>
          <w:szCs w:val="17"/>
          <w:color w:val="000000"/>
        </w:rPr>
        <w:t>leases have initial lease terms</w:t>
      </w:r>
      <w:r>
        <w:rPr>
          <w:rFonts w:ascii="Times New Roman" w:cs="Times New Roman" w:eastAsia="Times New Roman" w:hAnsi="Times New Roman"/>
          <w:sz w:val="17"/>
          <w:szCs w:val="17"/>
          <w:color w:val="111111"/>
        </w:rPr>
        <w:t xml:space="preserve"> </w:t>
      </w:r>
      <w:r>
        <w:rPr>
          <w:rFonts w:ascii="Times New Roman" w:cs="Times New Roman" w:eastAsia="Times New Roman" w:hAnsi="Times New Roman"/>
          <w:sz w:val="17"/>
          <w:szCs w:val="17"/>
          <w:color w:val="000000"/>
        </w:rPr>
        <w:t>ranging from 2 years to 10 years. Payments due under the lease contracts include primarily fixed payments. The lease terms include periods under options to extend or terminate the lease when it is reasonably certain that we will exercise that option. Currently, there are no operating leases where we believe it is reasonably certain that the Company will exercise any option to extend the initial term.</w:t>
      </w:r>
    </w:p>
    <w:p>
      <w:pPr>
        <w:spacing w:after="0" w:line="97"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111111"/>
        </w:rPr>
        <w:t>The Company has evaluated its facility leases and determined which leases met the definition of the new standard in accordance with Topic 842. The Company also performed an evaluation of their other contracts with suppliers in accordance with Topic 842 and have determined that, except for the facilities and car leases described above, none of its supply contracts contain a lease. Further, the Company has made an accounting policy election to keep leases with an initial term of twelve months or less off the balance sheet. This policy applies to all classes of the underlying assets. The Company will recognize those lease payments and associated interest expense in the consolidated statement of operations evenly over the lease term.</w:t>
      </w:r>
    </w:p>
    <w:p>
      <w:pPr>
        <w:spacing w:after="0" w:line="10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111111"/>
        </w:rPr>
        <w:t xml:space="preserve">In connection with the leases, the Company recognized operating lease right-of-use assets of $16.0 million and an aggregate lease liability of $19.9 million in its condensed consolidated balance sheet as of </w:t>
      </w:r>
      <w:r>
        <w:rPr>
          <w:rFonts w:ascii="Times New Roman" w:cs="Times New Roman" w:eastAsia="Times New Roman" w:hAnsi="Times New Roman"/>
          <w:sz w:val="17"/>
          <w:szCs w:val="17"/>
          <w:color w:val="000000"/>
        </w:rPr>
        <w:t>June 30, 2019</w:t>
      </w:r>
      <w:r>
        <w:rPr>
          <w:rFonts w:ascii="Times New Roman" w:cs="Times New Roman" w:eastAsia="Times New Roman" w:hAnsi="Times New Roman"/>
          <w:sz w:val="17"/>
          <w:szCs w:val="17"/>
          <w:color w:val="111111"/>
        </w:rPr>
        <w:t>.</w:t>
      </w:r>
    </w:p>
    <w:p>
      <w:pPr>
        <w:spacing w:after="0" w:line="81"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111111"/>
        </w:rPr>
        <w:t xml:space="preserve">The determination of the discount rate used to calculate the present value of the right-of-use assets and lease liabilities depends on whether an interest rate is specified in the lease or not. If the lease specifies a rate, that rate is used when calculating the present value of lease payments. </w:t>
      </w:r>
      <w:r>
        <w:rPr>
          <w:rFonts w:ascii="Times New Roman" w:cs="Times New Roman" w:eastAsia="Times New Roman" w:hAnsi="Times New Roman"/>
          <w:sz w:val="17"/>
          <w:szCs w:val="17"/>
          <w:color w:val="000000"/>
        </w:rPr>
        <w:t>If the rate is not readily determinable,</w:t>
      </w:r>
      <w:r>
        <w:rPr>
          <w:rFonts w:ascii="Times New Roman" w:cs="Times New Roman" w:eastAsia="Times New Roman" w:hAnsi="Times New Roman"/>
          <w:sz w:val="17"/>
          <w:szCs w:val="17"/>
          <w:color w:val="111111"/>
        </w:rPr>
        <w:t xml:space="preserve"> </w:t>
      </w:r>
      <w:r>
        <w:rPr>
          <w:rFonts w:ascii="Times New Roman" w:cs="Times New Roman" w:eastAsia="Times New Roman" w:hAnsi="Times New Roman"/>
          <w:sz w:val="17"/>
          <w:szCs w:val="17"/>
          <w:color w:val="000000"/>
        </w:rPr>
        <w:t>which is generally the case for the Company, the Company’s incremental borrowing rate (“IBR”) as of the date of inception of the lease is used (for initial measurement, the IBR was determined as of the adoption date of the standard). The IBR is the rate of interest that the Company would have to pay to borrow on a collateralized basis over a similar term and amount equal to the lease payments in a similar economic environment. The Company used a ratings benchmark report against its peers in the technology sector.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420"/>
          </w:cols>
          <w:pgMar w:left="240" w:top="170" w:right="2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223"/>
        </w:trPr>
        <w:tc>
          <w:tcPr>
            <w:tcW w:w="2840" w:type="dxa"/>
            <w:vAlign w:val="bottom"/>
          </w:tcPr>
          <w:p>
            <w:pPr>
              <w:spacing w:after="0"/>
              <w:rPr>
                <w:sz w:val="19"/>
                <w:szCs w:val="19"/>
                <w:color w:val="auto"/>
              </w:rPr>
            </w:pPr>
          </w:p>
        </w:tc>
        <w:tc>
          <w:tcPr>
            <w:tcW w:w="6520" w:type="dxa"/>
            <w:vAlign w:val="bottom"/>
            <w:gridSpan w:val="2"/>
          </w:tcPr>
          <w:p>
            <w:pPr>
              <w:jc w:val="center"/>
              <w:ind w:right="744"/>
              <w:spacing w:after="0"/>
              <w:rPr>
                <w:sz w:val="20"/>
                <w:szCs w:val="20"/>
                <w:color w:val="auto"/>
              </w:rPr>
            </w:pPr>
            <w:r>
              <w:rPr>
                <w:rFonts w:ascii="Times New Roman" w:cs="Times New Roman" w:eastAsia="Times New Roman" w:hAnsi="Times New Roman"/>
                <w:sz w:val="17"/>
                <w:szCs w:val="17"/>
                <w:b w:val="1"/>
                <w:bCs w:val="1"/>
                <w:color w:val="auto"/>
                <w:w w:val="98"/>
              </w:rPr>
              <w:t>NOTES TO CONDENSED CONSOLIDATED FINANCIAL STATEMENTS</w:t>
            </w:r>
          </w:p>
        </w:tc>
        <w:tc>
          <w:tcPr>
            <w:tcW w:w="2040" w:type="dxa"/>
            <w:vAlign w:val="bottom"/>
          </w:tcPr>
          <w:p>
            <w:pPr>
              <w:spacing w:after="0"/>
              <w:rPr>
                <w:sz w:val="19"/>
                <w:szCs w:val="19"/>
                <w:color w:val="auto"/>
              </w:rPr>
            </w:pPr>
          </w:p>
        </w:tc>
      </w:tr>
      <w:tr>
        <w:trPr>
          <w:trHeight w:val="292"/>
        </w:trPr>
        <w:tc>
          <w:tcPr>
            <w:tcW w:w="2840" w:type="dxa"/>
            <w:vAlign w:val="bottom"/>
          </w:tcPr>
          <w:p>
            <w:pPr>
              <w:spacing w:after="0"/>
              <w:rPr>
                <w:sz w:val="24"/>
                <w:szCs w:val="24"/>
                <w:color w:val="auto"/>
              </w:rPr>
            </w:pPr>
          </w:p>
        </w:tc>
        <w:tc>
          <w:tcPr>
            <w:tcW w:w="6520" w:type="dxa"/>
            <w:vAlign w:val="bottom"/>
            <w:gridSpan w:val="2"/>
          </w:tcPr>
          <w:p>
            <w:pPr>
              <w:jc w:val="center"/>
              <w:ind w:right="744"/>
              <w:spacing w:after="0"/>
              <w:rPr>
                <w:sz w:val="20"/>
                <w:szCs w:val="20"/>
                <w:color w:val="auto"/>
              </w:rPr>
            </w:pPr>
            <w:r>
              <w:rPr>
                <w:rFonts w:ascii="Times New Roman" w:cs="Times New Roman" w:eastAsia="Times New Roman" w:hAnsi="Times New Roman"/>
                <w:sz w:val="17"/>
                <w:szCs w:val="17"/>
                <w:b w:val="1"/>
                <w:bCs w:val="1"/>
                <w:color w:val="auto"/>
                <w:w w:val="99"/>
              </w:rPr>
              <w:t>(UNAUDITED)</w:t>
            </w:r>
          </w:p>
        </w:tc>
        <w:tc>
          <w:tcPr>
            <w:tcW w:w="2040" w:type="dxa"/>
            <w:vAlign w:val="bottom"/>
          </w:tcPr>
          <w:p>
            <w:pPr>
              <w:spacing w:after="0"/>
              <w:rPr>
                <w:sz w:val="24"/>
                <w:szCs w:val="24"/>
                <w:color w:val="auto"/>
              </w:rPr>
            </w:pPr>
          </w:p>
        </w:tc>
      </w:tr>
      <w:tr>
        <w:trPr>
          <w:trHeight w:val="847"/>
        </w:trPr>
        <w:tc>
          <w:tcPr>
            <w:tcW w:w="28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As of June 30, 2019</w:t>
            </w:r>
          </w:p>
        </w:tc>
      </w:tr>
      <w:tr>
        <w:trPr>
          <w:trHeight w:val="205"/>
        </w:trPr>
        <w:tc>
          <w:tcPr>
            <w:tcW w:w="2840" w:type="dxa"/>
            <w:vAlign w:val="bottom"/>
            <w:shd w:val="clear" w:color="auto" w:fill="CCFFCC"/>
          </w:tcPr>
          <w:p>
            <w:pPr>
              <w:spacing w:after="0"/>
              <w:rPr>
                <w:sz w:val="17"/>
                <w:szCs w:val="17"/>
                <w:color w:val="auto"/>
              </w:rPr>
            </w:pPr>
          </w:p>
        </w:tc>
        <w:tc>
          <w:tcPr>
            <w:tcW w:w="6140" w:type="dxa"/>
            <w:vAlign w:val="bottom"/>
            <w:shd w:val="clear" w:color="auto" w:fill="CCFFCC"/>
          </w:tcPr>
          <w:p>
            <w:pPr>
              <w:spacing w:after="0"/>
              <w:rPr>
                <w:sz w:val="17"/>
                <w:szCs w:val="17"/>
                <w:color w:val="auto"/>
              </w:rPr>
            </w:pPr>
          </w:p>
        </w:tc>
        <w:tc>
          <w:tcPr>
            <w:tcW w:w="242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lease term and</w:t>
            </w:r>
          </w:p>
        </w:tc>
      </w:tr>
      <w:tr>
        <w:trPr>
          <w:trHeight w:val="232"/>
        </w:trPr>
        <w:tc>
          <w:tcPr>
            <w:tcW w:w="28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614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CCFFCC"/>
            </w:tcBorders>
            <w:shd w:val="clear" w:color="auto" w:fill="CCFFCC"/>
          </w:tcPr>
          <w:p>
            <w:pPr>
              <w:spacing w:after="0"/>
              <w:rPr>
                <w:sz w:val="20"/>
                <w:szCs w:val="20"/>
                <w:color w:val="auto"/>
              </w:rPr>
            </w:pPr>
          </w:p>
        </w:tc>
        <w:tc>
          <w:tcPr>
            <w:tcW w:w="2040" w:type="dxa"/>
            <w:vAlign w:val="bottom"/>
            <w:tcBorders>
              <w:bottom w:val="single" w:sz="8" w:color="CCFFCC"/>
            </w:tcBorders>
            <w:shd w:val="clear" w:color="auto" w:fill="CCFFCC"/>
          </w:tcPr>
          <w:p>
            <w:pPr>
              <w:jc w:val="right"/>
              <w:ind w:right="685"/>
              <w:spacing w:after="0"/>
              <w:rPr>
                <w:sz w:val="20"/>
                <w:szCs w:val="20"/>
                <w:color w:val="auto"/>
              </w:rPr>
            </w:pPr>
            <w:r>
              <w:rPr>
                <w:rFonts w:ascii="Times New Roman" w:cs="Times New Roman" w:eastAsia="Times New Roman" w:hAnsi="Times New Roman"/>
                <w:sz w:val="15"/>
                <w:szCs w:val="15"/>
                <w:b w:val="1"/>
                <w:bCs w:val="1"/>
                <w:color w:val="auto"/>
              </w:rPr>
              <w:t>discount rate)</w:t>
            </w:r>
          </w:p>
        </w:tc>
      </w:tr>
      <w:tr>
        <w:trPr>
          <w:trHeight w:val="204"/>
        </w:trPr>
        <w:tc>
          <w:tcPr>
            <w:tcW w:w="2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w:t>
            </w:r>
          </w:p>
        </w:tc>
        <w:tc>
          <w:tcPr>
            <w:tcW w:w="614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4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15,956</w:t>
            </w:r>
          </w:p>
        </w:tc>
      </w:tr>
      <w:tr>
        <w:trPr>
          <w:trHeight w:val="30"/>
        </w:trPr>
        <w:tc>
          <w:tcPr>
            <w:tcW w:w="28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80"/>
        </w:trPr>
        <w:tc>
          <w:tcPr>
            <w:tcW w:w="2840" w:type="dxa"/>
            <w:vAlign w:val="bottom"/>
            <w:shd w:val="clear" w:color="auto" w:fill="CCFFCC"/>
          </w:tcPr>
          <w:p>
            <w:pPr>
              <w:spacing w:after="0"/>
              <w:rPr>
                <w:sz w:val="24"/>
                <w:szCs w:val="24"/>
                <w:color w:val="auto"/>
              </w:rPr>
            </w:pPr>
          </w:p>
        </w:tc>
        <w:tc>
          <w:tcPr>
            <w:tcW w:w="61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2040" w:type="dxa"/>
            <w:vAlign w:val="bottom"/>
            <w:shd w:val="clear" w:color="auto" w:fill="CCFFCC"/>
          </w:tcPr>
          <w:p>
            <w:pPr>
              <w:spacing w:after="0"/>
              <w:rPr>
                <w:sz w:val="24"/>
                <w:szCs w:val="24"/>
                <w:color w:val="auto"/>
              </w:rPr>
            </w:pPr>
          </w:p>
        </w:tc>
      </w:tr>
      <w:tr>
        <w:trPr>
          <w:trHeight w:val="224"/>
        </w:trPr>
        <w:tc>
          <w:tcPr>
            <w:tcW w:w="2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operating lease liability</w:t>
            </w:r>
          </w:p>
        </w:tc>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6,442</w:t>
            </w:r>
          </w:p>
        </w:tc>
      </w:tr>
      <w:tr>
        <w:trPr>
          <w:trHeight w:val="30"/>
        </w:trPr>
        <w:tc>
          <w:tcPr>
            <w:tcW w:w="28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4"/>
        </w:trPr>
        <w:tc>
          <w:tcPr>
            <w:tcW w:w="28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Long term operating lease liability</w:t>
            </w:r>
          </w:p>
        </w:tc>
        <w:tc>
          <w:tcPr>
            <w:tcW w:w="6140" w:type="dxa"/>
            <w:vAlign w:val="bottom"/>
            <w:tcBorders>
              <w:bottom w:val="single" w:sz="8" w:color="CCFFCC"/>
            </w:tcBorders>
            <w:shd w:val="clear" w:color="auto" w:fill="CCFFCC"/>
          </w:tcPr>
          <w:p>
            <w:pPr>
              <w:spacing w:after="0"/>
              <w:rPr>
                <w:sz w:val="22"/>
                <w:szCs w:val="22"/>
                <w:color w:val="auto"/>
              </w:rPr>
            </w:pPr>
          </w:p>
        </w:tc>
        <w:tc>
          <w:tcPr>
            <w:tcW w:w="380" w:type="dxa"/>
            <w:vAlign w:val="bottom"/>
            <w:tcBorders>
              <w:bottom w:val="single" w:sz="8" w:color="CCFFCC"/>
            </w:tcBorders>
            <w:shd w:val="clear" w:color="auto" w:fill="CCFFCC"/>
          </w:tcPr>
          <w:p>
            <w:pPr>
              <w:spacing w:after="0"/>
              <w:rPr>
                <w:sz w:val="22"/>
                <w:szCs w:val="22"/>
                <w:color w:val="auto"/>
              </w:rPr>
            </w:pPr>
          </w:p>
        </w:tc>
        <w:tc>
          <w:tcPr>
            <w:tcW w:w="2040" w:type="dxa"/>
            <w:vAlign w:val="bottom"/>
            <w:tcBorders>
              <w:bottom w:val="single" w:sz="8" w:color="CCFFCC"/>
            </w:tcBorders>
            <w:shd w:val="clear" w:color="auto" w:fill="CCFFCC"/>
          </w:tcPr>
          <w:p>
            <w:pPr>
              <w:jc w:val="right"/>
              <w:ind w:right="85"/>
              <w:spacing w:after="0"/>
              <w:rPr>
                <w:sz w:val="20"/>
                <w:szCs w:val="20"/>
                <w:color w:val="auto"/>
              </w:rPr>
            </w:pPr>
            <w:r>
              <w:rPr>
                <w:rFonts w:ascii="Times New Roman" w:cs="Times New Roman" w:eastAsia="Times New Roman" w:hAnsi="Times New Roman"/>
                <w:sz w:val="15"/>
                <w:szCs w:val="15"/>
                <w:color w:val="auto"/>
              </w:rPr>
              <w:t>13,443</w:t>
            </w:r>
          </w:p>
        </w:tc>
      </w:tr>
      <w:tr>
        <w:trPr>
          <w:trHeight w:val="204"/>
        </w:trPr>
        <w:tc>
          <w:tcPr>
            <w:tcW w:w="2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operating lease liability</w:t>
            </w:r>
          </w:p>
        </w:tc>
        <w:tc>
          <w:tcPr>
            <w:tcW w:w="614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4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19,885</w:t>
            </w:r>
          </w:p>
        </w:tc>
      </w:tr>
      <w:tr>
        <w:trPr>
          <w:trHeight w:val="30"/>
        </w:trPr>
        <w:tc>
          <w:tcPr>
            <w:tcW w:w="2840" w:type="dxa"/>
            <w:vAlign w:val="bottom"/>
            <w:tcBorders>
              <w:bottom w:val="single" w:sz="8" w:color="CCFFCC"/>
            </w:tcBorders>
          </w:tcPr>
          <w:p>
            <w:pPr>
              <w:spacing w:after="0"/>
              <w:rPr>
                <w:sz w:val="2"/>
                <w:szCs w:val="2"/>
                <w:color w:val="auto"/>
              </w:rPr>
            </w:pPr>
          </w:p>
        </w:tc>
        <w:tc>
          <w:tcPr>
            <w:tcW w:w="614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72"/>
        </w:trPr>
        <w:tc>
          <w:tcPr>
            <w:tcW w:w="2840" w:type="dxa"/>
            <w:vAlign w:val="bottom"/>
            <w:shd w:val="clear" w:color="auto" w:fill="CCFFCC"/>
          </w:tcPr>
          <w:p>
            <w:pPr>
              <w:spacing w:after="0"/>
              <w:rPr>
                <w:sz w:val="23"/>
                <w:szCs w:val="23"/>
                <w:color w:val="auto"/>
              </w:rPr>
            </w:pPr>
          </w:p>
        </w:tc>
        <w:tc>
          <w:tcPr>
            <w:tcW w:w="6140" w:type="dxa"/>
            <w:vAlign w:val="bottom"/>
            <w:shd w:val="clear" w:color="auto" w:fill="CCFFCC"/>
          </w:tcPr>
          <w:p>
            <w:pPr>
              <w:spacing w:after="0"/>
              <w:rPr>
                <w:sz w:val="23"/>
                <w:szCs w:val="23"/>
                <w:color w:val="auto"/>
              </w:rPr>
            </w:pPr>
          </w:p>
        </w:tc>
        <w:tc>
          <w:tcPr>
            <w:tcW w:w="380" w:type="dxa"/>
            <w:vAlign w:val="bottom"/>
            <w:shd w:val="clear" w:color="auto" w:fill="CCFFCC"/>
          </w:tcPr>
          <w:p>
            <w:pPr>
              <w:spacing w:after="0"/>
              <w:rPr>
                <w:sz w:val="23"/>
                <w:szCs w:val="23"/>
                <w:color w:val="auto"/>
              </w:rPr>
            </w:pPr>
          </w:p>
        </w:tc>
        <w:tc>
          <w:tcPr>
            <w:tcW w:w="2040" w:type="dxa"/>
            <w:vAlign w:val="bottom"/>
            <w:shd w:val="clear" w:color="auto" w:fill="CCFFCC"/>
          </w:tcPr>
          <w:p>
            <w:pPr>
              <w:spacing w:after="0"/>
              <w:rPr>
                <w:sz w:val="23"/>
                <w:szCs w:val="23"/>
                <w:color w:val="auto"/>
              </w:rPr>
            </w:pPr>
          </w:p>
        </w:tc>
      </w:tr>
      <w:tr>
        <w:trPr>
          <w:trHeight w:val="224"/>
        </w:trPr>
        <w:tc>
          <w:tcPr>
            <w:tcW w:w="2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Remaining Lease Term</w:t>
            </w:r>
          </w:p>
        </w:tc>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0"/>
        </w:trPr>
        <w:tc>
          <w:tcPr>
            <w:tcW w:w="28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4"/>
        </w:trPr>
        <w:tc>
          <w:tcPr>
            <w:tcW w:w="28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5"/>
                <w:szCs w:val="15"/>
                <w:color w:val="auto"/>
              </w:rPr>
              <w:t>Operating leases</w:t>
            </w:r>
          </w:p>
        </w:tc>
        <w:tc>
          <w:tcPr>
            <w:tcW w:w="614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CCFFCC"/>
            </w:tcBorders>
            <w:shd w:val="clear" w:color="auto" w:fill="CCFFCC"/>
          </w:tcPr>
          <w:p>
            <w:pPr>
              <w:spacing w:after="0"/>
              <w:rPr>
                <w:sz w:val="20"/>
                <w:szCs w:val="20"/>
                <w:color w:val="auto"/>
              </w:rPr>
            </w:pPr>
          </w:p>
        </w:tc>
        <w:tc>
          <w:tcPr>
            <w:tcW w:w="2040" w:type="dxa"/>
            <w:vAlign w:val="bottom"/>
            <w:tcBorders>
              <w:bottom w:val="single" w:sz="8" w:color="CCFFCC"/>
            </w:tcBorders>
            <w:shd w:val="clear" w:color="auto" w:fill="CCFFCC"/>
          </w:tcPr>
          <w:p>
            <w:pPr>
              <w:jc w:val="right"/>
              <w:ind w:right="85"/>
              <w:spacing w:after="0"/>
              <w:rPr>
                <w:sz w:val="20"/>
                <w:szCs w:val="20"/>
                <w:color w:val="auto"/>
              </w:rPr>
            </w:pPr>
            <w:r>
              <w:rPr>
                <w:rFonts w:ascii="Times New Roman" w:cs="Times New Roman" w:eastAsia="Times New Roman" w:hAnsi="Times New Roman"/>
                <w:sz w:val="15"/>
                <w:szCs w:val="15"/>
                <w:color w:val="auto"/>
              </w:rPr>
              <w:t>3.9 years</w:t>
            </w:r>
          </w:p>
        </w:tc>
      </w:tr>
      <w:tr>
        <w:trPr>
          <w:trHeight w:val="280"/>
        </w:trPr>
        <w:tc>
          <w:tcPr>
            <w:tcW w:w="28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28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Discount Rate</w:t>
            </w:r>
          </w:p>
        </w:tc>
        <w:tc>
          <w:tcPr>
            <w:tcW w:w="614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CCFFCC"/>
            </w:tcBorders>
            <w:shd w:val="clear" w:color="auto" w:fill="CCFFCC"/>
          </w:tcPr>
          <w:p>
            <w:pPr>
              <w:spacing w:after="0"/>
              <w:rPr>
                <w:sz w:val="20"/>
                <w:szCs w:val="20"/>
                <w:color w:val="auto"/>
              </w:rPr>
            </w:pPr>
          </w:p>
        </w:tc>
        <w:tc>
          <w:tcPr>
            <w:tcW w:w="2040" w:type="dxa"/>
            <w:vAlign w:val="bottom"/>
            <w:tcBorders>
              <w:bottom w:val="single" w:sz="8" w:color="CCFFCC"/>
            </w:tcBorders>
            <w:shd w:val="clear" w:color="auto" w:fill="CCFFCC"/>
          </w:tcPr>
          <w:p>
            <w:pPr>
              <w:spacing w:after="0"/>
              <w:rPr>
                <w:sz w:val="20"/>
                <w:szCs w:val="20"/>
                <w:color w:val="auto"/>
              </w:rPr>
            </w:pPr>
          </w:p>
        </w:tc>
      </w:tr>
      <w:tr>
        <w:trPr>
          <w:trHeight w:val="224"/>
        </w:trPr>
        <w:tc>
          <w:tcPr>
            <w:tcW w:w="2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Operating leases</w:t>
            </w:r>
          </w:p>
        </w:tc>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bl>
    <w:p>
      <w:pPr>
        <w:spacing w:after="0" w:line="34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 xml:space="preserve">During the three months and six months ended June 30, 2019, there were $1.6 million and $3.2 million of cash payments for operating leases, respectively. </w:t>
      </w:r>
      <w:r>
        <w:rPr>
          <w:rFonts w:ascii="Times New Roman" w:cs="Times New Roman" w:eastAsia="Times New Roman" w:hAnsi="Times New Roman"/>
          <w:sz w:val="17"/>
          <w:szCs w:val="17"/>
          <w:color w:val="111111"/>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11111"/>
        </w:rPr>
        <w:t xml:space="preserve">undiscounted future lease payments under the lease liability as of </w:t>
      </w:r>
      <w:r>
        <w:rPr>
          <w:rFonts w:ascii="Times New Roman" w:cs="Times New Roman" w:eastAsia="Times New Roman" w:hAnsi="Times New Roman"/>
          <w:sz w:val="17"/>
          <w:szCs w:val="17"/>
          <w:color w:val="000000"/>
        </w:rPr>
        <w:t>June 30, 2019</w:t>
      </w:r>
      <w:r>
        <w:rPr>
          <w:rFonts w:ascii="Times New Roman" w:cs="Times New Roman" w:eastAsia="Times New Roman" w:hAnsi="Times New Roman"/>
          <w:sz w:val="17"/>
          <w:szCs w:val="17"/>
          <w:color w:val="111111"/>
        </w:rPr>
        <w:t xml:space="preserve"> were as follows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As of June 30, 2019</w:t>
            </w:r>
          </w:p>
        </w:tc>
      </w:tr>
      <w:tr>
        <w:trPr>
          <w:trHeight w:val="209"/>
        </w:trPr>
        <w:tc>
          <w:tcPr>
            <w:tcW w:w="9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2019 (remaining six months)</w:t>
            </w:r>
          </w:p>
        </w:tc>
        <w:tc>
          <w:tcPr>
            <w:tcW w:w="2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3,741</w:t>
            </w:r>
          </w:p>
        </w:tc>
      </w:tr>
      <w:tr>
        <w:trPr>
          <w:trHeight w:val="30"/>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4"/>
        </w:trPr>
        <w:tc>
          <w:tcPr>
            <w:tcW w:w="93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2020</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168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6,421</w:t>
            </w:r>
          </w:p>
        </w:tc>
      </w:tr>
      <w:tr>
        <w:trPr>
          <w:trHeight w:val="224"/>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4,955</w:t>
            </w:r>
          </w:p>
        </w:tc>
      </w:tr>
      <w:tr>
        <w:trPr>
          <w:trHeight w:val="30"/>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4"/>
        </w:trPr>
        <w:tc>
          <w:tcPr>
            <w:tcW w:w="93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168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3,669</w:t>
            </w:r>
          </w:p>
        </w:tc>
      </w:tr>
      <w:tr>
        <w:trPr>
          <w:trHeight w:val="224"/>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1,903</w:t>
            </w:r>
          </w:p>
        </w:tc>
      </w:tr>
      <w:tr>
        <w:trPr>
          <w:trHeight w:val="30"/>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4"/>
        </w:trPr>
        <w:tc>
          <w:tcPr>
            <w:tcW w:w="946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2024 and thereafter</w:t>
            </w:r>
          </w:p>
        </w:tc>
        <w:tc>
          <w:tcPr>
            <w:tcW w:w="260" w:type="dxa"/>
            <w:vAlign w:val="bottom"/>
            <w:tcBorders>
              <w:bottom w:val="single" w:sz="8" w:color="CCFFCC"/>
            </w:tcBorders>
            <w:shd w:val="clear" w:color="auto" w:fill="CCFFCC"/>
          </w:tcPr>
          <w:p>
            <w:pPr>
              <w:spacing w:after="0"/>
              <w:rPr>
                <w:sz w:val="22"/>
                <w:szCs w:val="22"/>
                <w:color w:val="auto"/>
              </w:rPr>
            </w:pPr>
          </w:p>
        </w:tc>
        <w:tc>
          <w:tcPr>
            <w:tcW w:w="168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1,961</w:t>
            </w:r>
          </w:p>
        </w:tc>
      </w:tr>
      <w:tr>
        <w:trPr>
          <w:trHeight w:val="204"/>
        </w:trPr>
        <w:tc>
          <w:tcPr>
            <w:tcW w:w="94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Total undiscounted lease payments</w:t>
            </w: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22,650</w:t>
            </w:r>
          </w:p>
        </w:tc>
      </w:tr>
      <w:tr>
        <w:trPr>
          <w:trHeight w:val="30"/>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4"/>
        </w:trPr>
        <w:tc>
          <w:tcPr>
            <w:tcW w:w="946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Less: present value adjustment</w:t>
            </w:r>
          </w:p>
        </w:tc>
        <w:tc>
          <w:tcPr>
            <w:tcW w:w="260" w:type="dxa"/>
            <w:vAlign w:val="bottom"/>
            <w:tcBorders>
              <w:bottom w:val="single" w:sz="8" w:color="CCFFCC"/>
            </w:tcBorders>
            <w:shd w:val="clear" w:color="auto" w:fill="CCFFCC"/>
          </w:tcPr>
          <w:p>
            <w:pPr>
              <w:spacing w:after="0"/>
              <w:rPr>
                <w:sz w:val="22"/>
                <w:szCs w:val="22"/>
                <w:color w:val="auto"/>
              </w:rPr>
            </w:pPr>
          </w:p>
        </w:tc>
        <w:tc>
          <w:tcPr>
            <w:tcW w:w="16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(2,765)</w:t>
            </w:r>
          </w:p>
        </w:tc>
      </w:tr>
      <w:tr>
        <w:trPr>
          <w:trHeight w:val="227"/>
        </w:trPr>
        <w:tc>
          <w:tcPr>
            <w:tcW w:w="94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Total operating lease liability</w:t>
            </w:r>
          </w:p>
        </w:tc>
        <w:tc>
          <w:tcPr>
            <w:tcW w:w="26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19,885</w:t>
            </w:r>
          </w:p>
        </w:tc>
      </w:tr>
      <w:tr>
        <w:trPr>
          <w:trHeight w:val="20"/>
        </w:trPr>
        <w:tc>
          <w:tcPr>
            <w:tcW w:w="9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Rental expense for operating leases and other service agreements was approximately $3.2 million and $2.7 million for the three months ended, June 30, 2019 and 2018, respectively, and $6.1 million and $5.3 million for the six months ended June 30, 2019 and 2018,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Plans</w:t>
      </w:r>
    </w:p>
    <w:p>
      <w:pPr>
        <w:spacing w:after="0" w:line="114"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The Company has a 401(k) defined contribution plan covering all eligible employees. In 2018, the Company provided for employer matching contributions equal to 50% of employee contributions, up to the lesser of 5% of eligible compensation or $6,000. Matching contributions are deposited into the employee’s 401(k) account and are subject to 5 year graded vesting. Beginning in 2019, the Company's 401(k) policy was changed to a Safe Harbor Plan, whereby the Company matches 100% of the first 3% of eligible compensation and 50% of the next 2% of eligible compensation. Furthermore, the match is immediately vested. Salaries and related expenses include $0.8 million and $0.4 million of employer matching contributions for the three months ended June 30, 2019 and 2018, respectively and $1.8 million and $0.9 million for the six months ended June 30, 2019 and 2018,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Letters of Credit</w:t>
      </w:r>
    </w:p>
    <w:p>
      <w:pPr>
        <w:spacing w:after="0" w:line="114"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As of June 30, 2019, the Company has a $1.8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six months ended June 30, 2019.</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420"/>
          </w:cols>
          <w:pgMar w:left="240" w:top="170"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1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As of June 30, 2019, there were 100,000,000 shares of common stock authorized, and 65,398,801 shares issued and outstanding. As of December 31, 2018, there were 100,000,000 shares of common stock authorized, and 63,676,229 shares issued and outstanding. The par value for common shares is $0.001 per share.</w:t>
      </w:r>
    </w:p>
    <w:p>
      <w:pPr>
        <w:spacing w:after="0" w:line="5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On June 6, 2019, our stockholders approved an amendment to our charter to increase the number of shares of our common stock that we are authorized to issue from 100,000,000 to 200,000,000 shares. We expect to file a charter amendment with the State of Delaware to effectuate this increase in the number of shares of our common stock that we are authorized to issue.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11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As of June 30, 2019 and December 31, 2018, there were 5,000,000 shares of preferred stock authorized, and zero shares issued and outstanding. The par value for preferred shares is $0.001 per share.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114"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 on a variety of factors including the timing of open trading windows, price, corporate and regulatory requirements and other market conditions. The program was discontinued at the end of 2018. The Company may or may not enter into a new stock repurchase program in the future.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14"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Incremental compensation costs arising from subsequent modifications of awards after the grant date must be recognized.</w:t>
      </w:r>
    </w:p>
    <w:p>
      <w:pPr>
        <w:spacing w:after="0" w:line="71"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The per share weighted average fair value of stock options granted was $11.74 and $8.15 during the three months ended June 30, 2019 and 2018, respectively and $11.28 and $6.26 during the six months ended June 30, 2019 and 2018, respectively. The fair value of each option grant is estimated on the date of grant using the Black-Scholes option-pricing model with the following weighted average assumptions: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Three Months Ended 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6"/>
              </w:rPr>
              <w:t>Six Months Ended June 30,</w:t>
            </w:r>
          </w:p>
        </w:tc>
        <w:tc>
          <w:tcPr>
            <w:tcW w:w="840" w:type="dxa"/>
            <w:vAlign w:val="bottom"/>
            <w:tcBorders>
              <w:bottom w:val="single" w:sz="8" w:color="auto"/>
            </w:tcBorders>
          </w:tcPr>
          <w:p>
            <w:pPr>
              <w:spacing w:after="0"/>
              <w:rPr>
                <w:sz w:val="16"/>
                <w:szCs w:val="16"/>
                <w:color w:val="auto"/>
              </w:rPr>
            </w:pPr>
          </w:p>
        </w:tc>
      </w:tr>
      <w:tr>
        <w:trPr>
          <w:trHeight w:val="247"/>
        </w:trPr>
        <w:tc>
          <w:tcPr>
            <w:tcW w:w="4700" w:type="dxa"/>
            <w:vAlign w:val="bottom"/>
          </w:tcPr>
          <w:p>
            <w:pPr>
              <w:spacing w:after="0"/>
              <w:rPr>
                <w:sz w:val="21"/>
                <w:szCs w:val="21"/>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100" w:type="dxa"/>
            <w:vAlign w:val="bottom"/>
          </w:tcPr>
          <w:p>
            <w:pPr>
              <w:spacing w:after="0"/>
              <w:rPr>
                <w:sz w:val="21"/>
                <w:szCs w:val="21"/>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20" w:type="dxa"/>
            <w:vAlign w:val="bottom"/>
          </w:tcPr>
          <w:p>
            <w:pPr>
              <w:spacing w:after="0"/>
              <w:rPr>
                <w:sz w:val="21"/>
                <w:szCs w:val="21"/>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21"/>
                <w:szCs w:val="21"/>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2018</w:t>
            </w:r>
          </w:p>
        </w:tc>
      </w:tr>
      <w:tr>
        <w:trPr>
          <w:trHeight w:val="209"/>
        </w:trPr>
        <w:tc>
          <w:tcPr>
            <w:tcW w:w="4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 yield</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0.0%</w:t>
            </w:r>
          </w:p>
        </w:tc>
        <w:tc>
          <w:tcPr>
            <w:tcW w:w="10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0.0%</w:t>
            </w:r>
          </w:p>
        </w:tc>
        <w:tc>
          <w:tcPr>
            <w:tcW w:w="12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0.0%</w:t>
            </w:r>
          </w:p>
        </w:tc>
        <w:tc>
          <w:tcPr>
            <w:tcW w:w="1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0.0%</w:t>
            </w:r>
          </w:p>
        </w:tc>
      </w:tr>
      <w:tr>
        <w:trPr>
          <w:trHeight w:val="30"/>
        </w:trPr>
        <w:tc>
          <w:tcPr>
            <w:tcW w:w="4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4"/>
        </w:trPr>
        <w:tc>
          <w:tcPr>
            <w:tcW w:w="47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Risk-free interest rate</w:t>
            </w:r>
          </w:p>
        </w:tc>
        <w:tc>
          <w:tcPr>
            <w:tcW w:w="7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- 2.36%</w:t>
            </w:r>
          </w:p>
        </w:tc>
        <w:tc>
          <w:tcPr>
            <w:tcW w:w="10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Borders>
              <w:bottom w:val="single" w:sz="8" w:color="CCFFCC"/>
            </w:tcBorders>
            <w:shd w:val="clear" w:color="auto" w:fill="CCFFCC"/>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- 2.57%</w:t>
            </w:r>
          </w:p>
        </w:tc>
        <w:tc>
          <w:tcPr>
            <w:tcW w:w="12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- 2.8%</w:t>
            </w:r>
          </w:p>
        </w:tc>
      </w:tr>
      <w:tr>
        <w:trPr>
          <w:trHeight w:val="224"/>
        </w:trPr>
        <w:tc>
          <w:tcPr>
            <w:tcW w:w="4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life (in years)</w:t>
            </w:r>
          </w:p>
        </w:tc>
        <w:tc>
          <w:tcPr>
            <w:tcW w:w="740" w:type="dxa"/>
            <w:vAlign w:val="bottom"/>
          </w:tcPr>
          <w:p>
            <w:pPr>
              <w:spacing w:after="0"/>
              <w:rPr>
                <w:sz w:val="19"/>
                <w:szCs w:val="19"/>
                <w:color w:val="auto"/>
              </w:rPr>
            </w:pPr>
          </w:p>
        </w:tc>
        <w:tc>
          <w:tcPr>
            <w:tcW w:w="860" w:type="dxa"/>
            <w:vAlign w:val="bottom"/>
          </w:tcPr>
          <w:p>
            <w:pPr>
              <w:jc w:val="center"/>
              <w:ind w:right="686"/>
              <w:spacing w:after="0"/>
              <w:rPr>
                <w:sz w:val="20"/>
                <w:szCs w:val="20"/>
                <w:color w:val="auto"/>
              </w:rPr>
            </w:pPr>
            <w:r>
              <w:rPr>
                <w:rFonts w:ascii="Times New Roman" w:cs="Times New Roman" w:eastAsia="Times New Roman" w:hAnsi="Times New Roman"/>
                <w:sz w:val="15"/>
                <w:szCs w:val="15"/>
                <w:color w:val="auto"/>
                <w:w w:val="79"/>
              </w:rPr>
              <w:t>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center"/>
              <w:ind w:right="686"/>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jc w:val="center"/>
              <w:ind w:right="644"/>
              <w:spacing w:after="0"/>
              <w:rPr>
                <w:sz w:val="20"/>
                <w:szCs w:val="20"/>
                <w:color w:val="auto"/>
              </w:rPr>
            </w:pPr>
            <w:r>
              <w:rPr>
                <w:rFonts w:ascii="Times New Roman" w:cs="Times New Roman" w:eastAsia="Times New Roman" w:hAnsi="Times New Roman"/>
                <w:sz w:val="15"/>
                <w:szCs w:val="15"/>
                <w:color w:val="auto"/>
              </w:rPr>
              <w:t>5</w:t>
            </w:r>
          </w:p>
        </w:tc>
      </w:tr>
      <w:tr>
        <w:trPr>
          <w:trHeight w:val="30"/>
        </w:trPr>
        <w:tc>
          <w:tcPr>
            <w:tcW w:w="4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4"/>
        </w:trPr>
        <w:tc>
          <w:tcPr>
            <w:tcW w:w="47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Historical volatility</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43.42%</w:t>
            </w:r>
          </w:p>
        </w:tc>
        <w:tc>
          <w:tcPr>
            <w:tcW w:w="8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- 43.69%</w:t>
            </w:r>
          </w:p>
        </w:tc>
        <w:tc>
          <w:tcPr>
            <w:tcW w:w="100" w:type="dxa"/>
            <w:vAlign w:val="bottom"/>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0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48.4%</w:t>
            </w:r>
          </w:p>
        </w:tc>
        <w:tc>
          <w:tcPr>
            <w:tcW w:w="120" w:type="dxa"/>
            <w:vAlign w:val="bottom"/>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43.42%</w:t>
            </w:r>
          </w:p>
        </w:tc>
        <w:tc>
          <w:tcPr>
            <w:tcW w:w="8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- 43.85%</w:t>
            </w:r>
          </w:p>
        </w:tc>
        <w:tc>
          <w:tcPr>
            <w:tcW w:w="12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8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- 48.4%</w:t>
            </w:r>
          </w:p>
        </w:tc>
      </w:tr>
      <w:tr>
        <w:trPr>
          <w:trHeight w:val="30"/>
        </w:trPr>
        <w:tc>
          <w:tcPr>
            <w:tcW w:w="47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r>
    </w:tbl>
    <w:p>
      <w:pPr>
        <w:spacing w:after="0" w:line="2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description of the methods used in the significant assumptions used to estimate the fair value of stock-based compensation awards follows: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 xml:space="preserve">Dividend yield – </w:t>
      </w:r>
      <w:r>
        <w:rPr>
          <w:rFonts w:ascii="Times New Roman" w:cs="Times New Roman" w:eastAsia="Times New Roman" w:hAnsi="Times New Roman"/>
          <w:sz w:val="17"/>
          <w:szCs w:val="17"/>
          <w:color w:val="auto"/>
        </w:rPr>
        <w:t>The Company uses 0% as it has never issued dividends and does not anticipate issuing dividends in the near term.</w:t>
      </w:r>
    </w:p>
    <w:p>
      <w:pPr>
        <w:spacing w:after="0" w:line="110" w:lineRule="exact"/>
        <w:rPr>
          <w:sz w:val="20"/>
          <w:szCs w:val="20"/>
          <w:color w:val="auto"/>
        </w:rPr>
      </w:pPr>
    </w:p>
    <w:p>
      <w:pPr>
        <w:ind w:left="460"/>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 </w:t>
      </w:r>
      <w:r>
        <w:rPr>
          <w:rFonts w:ascii="Times New Roman" w:cs="Times New Roman" w:eastAsia="Times New Roman" w:hAnsi="Times New Roman"/>
          <w:sz w:val="17"/>
          <w:szCs w:val="17"/>
          <w:color w:val="auto"/>
        </w:rPr>
        <w:t>The Company uses the market yield on U.S. Treasury securities at five years with constant maturity, representing the current expected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life of stock options in years.</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 xml:space="preserve">Expected life – </w:t>
      </w:r>
      <w:r>
        <w:rPr>
          <w:rFonts w:ascii="Times New Roman" w:cs="Times New Roman" w:eastAsia="Times New Roman" w:hAnsi="Times New Roman"/>
          <w:sz w:val="17"/>
          <w:szCs w:val="17"/>
          <w:color w:val="auto"/>
        </w:rPr>
        <w:t>The Company uses historical data to estimate the expected life of a stock option.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 xml:space="preserve">Historical volatility – </w:t>
      </w:r>
      <w:r>
        <w:rPr>
          <w:rFonts w:ascii="Times New Roman" w:cs="Times New Roman" w:eastAsia="Times New Roman" w:hAnsi="Times New Roman"/>
          <w:sz w:val="17"/>
          <w:szCs w:val="17"/>
          <w:color w:val="auto"/>
        </w:rPr>
        <w:t>The Company uses a trailing five year from grant date to determine volatility.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Plans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420"/>
          </w:cols>
          <w:pgMar w:left="240" w:top="170"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During 1998, the Company established the Stock Option and Restricted Stock Purchase Plan (the “1998 Plan”). Under the 1998 Plan, the Board of Directors could issue incentive stock options or nonqualified stock options or other equity-based awards in respect of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2000 Plan by approximately 4,150,000, thereby reserving for issuance 10,000,000 shares of common stock in the aggregate.</w:t>
      </w:r>
    </w:p>
    <w:p>
      <w:pPr>
        <w:spacing w:after="0" w:line="76"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The Company established the 2009 Stock Incentive Plan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 On June 2, 2017, the Company's Board of Directors amended and restated the Amended 2009 Plan effective April 30, 2017. The amended and restated plan increased the number of shares authorized for issuance under the plan by an additional 4,000,000.</w:t>
      </w:r>
    </w:p>
    <w:p>
      <w:pPr>
        <w:spacing w:after="0" w:line="76"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On April 11, 2019, the Company's Board of Directors adopted, and on June 6, 2019, the Company's stockholders approved, the 2019 Stock Incentive Plan ("2019 Stock Incentive Plan") to replace the Amended and Restated 2009 Plan, which was set to expire under its terms on June 9, 2019. Under the 2019 Stock Incentive Plan, the number of shares underlying options and other equity awards which remain outstanding, as well as the number of shares that remained available for grant under the 2009 Plan and under the 2000 Plan were incorporated, as of June 6, 2019 into the 2019 Stock Incentive Plan. In addition, under the 2019 Stock Incentive Plan, 4,250,000 new shares were authorized for issuance. The number of shares authorized for issuance under the 2019 Stock Incentive Plan, the Amended 2009 Plan, and the 2000 Plan is 32,067,744 shares in the aggregate. Options to acquire common stock granted thereunder have 10-year terms. As of June 30, 2019, approximately 4.9 million shares of common stock remained available for issuance under the 2019 Stock Incentive Plan (taking into account all option exercises and other equity award settlements through June 30, 2019).</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14"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w:t>
      </w:r>
    </w:p>
    <w:p>
      <w:pPr>
        <w:spacing w:after="0" w:line="71"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On April 11, 2019, the Company's Board of Directors adopted, and on June 6, 2019, the Company's stockholders approved, the 2019 Employee Stock Purchase Plan (the "2019 Employee Stock Purchase Plan") to replace the Amended and Restated 2010 Employee Stock Purchase Plan which was set to expire under its terms in June 2020. On April 22, 2019, at the Annual Meeting of the Stockholders, the Company's stockholders voted to approve the adoption of the 2019 Employee Stock Purchase Plan. There were 1,000,000 shares authorized to be reserved for issuance under the 2019 Employee Stock Purchase Plan. As of June 30, 2019, approximately 1.0 million shares of common stock remained available for issuance under the 2019 Employee Stock Purchase Plan (taking into account all share purchases through June 30, 2019).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Inducement Plan</w:t>
      </w:r>
    </w:p>
    <w:p>
      <w:pPr>
        <w:spacing w:after="0" w:line="114"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During January 2018, the Company established the Inducement Plan (the “2018 Plan”). Under the 2018 Plan, the Board of Directors can issue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and subsequently the Board of Directors has approved and ratified, effective as of July 31, 2018, October 29, 2018 and February 13, 2019, increases of the number of shares authorized for issuance under the Amended 2018 Plan by 500,000, 250,000 and 618,048 shares, respectively, constituting 3,368,048 shares of common stock in the aggregate being reserved for issuance pursuant to grants under the Amended 2018 Plan. As of June 30, 2019, approximately 0.3 million shares of common stock remained available for issuance under the Amended 2018 Plan (taking into account all option exercises and other equity award settlements through June 30, 2019).</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420"/>
          </w:cols>
          <w:pgMar w:left="240" w:top="170"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Activity</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Company’s stock option activity and weighted average exercise prices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3200" w:type="dxa"/>
            <w:vAlign w:val="bottom"/>
            <w:gridSpan w:val="5"/>
          </w:tcPr>
          <w:p>
            <w:pPr>
              <w:ind w:left="840"/>
              <w:spacing w:after="0"/>
              <w:rPr>
                <w:sz w:val="20"/>
                <w:szCs w:val="20"/>
                <w:color w:val="auto"/>
              </w:rPr>
            </w:pPr>
            <w:r>
              <w:rPr>
                <w:rFonts w:ascii="Times New Roman" w:cs="Times New Roman" w:eastAsia="Times New Roman" w:hAnsi="Times New Roman"/>
                <w:sz w:val="15"/>
                <w:szCs w:val="15"/>
                <w:b w:val="1"/>
                <w:bCs w:val="1"/>
                <w:color w:val="auto"/>
              </w:rPr>
              <w:t>Stock Option Activity</w:t>
            </w: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Remaining</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Options (in</w:t>
            </w: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Contractual Term (in</w:t>
            </w:r>
          </w:p>
        </w:tc>
        <w:tc>
          <w:tcPr>
            <w:tcW w:w="14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Aggregate Intrinsic</w:t>
            </w:r>
          </w:p>
        </w:tc>
        <w:tc>
          <w:tcPr>
            <w:tcW w:w="0" w:type="dxa"/>
            <w:vAlign w:val="bottom"/>
          </w:tcPr>
          <w:p>
            <w:pPr>
              <w:spacing w:after="0"/>
              <w:rPr>
                <w:sz w:val="1"/>
                <w:szCs w:val="1"/>
                <w:color w:val="auto"/>
              </w:rPr>
            </w:pPr>
          </w:p>
        </w:tc>
      </w:tr>
      <w:tr>
        <w:trPr>
          <w:trHeight w:val="202"/>
        </w:trPr>
        <w:tc>
          <w:tcPr>
            <w:tcW w:w="5140" w:type="dxa"/>
            <w:vAlign w:val="bottom"/>
          </w:tcPr>
          <w:p>
            <w:pPr>
              <w:spacing w:after="0"/>
              <w:rPr>
                <w:sz w:val="17"/>
                <w:szCs w:val="17"/>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thousands)</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years)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Value (in thousands)</w:t>
            </w:r>
          </w:p>
        </w:tc>
        <w:tc>
          <w:tcPr>
            <w:tcW w:w="0" w:type="dxa"/>
            <w:vAlign w:val="bottom"/>
          </w:tcPr>
          <w:p>
            <w:pPr>
              <w:spacing w:after="0"/>
              <w:rPr>
                <w:sz w:val="1"/>
                <w:szCs w:val="1"/>
                <w:color w:val="auto"/>
              </w:rPr>
            </w:pPr>
          </w:p>
        </w:tc>
      </w:tr>
      <w:tr>
        <w:trPr>
          <w:trHeight w:val="30"/>
        </w:trPr>
        <w:tc>
          <w:tcPr>
            <w:tcW w:w="514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1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Balance outstanding at December 31, 2018</w:t>
            </w:r>
          </w:p>
        </w:tc>
        <w:tc>
          <w:tcPr>
            <w:tcW w:w="148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6,266</w:t>
            </w:r>
          </w:p>
        </w:tc>
        <w:tc>
          <w:tcPr>
            <w:tcW w:w="1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12.13</w:t>
            </w:r>
          </w:p>
        </w:tc>
        <w:tc>
          <w:tcPr>
            <w:tcW w:w="12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520" w:type="dxa"/>
            <w:vAlign w:val="bottom"/>
            <w:tcBorders>
              <w:bottom w:val="single" w:sz="8" w:color="CCFFCC"/>
            </w:tcBorders>
            <w:shd w:val="clear" w:color="auto" w:fill="CCFFCC"/>
          </w:tcPr>
          <w:p>
            <w:pPr>
              <w:spacing w:after="0"/>
              <w:rPr>
                <w:sz w:val="19"/>
                <w:szCs w:val="19"/>
                <w:color w:val="auto"/>
              </w:rPr>
            </w:pPr>
          </w:p>
        </w:tc>
        <w:tc>
          <w:tcPr>
            <w:tcW w:w="94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Granted</w:t>
            </w:r>
          </w:p>
        </w:tc>
        <w:tc>
          <w:tcPr>
            <w:tcW w:w="14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27.59</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4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5"/>
                <w:szCs w:val="15"/>
                <w:color w:val="auto"/>
              </w:rPr>
              <w:t>Exercised</w:t>
            </w:r>
          </w:p>
        </w:tc>
        <w:tc>
          <w:tcPr>
            <w:tcW w:w="14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(890)</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3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10.23</w:t>
            </w:r>
          </w:p>
        </w:tc>
        <w:tc>
          <w:tcPr>
            <w:tcW w:w="12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52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Cancelled or expired</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14.38</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514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20" w:type="dxa"/>
            <w:vAlign w:val="bottom"/>
            <w:tcBorders>
              <w:bottom w:val="single" w:sz="8" w:color="CCFFCC"/>
            </w:tcBorders>
          </w:tcPr>
          <w:p>
            <w:pPr>
              <w:spacing w:after="0"/>
              <w:rPr>
                <w:sz w:val="2"/>
                <w:szCs w:val="2"/>
                <w:color w:val="auto"/>
              </w:rPr>
            </w:pPr>
          </w:p>
        </w:tc>
        <w:tc>
          <w:tcPr>
            <w:tcW w:w="94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1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Balance outstanding at June 30, 2019</w:t>
            </w:r>
          </w:p>
        </w:tc>
        <w:tc>
          <w:tcPr>
            <w:tcW w:w="148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6,233</w:t>
            </w:r>
          </w:p>
        </w:tc>
        <w:tc>
          <w:tcPr>
            <w:tcW w:w="1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14.91</w:t>
            </w:r>
          </w:p>
        </w:tc>
        <w:tc>
          <w:tcPr>
            <w:tcW w:w="12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6.92</w:t>
            </w:r>
          </w:p>
        </w:tc>
        <w:tc>
          <w:tcPr>
            <w:tcW w:w="120" w:type="dxa"/>
            <w:vAlign w:val="bottom"/>
            <w:tcBorders>
              <w:bottom w:val="single" w:sz="8" w:color="CCFFCC"/>
            </w:tcBorders>
            <w:shd w:val="clear" w:color="auto" w:fill="CCFFCC"/>
          </w:tcPr>
          <w:p>
            <w:pPr>
              <w:spacing w:after="0"/>
              <w:rPr>
                <w:sz w:val="19"/>
                <w:szCs w:val="19"/>
                <w:color w:val="auto"/>
              </w:rPr>
            </w:pPr>
          </w:p>
        </w:tc>
        <w:tc>
          <w:tcPr>
            <w:tcW w:w="520" w:type="dxa"/>
            <w:vAlign w:val="bottom"/>
            <w:tcBorders>
              <w:bottom w:val="single" w:sz="8" w:color="auto"/>
            </w:tcBorders>
            <w:shd w:val="clear" w:color="auto" w:fill="CCFFCC"/>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81,143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14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5"/>
                <w:szCs w:val="15"/>
                <w:color w:val="auto"/>
              </w:rPr>
              <w:t>Options vested and expected to vest</w:t>
            </w:r>
          </w:p>
        </w:tc>
        <w:tc>
          <w:tcPr>
            <w:tcW w:w="14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5,435</w:t>
            </w:r>
          </w:p>
        </w:tc>
        <w:tc>
          <w:tcPr>
            <w:tcW w:w="120" w:type="dxa"/>
            <w:vAlign w:val="bottom"/>
            <w:tcBorders>
              <w:bottom w:val="single" w:sz="8" w:color="CCFFCC"/>
            </w:tcBorders>
          </w:tcPr>
          <w:p>
            <w:pPr>
              <w:spacing w:after="0"/>
              <w:rPr>
                <w:sz w:val="22"/>
                <w:szCs w:val="22"/>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14.00</w:t>
            </w:r>
          </w:p>
        </w:tc>
        <w:tc>
          <w:tcPr>
            <w:tcW w:w="120" w:type="dxa"/>
            <w:vAlign w:val="bottom"/>
            <w:tcBorders>
              <w:bottom w:val="single" w:sz="8" w:color="CCFFCC"/>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6.61</w:t>
            </w:r>
          </w:p>
        </w:tc>
        <w:tc>
          <w:tcPr>
            <w:tcW w:w="120" w:type="dxa"/>
            <w:vAlign w:val="bottom"/>
            <w:tcBorders>
              <w:bottom w:val="single" w:sz="8" w:color="CCFFCC"/>
            </w:tcBorders>
          </w:tcPr>
          <w:p>
            <w:pPr>
              <w:spacing w:after="0"/>
              <w:rPr>
                <w:sz w:val="22"/>
                <w:szCs w:val="22"/>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75,377</w:t>
            </w:r>
          </w:p>
        </w:tc>
        <w:tc>
          <w:tcPr>
            <w:tcW w:w="0" w:type="dxa"/>
            <w:vAlign w:val="bottom"/>
          </w:tcPr>
          <w:p>
            <w:pPr>
              <w:spacing w:after="0"/>
              <w:rPr>
                <w:sz w:val="1"/>
                <w:szCs w:val="1"/>
                <w:color w:val="auto"/>
              </w:rPr>
            </w:pPr>
          </w:p>
        </w:tc>
      </w:tr>
      <w:tr>
        <w:trPr>
          <w:trHeight w:val="220"/>
        </w:trPr>
        <w:tc>
          <w:tcPr>
            <w:tcW w:w="51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Options exercisable at June 30, 2019</w:t>
            </w:r>
          </w:p>
        </w:tc>
        <w:tc>
          <w:tcPr>
            <w:tcW w:w="148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3,168</w:t>
            </w:r>
          </w:p>
        </w:tc>
        <w:tc>
          <w:tcPr>
            <w:tcW w:w="1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12.07</w:t>
            </w:r>
          </w:p>
        </w:tc>
        <w:tc>
          <w:tcPr>
            <w:tcW w:w="12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5.09</w:t>
            </w:r>
          </w:p>
        </w:tc>
        <w:tc>
          <w:tcPr>
            <w:tcW w:w="120" w:type="dxa"/>
            <w:vAlign w:val="bottom"/>
            <w:tcBorders>
              <w:bottom w:val="single" w:sz="8" w:color="CCFFCC"/>
            </w:tcBorders>
            <w:shd w:val="clear" w:color="auto" w:fill="CCFFCC"/>
          </w:tcPr>
          <w:p>
            <w:pPr>
              <w:spacing w:after="0"/>
              <w:rPr>
                <w:sz w:val="19"/>
                <w:szCs w:val="19"/>
                <w:color w:val="auto"/>
              </w:rPr>
            </w:pPr>
          </w:p>
        </w:tc>
        <w:tc>
          <w:tcPr>
            <w:tcW w:w="520" w:type="dxa"/>
            <w:vAlign w:val="bottom"/>
            <w:tcBorders>
              <w:bottom w:val="single" w:sz="8" w:color="auto"/>
            </w:tcBorders>
            <w:shd w:val="clear" w:color="auto" w:fill="CCFFCC"/>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49,793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The total fair value of stock options exercised during the six months ended June 30, 2019 was approximately $4.2 million. As of June 30, 2019, there was approximately $21.9 million of total unrecognized compensation cost related to nonvested share-based compensation arrangements. That cost is expected to be recognized over a weighted average period of approximately 2.7 years.</w:t>
      </w: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information about outstanding and vested stock options as of June 30, 2019:</w:t>
      </w: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Options Outstanding</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gridSpan w:val="4"/>
          </w:tcPr>
          <w:p>
            <w:pPr>
              <w:jc w:val="right"/>
              <w:ind w:right="1124"/>
              <w:spacing w:after="0"/>
              <w:rPr>
                <w:sz w:val="20"/>
                <w:szCs w:val="20"/>
                <w:color w:val="auto"/>
              </w:rPr>
            </w:pPr>
            <w:r>
              <w:rPr>
                <w:rFonts w:ascii="Times New Roman" w:cs="Times New Roman" w:eastAsia="Times New Roman" w:hAnsi="Times New Roman"/>
                <w:sz w:val="15"/>
                <w:szCs w:val="15"/>
                <w:b w:val="1"/>
                <w:bCs w:val="1"/>
                <w:color w:val="auto"/>
              </w:rPr>
              <w:t>Options Exercisable</w:t>
            </w:r>
          </w:p>
        </w:tc>
      </w:tr>
      <w:tr>
        <w:trPr>
          <w:trHeight w:val="30"/>
        </w:trPr>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3"/>
        </w:trPr>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1"/>
        </w:trPr>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Outstanding (in</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Remaining Contractual</w:t>
            </w:r>
          </w:p>
        </w:tc>
        <w:tc>
          <w:tcPr>
            <w:tcW w:w="20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Number of Shares (in</w:t>
            </w:r>
          </w:p>
        </w:tc>
        <w:tc>
          <w:tcPr>
            <w:tcW w:w="200" w:type="dxa"/>
            <w:vAlign w:val="bottom"/>
          </w:tcPr>
          <w:p>
            <w:pPr>
              <w:spacing w:after="0"/>
              <w:rPr>
                <w:sz w:val="16"/>
                <w:szCs w:val="16"/>
                <w:color w:val="auto"/>
              </w:rPr>
            </w:pPr>
          </w:p>
        </w:tc>
        <w:tc>
          <w:tcPr>
            <w:tcW w:w="160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Weighted-Average</w:t>
            </w:r>
          </w:p>
        </w:tc>
      </w:tr>
      <w:tr>
        <w:trPr>
          <w:trHeight w:val="202"/>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Range of Exercise Prices</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thousands)</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Life (Years)</w:t>
            </w:r>
          </w:p>
        </w:tc>
        <w:tc>
          <w:tcPr>
            <w:tcW w:w="200" w:type="dxa"/>
            <w:vAlign w:val="bottom"/>
          </w:tcPr>
          <w:p>
            <w:pPr>
              <w:spacing w:after="0"/>
              <w:rPr>
                <w:sz w:val="17"/>
                <w:szCs w:val="17"/>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thousands)</w:t>
            </w:r>
          </w:p>
        </w:tc>
        <w:tc>
          <w:tcPr>
            <w:tcW w:w="200" w:type="dxa"/>
            <w:vAlign w:val="bottom"/>
          </w:tcPr>
          <w:p>
            <w:pPr>
              <w:spacing w:after="0"/>
              <w:rPr>
                <w:sz w:val="17"/>
                <w:szCs w:val="17"/>
                <w:color w:val="auto"/>
              </w:rPr>
            </w:pPr>
          </w:p>
        </w:tc>
        <w:tc>
          <w:tcPr>
            <w:tcW w:w="160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Exercise Price</w:t>
            </w:r>
          </w:p>
        </w:tc>
      </w:tr>
      <w:tr>
        <w:trPr>
          <w:trHeight w:val="30"/>
        </w:trPr>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170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$5.15 - $7.60</w:t>
            </w:r>
          </w:p>
        </w:tc>
        <w:tc>
          <w:tcPr>
            <w:tcW w:w="120" w:type="dxa"/>
            <w:vAlign w:val="bottom"/>
            <w:tcBorders>
              <w:bottom w:val="single" w:sz="8" w:color="CCFFCC"/>
            </w:tcBorders>
            <w:shd w:val="clear" w:color="auto" w:fill="CCFFCC"/>
          </w:tcPr>
          <w:p>
            <w:pPr>
              <w:spacing w:after="0"/>
              <w:rPr>
                <w:sz w:val="19"/>
                <w:szCs w:val="19"/>
                <w:color w:val="auto"/>
              </w:rPr>
            </w:pPr>
          </w:p>
        </w:tc>
        <w:tc>
          <w:tcPr>
            <w:tcW w:w="184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781</w:t>
            </w:r>
          </w:p>
        </w:tc>
        <w:tc>
          <w:tcPr>
            <w:tcW w:w="100" w:type="dxa"/>
            <w:vAlign w:val="bottom"/>
            <w:tcBorders>
              <w:bottom w:val="single" w:sz="8" w:color="CCFFCC"/>
            </w:tcBorders>
            <w:shd w:val="clear" w:color="auto" w:fill="CCFFCC"/>
          </w:tcPr>
          <w:p>
            <w:pPr>
              <w:spacing w:after="0"/>
              <w:rPr>
                <w:sz w:val="19"/>
                <w:szCs w:val="19"/>
                <w:color w:val="auto"/>
              </w:rPr>
            </w:pPr>
          </w:p>
        </w:tc>
        <w:tc>
          <w:tcPr>
            <w:tcW w:w="18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6.81</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7.39</w:t>
            </w:r>
          </w:p>
        </w:tc>
        <w:tc>
          <w:tcPr>
            <w:tcW w:w="120" w:type="dxa"/>
            <w:vAlign w:val="bottom"/>
            <w:tcBorders>
              <w:bottom w:val="single" w:sz="8" w:color="CCFFCC"/>
            </w:tcBorders>
            <w:shd w:val="clear" w:color="auto" w:fill="CCFFCC"/>
          </w:tcPr>
          <w:p>
            <w:pPr>
              <w:spacing w:after="0"/>
              <w:rPr>
                <w:sz w:val="19"/>
                <w:szCs w:val="19"/>
                <w:color w:val="auto"/>
              </w:rPr>
            </w:pPr>
          </w:p>
        </w:tc>
        <w:tc>
          <w:tcPr>
            <w:tcW w:w="182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399</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7.32</w:t>
            </w:r>
          </w:p>
        </w:tc>
      </w:tr>
      <w:tr>
        <w:trPr>
          <w:trHeight w:val="224"/>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$7.95 - $10.05</w:t>
            </w:r>
          </w:p>
        </w:tc>
        <w:tc>
          <w:tcPr>
            <w:tcW w:w="120" w:type="dxa"/>
            <w:vAlign w:val="bottom"/>
          </w:tcPr>
          <w:p>
            <w:pPr>
              <w:spacing w:after="0"/>
              <w:rPr>
                <w:sz w:val="19"/>
                <w:szCs w:val="19"/>
                <w:color w:val="auto"/>
              </w:rPr>
            </w:pPr>
          </w:p>
        </w:tc>
        <w:tc>
          <w:tcPr>
            <w:tcW w:w="1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768</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9.46</w:t>
            </w:r>
          </w:p>
        </w:tc>
        <w:tc>
          <w:tcPr>
            <w:tcW w:w="120" w:type="dxa"/>
            <w:vAlign w:val="bottom"/>
          </w:tcPr>
          <w:p>
            <w:pPr>
              <w:spacing w:after="0"/>
              <w:rPr>
                <w:sz w:val="19"/>
                <w:szCs w:val="19"/>
                <w:color w:val="auto"/>
              </w:rPr>
            </w:pPr>
          </w:p>
        </w:tc>
        <w:tc>
          <w:tcPr>
            <w:tcW w:w="18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9.50</w:t>
            </w:r>
          </w:p>
        </w:tc>
      </w:tr>
      <w:tr>
        <w:trPr>
          <w:trHeight w:val="30"/>
        </w:trPr>
        <w:tc>
          <w:tcPr>
            <w:tcW w:w="1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4"/>
        </w:trPr>
        <w:tc>
          <w:tcPr>
            <w:tcW w:w="170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$10.13 - $11.95</w:t>
            </w:r>
          </w:p>
        </w:tc>
        <w:tc>
          <w:tcPr>
            <w:tcW w:w="12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768</w:t>
            </w:r>
          </w:p>
        </w:tc>
        <w:tc>
          <w:tcPr>
            <w:tcW w:w="10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10.84</w:t>
            </w:r>
          </w:p>
        </w:tc>
        <w:tc>
          <w:tcPr>
            <w:tcW w:w="12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584</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10.53</w:t>
            </w:r>
          </w:p>
        </w:tc>
      </w:tr>
      <w:tr>
        <w:trPr>
          <w:trHeight w:val="224"/>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$11.96 - $12.32</w:t>
            </w:r>
          </w:p>
        </w:tc>
        <w:tc>
          <w:tcPr>
            <w:tcW w:w="120" w:type="dxa"/>
            <w:vAlign w:val="bottom"/>
          </w:tcPr>
          <w:p>
            <w:pPr>
              <w:spacing w:after="0"/>
              <w:rPr>
                <w:sz w:val="19"/>
                <w:szCs w:val="19"/>
                <w:color w:val="auto"/>
              </w:rPr>
            </w:pPr>
          </w:p>
        </w:tc>
        <w:tc>
          <w:tcPr>
            <w:tcW w:w="1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12.09</w:t>
            </w:r>
          </w:p>
        </w:tc>
        <w:tc>
          <w:tcPr>
            <w:tcW w:w="120" w:type="dxa"/>
            <w:vAlign w:val="bottom"/>
          </w:tcPr>
          <w:p>
            <w:pPr>
              <w:spacing w:after="0"/>
              <w:rPr>
                <w:sz w:val="19"/>
                <w:szCs w:val="19"/>
                <w:color w:val="auto"/>
              </w:rPr>
            </w:pPr>
          </w:p>
        </w:tc>
        <w:tc>
          <w:tcPr>
            <w:tcW w:w="18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12.09</w:t>
            </w:r>
          </w:p>
        </w:tc>
      </w:tr>
      <w:tr>
        <w:trPr>
          <w:trHeight w:val="30"/>
        </w:trPr>
        <w:tc>
          <w:tcPr>
            <w:tcW w:w="1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4"/>
        </w:trPr>
        <w:tc>
          <w:tcPr>
            <w:tcW w:w="170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$12.45 - $12.45</w:t>
            </w:r>
          </w:p>
        </w:tc>
        <w:tc>
          <w:tcPr>
            <w:tcW w:w="12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843</w:t>
            </w:r>
          </w:p>
        </w:tc>
        <w:tc>
          <w:tcPr>
            <w:tcW w:w="10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12.45</w:t>
            </w:r>
          </w:p>
        </w:tc>
        <w:tc>
          <w:tcPr>
            <w:tcW w:w="12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203</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12.45</w:t>
            </w:r>
          </w:p>
        </w:tc>
      </w:tr>
      <w:tr>
        <w:trPr>
          <w:trHeight w:val="224"/>
        </w:trPr>
        <w:tc>
          <w:tcPr>
            <w:tcW w:w="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$12.46</w:t>
            </w:r>
          </w:p>
        </w:tc>
        <w:tc>
          <w:tcPr>
            <w:tcW w:w="1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$14.3</w:t>
            </w:r>
          </w:p>
        </w:tc>
        <w:tc>
          <w:tcPr>
            <w:tcW w:w="120" w:type="dxa"/>
            <w:vAlign w:val="bottom"/>
          </w:tcPr>
          <w:p>
            <w:pPr>
              <w:spacing w:after="0"/>
              <w:rPr>
                <w:sz w:val="19"/>
                <w:szCs w:val="19"/>
                <w:color w:val="auto"/>
              </w:rPr>
            </w:pPr>
          </w:p>
        </w:tc>
        <w:tc>
          <w:tcPr>
            <w:tcW w:w="1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876</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13.60</w:t>
            </w:r>
          </w:p>
        </w:tc>
        <w:tc>
          <w:tcPr>
            <w:tcW w:w="120" w:type="dxa"/>
            <w:vAlign w:val="bottom"/>
          </w:tcPr>
          <w:p>
            <w:pPr>
              <w:spacing w:after="0"/>
              <w:rPr>
                <w:sz w:val="19"/>
                <w:szCs w:val="19"/>
                <w:color w:val="auto"/>
              </w:rPr>
            </w:pPr>
          </w:p>
        </w:tc>
        <w:tc>
          <w:tcPr>
            <w:tcW w:w="18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13.37</w:t>
            </w:r>
          </w:p>
        </w:tc>
      </w:tr>
      <w:tr>
        <w:trPr>
          <w:trHeight w:val="30"/>
        </w:trPr>
        <w:tc>
          <w:tcPr>
            <w:tcW w:w="1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4"/>
        </w:trPr>
        <w:tc>
          <w:tcPr>
            <w:tcW w:w="170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$14.5 - $17.88</w:t>
            </w:r>
          </w:p>
        </w:tc>
        <w:tc>
          <w:tcPr>
            <w:tcW w:w="12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664</w:t>
            </w:r>
          </w:p>
        </w:tc>
        <w:tc>
          <w:tcPr>
            <w:tcW w:w="10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6.59</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16.17</w:t>
            </w:r>
          </w:p>
        </w:tc>
        <w:tc>
          <w:tcPr>
            <w:tcW w:w="12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345</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16.60</w:t>
            </w:r>
          </w:p>
        </w:tc>
      </w:tr>
      <w:tr>
        <w:trPr>
          <w:trHeight w:val="224"/>
        </w:trPr>
        <w:tc>
          <w:tcPr>
            <w:tcW w:w="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$18.09</w:t>
            </w:r>
          </w:p>
        </w:tc>
        <w:tc>
          <w:tcPr>
            <w:tcW w:w="1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$25.95</w:t>
            </w:r>
          </w:p>
        </w:tc>
        <w:tc>
          <w:tcPr>
            <w:tcW w:w="120" w:type="dxa"/>
            <w:vAlign w:val="bottom"/>
          </w:tcPr>
          <w:p>
            <w:pPr>
              <w:spacing w:after="0"/>
              <w:rPr>
                <w:sz w:val="19"/>
                <w:szCs w:val="19"/>
                <w:color w:val="auto"/>
              </w:rPr>
            </w:pPr>
          </w:p>
        </w:tc>
        <w:tc>
          <w:tcPr>
            <w:tcW w:w="1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675</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22.06</w:t>
            </w:r>
          </w:p>
        </w:tc>
        <w:tc>
          <w:tcPr>
            <w:tcW w:w="120" w:type="dxa"/>
            <w:vAlign w:val="bottom"/>
          </w:tcPr>
          <w:p>
            <w:pPr>
              <w:spacing w:after="0"/>
              <w:rPr>
                <w:sz w:val="19"/>
                <w:szCs w:val="19"/>
                <w:color w:val="auto"/>
              </w:rPr>
            </w:pPr>
          </w:p>
        </w:tc>
        <w:tc>
          <w:tcPr>
            <w:tcW w:w="18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20.35</w:t>
            </w:r>
          </w:p>
        </w:tc>
      </w:tr>
      <w:tr>
        <w:trPr>
          <w:trHeight w:val="30"/>
        </w:trPr>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4"/>
        </w:trPr>
        <w:tc>
          <w:tcPr>
            <w:tcW w:w="4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$28.18</w:t>
            </w:r>
          </w:p>
        </w:tc>
        <w:tc>
          <w:tcPr>
            <w:tcW w:w="12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 $28.79</w:t>
            </w:r>
          </w:p>
        </w:tc>
        <w:tc>
          <w:tcPr>
            <w:tcW w:w="12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453</w:t>
            </w:r>
          </w:p>
        </w:tc>
        <w:tc>
          <w:tcPr>
            <w:tcW w:w="10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9.68</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28.28</w:t>
            </w:r>
          </w:p>
        </w:tc>
        <w:tc>
          <w:tcPr>
            <w:tcW w:w="120" w:type="dxa"/>
            <w:vAlign w:val="bottom"/>
            <w:tcBorders>
              <w:bottom w:val="single" w:sz="8" w:color="CCFFCC"/>
            </w:tcBorders>
            <w:shd w:val="clear" w:color="auto" w:fill="CCFFCC"/>
          </w:tcPr>
          <w:p>
            <w:pPr>
              <w:spacing w:after="0"/>
              <w:rPr>
                <w:sz w:val="20"/>
                <w:szCs w:val="20"/>
                <w:color w:val="auto"/>
              </w:rPr>
            </w:pPr>
          </w:p>
        </w:tc>
        <w:tc>
          <w:tcPr>
            <w:tcW w:w="19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224"/>
        </w:trPr>
        <w:tc>
          <w:tcPr>
            <w:tcW w:w="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$29.55</w:t>
            </w:r>
          </w:p>
        </w:tc>
        <w:tc>
          <w:tcPr>
            <w:tcW w:w="1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$29.55</w:t>
            </w:r>
          </w:p>
        </w:tc>
        <w:tc>
          <w:tcPr>
            <w:tcW w:w="120" w:type="dxa"/>
            <w:vAlign w:val="bottom"/>
          </w:tcPr>
          <w:p>
            <w:pPr>
              <w:spacing w:after="0"/>
              <w:rPr>
                <w:sz w:val="19"/>
                <w:szCs w:val="19"/>
                <w:color w:val="auto"/>
              </w:rPr>
            </w:pPr>
          </w:p>
        </w:tc>
        <w:tc>
          <w:tcPr>
            <w:tcW w:w="1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329</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29.55</w:t>
            </w:r>
          </w:p>
        </w:tc>
        <w:tc>
          <w:tcPr>
            <w:tcW w:w="1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6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65"/>
        </w:trPr>
        <w:tc>
          <w:tcPr>
            <w:tcW w:w="460" w:type="dxa"/>
            <w:vAlign w:val="bottom"/>
            <w:shd w:val="clear" w:color="auto" w:fill="CCFFCC"/>
          </w:tcPr>
          <w:p>
            <w:pPr>
              <w:spacing w:after="0"/>
              <w:rPr>
                <w:sz w:val="14"/>
                <w:szCs w:val="14"/>
                <w:color w:val="auto"/>
              </w:rPr>
            </w:pPr>
          </w:p>
        </w:tc>
        <w:tc>
          <w:tcPr>
            <w:tcW w:w="1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tcBorders>
              <w:bottom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40" w:type="dxa"/>
            <w:vAlign w:val="bottom"/>
            <w:tcBorders>
              <w:bottom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0" w:type="dxa"/>
            <w:vAlign w:val="bottom"/>
            <w:tcBorders>
              <w:bottom w:val="single" w:sz="8" w:color="auto"/>
            </w:tcBorders>
            <w:shd w:val="clear" w:color="auto" w:fill="CCFFCC"/>
          </w:tcPr>
          <w:p>
            <w:pPr>
              <w:spacing w:after="0"/>
              <w:rPr>
                <w:sz w:val="14"/>
                <w:szCs w:val="14"/>
                <w:color w:val="auto"/>
              </w:rPr>
            </w:pPr>
          </w:p>
        </w:tc>
        <w:tc>
          <w:tcPr>
            <w:tcW w:w="1620" w:type="dxa"/>
            <w:vAlign w:val="bottom"/>
            <w:tcBorders>
              <w:bottom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20" w:type="dxa"/>
            <w:vAlign w:val="bottom"/>
            <w:tcBorders>
              <w:bottom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0" w:type="dxa"/>
            <w:vAlign w:val="bottom"/>
            <w:tcBorders>
              <w:bottom w:val="single" w:sz="8" w:color="auto"/>
            </w:tcBorders>
            <w:shd w:val="clear" w:color="auto" w:fill="CCFFCC"/>
          </w:tcPr>
          <w:p>
            <w:pPr>
              <w:spacing w:after="0"/>
              <w:rPr>
                <w:sz w:val="14"/>
                <w:szCs w:val="14"/>
                <w:color w:val="auto"/>
              </w:rPr>
            </w:pPr>
          </w:p>
        </w:tc>
        <w:tc>
          <w:tcPr>
            <w:tcW w:w="1600" w:type="dxa"/>
            <w:vAlign w:val="bottom"/>
            <w:tcBorders>
              <w:bottom w:val="single" w:sz="8" w:color="auto"/>
            </w:tcBorders>
            <w:shd w:val="clear" w:color="auto" w:fill="CCFFCC"/>
          </w:tcPr>
          <w:p>
            <w:pPr>
              <w:spacing w:after="0"/>
              <w:rPr>
                <w:sz w:val="14"/>
                <w:szCs w:val="14"/>
                <w:color w:val="auto"/>
              </w:rPr>
            </w:pPr>
          </w:p>
        </w:tc>
      </w:tr>
      <w:tr>
        <w:trPr>
          <w:trHeight w:val="204"/>
        </w:trPr>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6,233</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14.91</w:t>
            </w:r>
          </w:p>
        </w:tc>
        <w:tc>
          <w:tcPr>
            <w:tcW w:w="120" w:type="dxa"/>
            <w:vAlign w:val="bottom"/>
          </w:tcPr>
          <w:p>
            <w:pPr>
              <w:spacing w:after="0"/>
              <w:rPr>
                <w:sz w:val="17"/>
                <w:szCs w:val="17"/>
                <w:color w:val="auto"/>
              </w:rPr>
            </w:pPr>
          </w:p>
        </w:tc>
        <w:tc>
          <w:tcPr>
            <w:tcW w:w="18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3,168</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12.07</w:t>
            </w:r>
          </w:p>
        </w:tc>
      </w:tr>
      <w:tr>
        <w:trPr>
          <w:trHeight w:val="30"/>
        </w:trPr>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420"/>
          </w:cols>
          <w:pgMar w:left="240" w:top="170"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Activity</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Company’s restricted stock units (“RSUs”) activity and weighted average exercise prices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5820" w:type="dxa"/>
            <w:vAlign w:val="bottom"/>
          </w:tcPr>
          <w:p>
            <w:pPr>
              <w:spacing w:after="0"/>
              <w:rPr>
                <w:sz w:val="17"/>
                <w:szCs w:val="17"/>
                <w:color w:val="auto"/>
              </w:rPr>
            </w:pPr>
          </w:p>
        </w:tc>
        <w:tc>
          <w:tcPr>
            <w:tcW w:w="3660" w:type="dxa"/>
            <w:vAlign w:val="bottom"/>
            <w:gridSpan w:val="5"/>
          </w:tcPr>
          <w:p>
            <w:pPr>
              <w:ind w:left="800"/>
              <w:spacing w:after="0"/>
              <w:rPr>
                <w:sz w:val="20"/>
                <w:szCs w:val="20"/>
                <w:color w:val="auto"/>
              </w:rPr>
            </w:pPr>
            <w:r>
              <w:rPr>
                <w:rFonts w:ascii="Times New Roman" w:cs="Times New Roman" w:eastAsia="Times New Roman" w:hAnsi="Times New Roman"/>
                <w:sz w:val="15"/>
                <w:szCs w:val="15"/>
                <w:b w:val="1"/>
                <w:bCs w:val="1"/>
                <w:color w:val="auto"/>
              </w:rPr>
              <w:t>Restricted Stock Unit Activity</w:t>
            </w: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0"/>
        </w:trPr>
        <w:tc>
          <w:tcPr>
            <w:tcW w:w="58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3"/>
        </w:trPr>
        <w:tc>
          <w:tcPr>
            <w:tcW w:w="5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1"/>
        </w:trPr>
        <w:tc>
          <w:tcPr>
            <w:tcW w:w="582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Number of Shares (in</w:t>
            </w: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Grant Date Fair Value</w:t>
            </w:r>
          </w:p>
        </w:tc>
        <w:tc>
          <w:tcPr>
            <w:tcW w:w="120" w:type="dxa"/>
            <w:vAlign w:val="bottom"/>
          </w:tcPr>
          <w:p>
            <w:pPr>
              <w:spacing w:after="0"/>
              <w:rPr>
                <w:sz w:val="16"/>
                <w:szCs w:val="16"/>
                <w:color w:val="auto"/>
              </w:rPr>
            </w:pPr>
          </w:p>
        </w:tc>
        <w:tc>
          <w:tcPr>
            <w:tcW w:w="180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Aggregate Fair Value (in</w:t>
            </w:r>
          </w:p>
        </w:tc>
      </w:tr>
      <w:tr>
        <w:trPr>
          <w:trHeight w:val="202"/>
        </w:trPr>
        <w:tc>
          <w:tcPr>
            <w:tcW w:w="582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thousands)</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20" w:type="dxa"/>
            <w:vAlign w:val="bottom"/>
          </w:tcPr>
          <w:p>
            <w:pPr>
              <w:spacing w:after="0"/>
              <w:rPr>
                <w:sz w:val="17"/>
                <w:szCs w:val="17"/>
                <w:color w:val="auto"/>
              </w:rPr>
            </w:pPr>
          </w:p>
        </w:tc>
        <w:tc>
          <w:tcPr>
            <w:tcW w:w="1800" w:type="dxa"/>
            <w:vAlign w:val="bottom"/>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thousands)</w:t>
            </w:r>
          </w:p>
        </w:tc>
      </w:tr>
      <w:tr>
        <w:trPr>
          <w:trHeight w:val="30"/>
        </w:trPr>
        <w:tc>
          <w:tcPr>
            <w:tcW w:w="582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4"/>
        </w:trPr>
        <w:tc>
          <w:tcPr>
            <w:tcW w:w="58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Balance outstanding at December 31, 2018</w:t>
            </w:r>
          </w:p>
        </w:tc>
        <w:tc>
          <w:tcPr>
            <w:tcW w:w="17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2,690</w:t>
            </w:r>
          </w:p>
        </w:tc>
        <w:tc>
          <w:tcPr>
            <w:tcW w:w="1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15.81</w:t>
            </w:r>
          </w:p>
        </w:tc>
        <w:tc>
          <w:tcPr>
            <w:tcW w:w="1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224"/>
        </w:trPr>
        <w:tc>
          <w:tcPr>
            <w:tcW w:w="5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Awarded</w:t>
            </w:r>
          </w:p>
        </w:tc>
        <w:tc>
          <w:tcPr>
            <w:tcW w:w="1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1,331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5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4"/>
        </w:trPr>
        <w:tc>
          <w:tcPr>
            <w:tcW w:w="582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5"/>
                <w:szCs w:val="15"/>
                <w:color w:val="auto"/>
              </w:rPr>
              <w:t>Released</w:t>
            </w:r>
          </w:p>
        </w:tc>
        <w:tc>
          <w:tcPr>
            <w:tcW w:w="1720" w:type="dxa"/>
            <w:vAlign w:val="bottom"/>
            <w:tcBorders>
              <w:bottom w:val="single" w:sz="8" w:color="CCFFCC"/>
            </w:tcBorders>
            <w:shd w:val="clear" w:color="auto" w:fill="CCFFCC"/>
          </w:tcPr>
          <w:p>
            <w:pPr>
              <w:jc w:val="right"/>
              <w:ind w:right="4"/>
              <w:spacing w:after="0"/>
              <w:rPr>
                <w:sz w:val="20"/>
                <w:szCs w:val="20"/>
                <w:color w:val="auto"/>
              </w:rPr>
            </w:pPr>
            <w:r>
              <w:rPr>
                <w:rFonts w:ascii="Times New Roman" w:cs="Times New Roman" w:eastAsia="Times New Roman" w:hAnsi="Times New Roman"/>
                <w:sz w:val="15"/>
                <w:szCs w:val="15"/>
                <w:color w:val="auto"/>
              </w:rPr>
              <w:t>(754)</w:t>
            </w: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13.47</w:t>
            </w:r>
          </w:p>
        </w:tc>
        <w:tc>
          <w:tcPr>
            <w:tcW w:w="1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8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224"/>
        </w:trPr>
        <w:tc>
          <w:tcPr>
            <w:tcW w:w="5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Forfeited</w:t>
            </w: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582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0" w:type="dxa"/>
            <w:vAlign w:val="bottom"/>
            <w:tcBorders>
              <w:bottom w:val="single" w:sz="8" w:color="CCFFCC"/>
            </w:tcBorders>
          </w:tcPr>
          <w:p>
            <w:pPr>
              <w:spacing w:after="0"/>
              <w:rPr>
                <w:sz w:val="2"/>
                <w:szCs w:val="2"/>
                <w:color w:val="auto"/>
              </w:rPr>
            </w:pPr>
          </w:p>
        </w:tc>
      </w:tr>
      <w:tr>
        <w:trPr>
          <w:trHeight w:val="227"/>
        </w:trPr>
        <w:tc>
          <w:tcPr>
            <w:tcW w:w="58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Non-vested and outstanding at June 30, 2019</w:t>
            </w:r>
          </w:p>
        </w:tc>
        <w:tc>
          <w:tcPr>
            <w:tcW w:w="172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3,053</w:t>
            </w: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20.79</w:t>
            </w: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84,840</w:t>
            </w:r>
          </w:p>
        </w:tc>
      </w:tr>
      <w:tr>
        <w:trPr>
          <w:trHeight w:val="20"/>
        </w:trPr>
        <w:tc>
          <w:tcPr>
            <w:tcW w:w="58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to vest</w:t>
            </w:r>
          </w:p>
        </w:tc>
        <w:tc>
          <w:tcPr>
            <w:tcW w:w="17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2,043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19.38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56,769</w:t>
            </w:r>
          </w:p>
        </w:tc>
      </w:tr>
      <w:tr>
        <w:trPr>
          <w:trHeight w:val="20"/>
        </w:trPr>
        <w:tc>
          <w:tcPr>
            <w:tcW w:w="58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RSUs granted to employees generally vest over a three to four-year period or upon achievement of certain performance conditions. In accordance with ASU 2017-09, as of June 30, 2019, total unrecognized compensation cost, adjusted for estimated forfeitures, related to nonvested RSUs was approximately $59.3 million and the weighted-average remaining vesting period was 3.0 years.</w:t>
      </w:r>
    </w:p>
    <w:p>
      <w:pPr>
        <w:spacing w:after="0" w:line="67"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As of June 30, 2019, the Company accrued approximately $2.9 million and $4.8 million in cash awards to be settled in shares of the Company's stock and recorded a corresponding expense, which is included as a component of stock-based compensation expense in the accompanying condensed consolidated financial statements for the three and six months ended June 30, 2019, respectively.</w:t>
      </w:r>
    </w:p>
    <w:p>
      <w:pPr>
        <w:spacing w:after="0" w:line="67"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Stock-based compensation expense recognized in the Company’s condensed consolidated statements of operations and cash flows was $9.3 million and $3.8 million for the three months ended June 30, 2019 and 2018, respectively, and $16.5 million and $6.3 million for the six months ended June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Restructuring</w:t>
      </w:r>
    </w:p>
    <w:p>
      <w:pPr>
        <w:spacing w:after="0" w:line="215"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The Company’s restructuring costs relate to the wind-down of its legacy platform and severance costs associated with re-prioritizing and reallocating resources to focus on areas showing high growth potential within the Company's Business Segment. The expense associated with this restructuring was approximately $0.2 million and $1.9 million during the three months ended June 30, 2019 and 2018, respectively, and $0.5 million and $2.1 million for the six months ended June 30, 2019 and 2018, respectively. The Company expects to incur additional restructuring costs through December 31, 2019. There was no restructuring liability as of June 30, 2019. The restructuring liability was approximately $1.0 million as of December 31, 2018. It is classified as accrued expenses and other current liabilities on the condensed consolidated balance sheets.</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detail of the liability for the Company's restructuring charges for the periods presented (amounts 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20" w:type="dxa"/>
            <w:vAlign w:val="bottom"/>
            <w:tcBorders>
              <w:bottom w:val="single" w:sz="8" w:color="CCFFCC"/>
            </w:tcBorders>
          </w:tcPr>
          <w:p>
            <w:pPr>
              <w:spacing w:after="0"/>
              <w:rPr>
                <w:sz w:val="16"/>
                <w:szCs w:val="16"/>
                <w:color w:val="auto"/>
              </w:rPr>
            </w:pPr>
          </w:p>
        </w:tc>
        <w:tc>
          <w:tcPr>
            <w:tcW w:w="16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0"/>
        </w:trPr>
        <w:tc>
          <w:tcPr>
            <w:tcW w:w="67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Balance, Beginning of the year</w:t>
            </w:r>
          </w:p>
        </w:tc>
        <w:tc>
          <w:tcPr>
            <w:tcW w:w="1660" w:type="dxa"/>
            <w:vAlign w:val="bottom"/>
            <w:tcBorders>
              <w:bottom w:val="single" w:sz="8" w:color="CCFFCC"/>
            </w:tcBorders>
            <w:shd w:val="clear" w:color="auto" w:fill="CCFFCC"/>
          </w:tcPr>
          <w:p>
            <w:pPr>
              <w:jc w:val="right"/>
              <w:ind w:right="146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977</w:t>
            </w:r>
          </w:p>
        </w:tc>
        <w:tc>
          <w:tcPr>
            <w:tcW w:w="12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CCFFCC"/>
            </w:tcBorders>
            <w:shd w:val="clear" w:color="auto" w:fill="CCFFC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tcBorders>
              <w:bottom w:val="single" w:sz="8" w:color="CCFFCC"/>
            </w:tcBorders>
            <w:shd w:val="clear" w:color="auto" w:fill="CCFFCC"/>
          </w:tcPr>
          <w:p>
            <w:pPr>
              <w:jc w:val="right"/>
              <w:ind w:right="25"/>
              <w:spacing w:after="0"/>
              <w:rPr>
                <w:sz w:val="20"/>
                <w:szCs w:val="20"/>
                <w:color w:val="auto"/>
              </w:rPr>
            </w:pPr>
            <w:r>
              <w:rPr>
                <w:rFonts w:ascii="Times New Roman" w:cs="Times New Roman" w:eastAsia="Times New Roman" w:hAnsi="Times New Roman"/>
                <w:sz w:val="15"/>
                <w:szCs w:val="15"/>
                <w:color w:val="auto"/>
              </w:rPr>
              <w:t>2,338</w:t>
            </w:r>
          </w:p>
        </w:tc>
      </w:tr>
      <w:tr>
        <w:trPr>
          <w:trHeight w:val="224"/>
        </w:trPr>
        <w:tc>
          <w:tcPr>
            <w:tcW w:w="67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Severance and other associated costs</w:t>
            </w:r>
          </w:p>
        </w:tc>
        <w:tc>
          <w:tcPr>
            <w:tcW w:w="1660" w:type="dxa"/>
            <w:vAlign w:val="bottom"/>
          </w:tcPr>
          <w:p>
            <w:pPr>
              <w:spacing w:after="0"/>
              <w:rPr>
                <w:sz w:val="19"/>
                <w:szCs w:val="19"/>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4,468</w:t>
            </w:r>
          </w:p>
        </w:tc>
      </w:tr>
      <w:tr>
        <w:trPr>
          <w:trHeight w:val="30"/>
        </w:trPr>
        <w:tc>
          <w:tcPr>
            <w:tcW w:w="6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4"/>
        </w:trPr>
        <w:tc>
          <w:tcPr>
            <w:tcW w:w="6720" w:type="dxa"/>
            <w:vAlign w:val="bottom"/>
            <w:tcBorders>
              <w:bottom w:val="single" w:sz="8" w:color="CCFFCC"/>
            </w:tcBorders>
            <w:shd w:val="clear" w:color="auto" w:fill="CCFFCC"/>
          </w:tcPr>
          <w:p>
            <w:pPr>
              <w:ind w:left="240"/>
              <w:spacing w:after="0"/>
              <w:rPr>
                <w:sz w:val="20"/>
                <w:szCs w:val="20"/>
                <w:color w:val="auto"/>
              </w:rPr>
            </w:pPr>
            <w:r>
              <w:rPr>
                <w:rFonts w:ascii="Times New Roman" w:cs="Times New Roman" w:eastAsia="Times New Roman" w:hAnsi="Times New Roman"/>
                <w:sz w:val="15"/>
                <w:szCs w:val="15"/>
                <w:color w:val="auto"/>
              </w:rPr>
              <w:t>Cash payments</w:t>
            </w:r>
          </w:p>
        </w:tc>
        <w:tc>
          <w:tcPr>
            <w:tcW w:w="1660" w:type="dxa"/>
            <w:vAlign w:val="bottom"/>
            <w:tcBorders>
              <w:bottom w:val="single" w:sz="8" w:color="CCFFCC"/>
            </w:tcBorders>
            <w:shd w:val="clear" w:color="auto" w:fill="CCFFCC"/>
          </w:tcPr>
          <w:p>
            <w:pPr>
              <w:spacing w:after="0"/>
              <w:rPr>
                <w:sz w:val="22"/>
                <w:szCs w:val="22"/>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(1,461)</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9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(5,829)</w:t>
            </w: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End of period</w:t>
            </w:r>
          </w:p>
        </w:tc>
        <w:tc>
          <w:tcPr>
            <w:tcW w:w="1660" w:type="dxa"/>
            <w:vAlign w:val="bottom"/>
            <w:tcBorders>
              <w:top w:val="single" w:sz="8" w:color="auto"/>
              <w:bottom w:val="single" w:sz="8" w:color="auto"/>
            </w:tcBorders>
          </w:tcPr>
          <w:p>
            <w:pPr>
              <w:jc w:val="right"/>
              <w:ind w:right="146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977</w:t>
            </w:r>
          </w:p>
        </w:tc>
      </w:tr>
      <w:tr>
        <w:trPr>
          <w:trHeight w:val="20"/>
        </w:trPr>
        <w:tc>
          <w:tcPr>
            <w:tcW w:w="6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detail of expenses for the Company's restructuring charges for the three months ended June 30, 2019 (amounts 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80" w:type="dxa"/>
            <w:vAlign w:val="bottom"/>
            <w:tcBorders>
              <w:bottom w:val="single" w:sz="8" w:color="auto"/>
            </w:tcBorders>
          </w:tcPr>
          <w:p>
            <w:pPr>
              <w:spacing w:after="0"/>
              <w:rPr>
                <w:sz w:val="16"/>
                <w:szCs w:val="16"/>
                <w:color w:val="auto"/>
              </w:rPr>
            </w:pPr>
          </w:p>
        </w:tc>
      </w:tr>
      <w:tr>
        <w:trPr>
          <w:trHeight w:val="247"/>
        </w:trPr>
        <w:tc>
          <w:tcPr>
            <w:tcW w:w="6720" w:type="dxa"/>
            <w:vAlign w:val="bottom"/>
          </w:tcPr>
          <w:p>
            <w:pPr>
              <w:spacing w:after="0"/>
              <w:rPr>
                <w:sz w:val="21"/>
                <w:szCs w:val="21"/>
                <w:color w:val="auto"/>
              </w:rPr>
            </w:pPr>
          </w:p>
        </w:tc>
        <w:tc>
          <w:tcPr>
            <w:tcW w:w="16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92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Severance and other associated costs</w:t>
            </w:r>
          </w:p>
        </w:tc>
        <w:tc>
          <w:tcPr>
            <w:tcW w:w="1620" w:type="dxa"/>
            <w:vAlign w:val="bottom"/>
          </w:tcPr>
          <w:p>
            <w:pPr>
              <w:jc w:val="right"/>
              <w:ind w:right="1427"/>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205</w:t>
            </w:r>
          </w:p>
        </w:tc>
        <w:tc>
          <w:tcPr>
            <w:tcW w:w="120" w:type="dxa"/>
            <w:vAlign w:val="bottom"/>
          </w:tcPr>
          <w:p>
            <w:pPr>
              <w:spacing w:after="0"/>
              <w:rPr>
                <w:sz w:val="18"/>
                <w:szCs w:val="18"/>
                <w:color w:val="auto"/>
              </w:rPr>
            </w:pPr>
          </w:p>
        </w:tc>
        <w:tc>
          <w:tcPr>
            <w:tcW w:w="5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1,906</w:t>
            </w:r>
          </w:p>
        </w:tc>
      </w:tr>
      <w:tr>
        <w:trPr>
          <w:trHeight w:val="30"/>
        </w:trPr>
        <w:tc>
          <w:tcPr>
            <w:tcW w:w="6720" w:type="dxa"/>
            <w:vAlign w:val="bottom"/>
            <w:tcBorders>
              <w:bottom w:val="single" w:sz="8" w:color="CCFFCC"/>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7"/>
        </w:trPr>
        <w:tc>
          <w:tcPr>
            <w:tcW w:w="6720" w:type="dxa"/>
            <w:vAlign w:val="bottom"/>
            <w:tcBorders>
              <w:bottom w:val="single" w:sz="8" w:color="CCFFCC"/>
            </w:tcBorders>
            <w:shd w:val="clear" w:color="auto" w:fill="CCFFCC"/>
          </w:tcPr>
          <w:p>
            <w:pPr>
              <w:ind w:left="240"/>
              <w:spacing w:after="0"/>
              <w:rPr>
                <w:sz w:val="20"/>
                <w:szCs w:val="20"/>
                <w:color w:val="auto"/>
              </w:rPr>
            </w:pPr>
            <w:r>
              <w:rPr>
                <w:rFonts w:ascii="Times New Roman" w:cs="Times New Roman" w:eastAsia="Times New Roman" w:hAnsi="Times New Roman"/>
                <w:sz w:val="15"/>
                <w:szCs w:val="15"/>
                <w:color w:val="auto"/>
              </w:rPr>
              <w:t>Total restructuring costs</w:t>
            </w:r>
          </w:p>
        </w:tc>
        <w:tc>
          <w:tcPr>
            <w:tcW w:w="1620" w:type="dxa"/>
            <w:vAlign w:val="bottom"/>
            <w:tcBorders>
              <w:bottom w:val="single" w:sz="8" w:color="auto"/>
            </w:tcBorders>
            <w:shd w:val="clear" w:color="auto" w:fill="CCFFCC"/>
          </w:tcPr>
          <w:p>
            <w:pPr>
              <w:jc w:val="right"/>
              <w:ind w:right="1427"/>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205</w:t>
            </w:r>
          </w:p>
        </w:tc>
        <w:tc>
          <w:tcPr>
            <w:tcW w:w="120" w:type="dxa"/>
            <w:vAlign w:val="bottom"/>
            <w:tcBorders>
              <w:bottom w:val="single" w:sz="8" w:color="CCFFCC"/>
            </w:tcBorders>
            <w:shd w:val="clear" w:color="auto" w:fill="CCFFCC"/>
          </w:tcPr>
          <w:p>
            <w:pPr>
              <w:spacing w:after="0"/>
              <w:rPr>
                <w:sz w:val="19"/>
                <w:szCs w:val="19"/>
                <w:color w:val="auto"/>
              </w:rPr>
            </w:pPr>
          </w:p>
        </w:tc>
        <w:tc>
          <w:tcPr>
            <w:tcW w:w="580" w:type="dxa"/>
            <w:vAlign w:val="bottom"/>
            <w:tcBorders>
              <w:bottom w:val="single" w:sz="8" w:color="auto"/>
            </w:tcBorders>
            <w:shd w:val="clear" w:color="auto" w:fill="CCFFCC"/>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1,906</w:t>
            </w:r>
          </w:p>
        </w:tc>
      </w:tr>
      <w:tr>
        <w:trPr>
          <w:trHeight w:val="20"/>
        </w:trPr>
        <w:tc>
          <w:tcPr>
            <w:tcW w:w="67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 of expenses for the Company's restructuring charges for the six months ended June 30, 2019 (amounts 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80" w:type="dxa"/>
            <w:vAlign w:val="bottom"/>
            <w:tcBorders>
              <w:bottom w:val="single" w:sz="8" w:color="auto"/>
            </w:tcBorders>
          </w:tcPr>
          <w:p>
            <w:pPr>
              <w:spacing w:after="0"/>
              <w:rPr>
                <w:sz w:val="16"/>
                <w:szCs w:val="16"/>
                <w:color w:val="auto"/>
              </w:rPr>
            </w:pPr>
          </w:p>
        </w:tc>
      </w:tr>
      <w:tr>
        <w:trPr>
          <w:trHeight w:val="247"/>
        </w:trPr>
        <w:tc>
          <w:tcPr>
            <w:tcW w:w="6720" w:type="dxa"/>
            <w:vAlign w:val="bottom"/>
          </w:tcPr>
          <w:p>
            <w:pPr>
              <w:spacing w:after="0"/>
              <w:rPr>
                <w:sz w:val="21"/>
                <w:szCs w:val="21"/>
                <w:color w:val="auto"/>
              </w:rPr>
            </w:pPr>
          </w:p>
        </w:tc>
        <w:tc>
          <w:tcPr>
            <w:tcW w:w="16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92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Severance and other associated costs</w:t>
            </w:r>
          </w:p>
        </w:tc>
        <w:tc>
          <w:tcPr>
            <w:tcW w:w="1620" w:type="dxa"/>
            <w:vAlign w:val="bottom"/>
          </w:tcPr>
          <w:p>
            <w:pPr>
              <w:jc w:val="right"/>
              <w:ind w:right="1427"/>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484</w:t>
            </w:r>
          </w:p>
        </w:tc>
        <w:tc>
          <w:tcPr>
            <w:tcW w:w="120" w:type="dxa"/>
            <w:vAlign w:val="bottom"/>
          </w:tcPr>
          <w:p>
            <w:pPr>
              <w:spacing w:after="0"/>
              <w:rPr>
                <w:sz w:val="18"/>
                <w:szCs w:val="18"/>
                <w:color w:val="auto"/>
              </w:rPr>
            </w:pPr>
          </w:p>
        </w:tc>
        <w:tc>
          <w:tcPr>
            <w:tcW w:w="5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2,084</w:t>
            </w:r>
          </w:p>
        </w:tc>
      </w:tr>
      <w:tr>
        <w:trPr>
          <w:trHeight w:val="30"/>
        </w:trPr>
        <w:tc>
          <w:tcPr>
            <w:tcW w:w="6720" w:type="dxa"/>
            <w:vAlign w:val="bottom"/>
            <w:tcBorders>
              <w:bottom w:val="single" w:sz="8" w:color="CCFFCC"/>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7"/>
        </w:trPr>
        <w:tc>
          <w:tcPr>
            <w:tcW w:w="6720" w:type="dxa"/>
            <w:vAlign w:val="bottom"/>
            <w:tcBorders>
              <w:bottom w:val="single" w:sz="8" w:color="CCFFCC"/>
            </w:tcBorders>
            <w:shd w:val="clear" w:color="auto" w:fill="CCFFCC"/>
          </w:tcPr>
          <w:p>
            <w:pPr>
              <w:ind w:left="240"/>
              <w:spacing w:after="0"/>
              <w:rPr>
                <w:sz w:val="20"/>
                <w:szCs w:val="20"/>
                <w:color w:val="auto"/>
              </w:rPr>
            </w:pPr>
            <w:r>
              <w:rPr>
                <w:rFonts w:ascii="Times New Roman" w:cs="Times New Roman" w:eastAsia="Times New Roman" w:hAnsi="Times New Roman"/>
                <w:sz w:val="15"/>
                <w:szCs w:val="15"/>
                <w:color w:val="auto"/>
              </w:rPr>
              <w:t>Total restructuring costs</w:t>
            </w:r>
          </w:p>
        </w:tc>
        <w:tc>
          <w:tcPr>
            <w:tcW w:w="1620" w:type="dxa"/>
            <w:vAlign w:val="bottom"/>
            <w:tcBorders>
              <w:bottom w:val="single" w:sz="8" w:color="auto"/>
            </w:tcBorders>
            <w:shd w:val="clear" w:color="auto" w:fill="CCFFCC"/>
          </w:tcPr>
          <w:p>
            <w:pPr>
              <w:jc w:val="right"/>
              <w:ind w:right="1427"/>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FFCC"/>
          </w:tcPr>
          <w:p>
            <w:pPr>
              <w:jc w:val="right"/>
              <w:ind w:right="47"/>
              <w:spacing w:after="0"/>
              <w:rPr>
                <w:sz w:val="20"/>
                <w:szCs w:val="20"/>
                <w:color w:val="auto"/>
              </w:rPr>
            </w:pPr>
            <w:r>
              <w:rPr>
                <w:rFonts w:ascii="Times New Roman" w:cs="Times New Roman" w:eastAsia="Times New Roman" w:hAnsi="Times New Roman"/>
                <w:sz w:val="15"/>
                <w:szCs w:val="15"/>
                <w:color w:val="auto"/>
              </w:rPr>
              <w:t>484</w:t>
            </w:r>
          </w:p>
        </w:tc>
        <w:tc>
          <w:tcPr>
            <w:tcW w:w="120" w:type="dxa"/>
            <w:vAlign w:val="bottom"/>
            <w:tcBorders>
              <w:bottom w:val="single" w:sz="8" w:color="CCFFCC"/>
            </w:tcBorders>
            <w:shd w:val="clear" w:color="auto" w:fill="CCFFCC"/>
          </w:tcPr>
          <w:p>
            <w:pPr>
              <w:spacing w:after="0"/>
              <w:rPr>
                <w:sz w:val="19"/>
                <w:szCs w:val="19"/>
                <w:color w:val="auto"/>
              </w:rPr>
            </w:pPr>
          </w:p>
        </w:tc>
        <w:tc>
          <w:tcPr>
            <w:tcW w:w="580" w:type="dxa"/>
            <w:vAlign w:val="bottom"/>
            <w:tcBorders>
              <w:bottom w:val="single" w:sz="8" w:color="auto"/>
            </w:tcBorders>
            <w:shd w:val="clear" w:color="auto" w:fill="CCFFCC"/>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shd w:val="clear" w:color="auto" w:fill="CCFFCC"/>
          </w:tcPr>
          <w:p>
            <w:pPr>
              <w:jc w:val="right"/>
              <w:ind w:right="27"/>
              <w:spacing w:after="0"/>
              <w:rPr>
                <w:sz w:val="20"/>
                <w:szCs w:val="20"/>
                <w:color w:val="auto"/>
              </w:rPr>
            </w:pPr>
            <w:r>
              <w:rPr>
                <w:rFonts w:ascii="Times New Roman" w:cs="Times New Roman" w:eastAsia="Times New Roman" w:hAnsi="Times New Roman"/>
                <w:sz w:val="15"/>
                <w:szCs w:val="15"/>
                <w:color w:val="auto"/>
              </w:rPr>
              <w:t>2,084</w:t>
            </w:r>
          </w:p>
        </w:tc>
      </w:tr>
      <w:tr>
        <w:trPr>
          <w:trHeight w:val="20"/>
        </w:trPr>
        <w:tc>
          <w:tcPr>
            <w:tcW w:w="67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Legal Matters</w:t>
      </w:r>
    </w:p>
    <w:p>
      <w:pPr>
        <w:spacing w:after="0" w:line="114" w:lineRule="exact"/>
        <w:rPr>
          <w:sz w:val="20"/>
          <w:szCs w:val="20"/>
          <w:color w:val="auto"/>
        </w:rPr>
      </w:pPr>
    </w:p>
    <w:p>
      <w:pPr>
        <w:jc w:val="both"/>
        <w:ind w:firstLine="610"/>
        <w:spacing w:after="0" w:line="274" w:lineRule="auto"/>
        <w:rPr>
          <w:sz w:val="20"/>
          <w:szCs w:val="20"/>
          <w:color w:val="auto"/>
        </w:rPr>
      </w:pPr>
      <w:r>
        <w:rPr>
          <w:rFonts w:ascii="Times New Roman" w:cs="Times New Roman" w:eastAsia="Times New Roman" w:hAnsi="Times New Roman"/>
          <w:sz w:val="16"/>
          <w:szCs w:val="16"/>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Trial for</w:t>
      </w:r>
    </w:p>
    <w:p>
      <w:pPr>
        <w:sectPr>
          <w:pgSz w:w="11900" w:h="16838" w:orient="portrait"/>
          <w:cols w:equalWidth="0" w:num="1">
            <w:col w:w="11420"/>
          </w:cols>
          <w:pgMar w:left="240" w:top="170" w:right="239" w:bottom="0" w:gutter="0" w:footer="0" w:header="0"/>
        </w:sectPr>
      </w:pPr>
    </w:p>
    <w:bookmarkStart w:id="28" w:name="page29"/>
    <w:bookmarkEnd w:id="28"/>
    <w:p>
      <w:pPr>
        <w:jc w:val="both"/>
        <w:spacing w:after="0" w:line="278" w:lineRule="auto"/>
        <w:rPr>
          <w:sz w:val="20"/>
          <w:szCs w:val="20"/>
          <w:color w:val="auto"/>
        </w:rPr>
      </w:pPr>
      <w:r>
        <w:rPr>
          <w:rFonts w:ascii="Times New Roman" w:cs="Times New Roman" w:eastAsia="Times New Roman" w:hAnsi="Times New Roman"/>
          <w:sz w:val="17"/>
          <w:szCs w:val="17"/>
          <w:color w:val="auto"/>
        </w:rPr>
        <w:t>the Company's intellectual property and other claims asserted against [24]7 in the original litigation is currently set for October 1, 2019. The Company believes the claims filed by [24]7 are entirely without merit and intends to defend them vigorously</w:t>
      </w:r>
    </w:p>
    <w:p>
      <w:pPr>
        <w:spacing w:after="0" w:line="55"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55"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420"/>
          </w:cols>
          <w:pgMar w:left="240" w:top="123" w:right="2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17"/>
          <w:szCs w:val="17"/>
          <w:color w:val="auto"/>
        </w:rPr>
        <w:t>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77"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420"/>
          </w:cols>
          <w:pgMar w:left="240" w:top="555" w:right="239" w:bottom="1440" w:gutter="0" w:footer="0" w:header="0"/>
        </w:sectPr>
      </w:pPr>
    </w:p>
    <w:bookmarkStart w:id="30" w:name="page31"/>
    <w:bookmarkEnd w:id="30"/>
    <w:p>
      <w:pPr>
        <w:ind w:right="4440"/>
        <w:spacing w:after="0" w:line="408" w:lineRule="auto"/>
        <w:rPr>
          <w:sz w:val="20"/>
          <w:szCs w:val="20"/>
          <w:color w:val="auto"/>
        </w:rPr>
      </w:pPr>
      <w:r>
        <w:rPr>
          <w:rFonts w:ascii="Times New Roman" w:cs="Times New Roman" w:eastAsia="Times New Roman" w:hAnsi="Times New Roman"/>
          <w:sz w:val="17"/>
          <w:szCs w:val="17"/>
          <w:b w:val="1"/>
          <w:bCs w:val="1"/>
          <w:color w:val="auto"/>
        </w:rPr>
        <w:t>Item 2.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 General</w:t>
      </w:r>
    </w:p>
    <w:p>
      <w:pPr>
        <w:spacing w:after="0" w:line="47"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i w:val="1"/>
          <w:iCs w:val="1"/>
          <w:color w:val="auto"/>
        </w:rPr>
        <w:t>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7" w:lineRule="exact"/>
        <w:rPr>
          <w:sz w:val="20"/>
          <w:szCs w:val="20"/>
          <w:color w:val="auto"/>
        </w:rPr>
      </w:pPr>
    </w:p>
    <w:p>
      <w:pPr>
        <w:jc w:val="both"/>
        <w:ind w:firstLine="727"/>
        <w:spacing w:after="0" w:line="251" w:lineRule="auto"/>
        <w:rPr>
          <w:sz w:val="20"/>
          <w:szCs w:val="20"/>
          <w:color w:val="auto"/>
        </w:rPr>
      </w:pPr>
      <w:r>
        <w:rPr>
          <w:rFonts w:ascii="Times New Roman" w:cs="Times New Roman" w:eastAsia="Times New Roman" w:hAnsi="Times New Roman"/>
          <w:sz w:val="17"/>
          <w:szCs w:val="17"/>
          <w:color w:val="auto"/>
        </w:rPr>
        <w:t>LivePerson, Inc. ("LivePerson," the "Company," "we" or "our") makes life easier by transforming how people communicate with brands. During the past decade, the consumer has made the mobile device the center of their digital lives, and they have made mobile messaging the center of communication with friends, family and peers. Our technology enables consumers to connect with businesses through these same preferred conversational interfaces, including Facebook Messenger,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and brick and mortar engagements. For example, consumers can look up product info like ratings, images and pricing, search for stores, see products in the store, schedule appointments, apply for credit, approve repairs, make purchases or payments - all without ever leaving the messaging channel. We call these AI and human-assisted conversational experiences over messaging Conversational Commerce.</w:t>
      </w:r>
    </w:p>
    <w:p>
      <w:pPr>
        <w:spacing w:after="0" w:line="77"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LiveEngage, our enterprise-class, cloud-based platform, was designed for Conversational Commerce, enabling businesses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having them navigate interactive voice response systems (IVRs) and wait on hold.</w:t>
      </w:r>
    </w:p>
    <w:p>
      <w:pPr>
        <w:spacing w:after="0" w:line="76"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Our robust, cloud-based suite of rich mobile messaging and real-time chat offerings features intelligent routing and capacity mapping, queue prioritization, customer sentiment, real-time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or Google Home. An extensible application programming interface (API) stack facilitates a lower cost of ownership by facilitating robust integration into back-end systems, as well as enabling developers to build their own programs and services on top of the platform. More than three dozen APIs are available on LiveEngage.</w:t>
      </w:r>
    </w:p>
    <w:p>
      <w:pPr>
        <w:spacing w:after="0" w:line="75"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LiveEngage also features Maven, a robust AI engine that was custom designed for Conversational Commerce. Maven, announced in December 2018, puts the power of bot development, training and management into the hands of the contact center and its agents, the teams most familiar with how to structure sales and service conversations to drive successful outcomes. The platform enables what the we call “the tango” of humans, AI and bots, whereby human agents act as bot managers, overseeing AI-powered conversations and seamlessly stepping into the flow when a personal touch is needed. Through Maven Assist, agents become ultra-efficient, leveraging the AI engine to serve up relevant content, define next-best actions and take over repetitive transactional work, so that the agent can focus on relationship building. By seamlessly integrating LiveEngage with Maven, as well as third-party bots, the platform provides businesses with a comprehensive view of all AI-based and human-based conversations from a single console.</w:t>
      </w:r>
    </w:p>
    <w:p>
      <w:pPr>
        <w:spacing w:after="0" w:line="77" w:lineRule="exact"/>
        <w:rPr>
          <w:sz w:val="20"/>
          <w:szCs w:val="20"/>
          <w:color w:val="auto"/>
        </w:rPr>
      </w:pPr>
    </w:p>
    <w:p>
      <w:pPr>
        <w:ind w:right="120" w:firstLine="610"/>
        <w:spacing w:after="0" w:line="259" w:lineRule="auto"/>
        <w:rPr>
          <w:sz w:val="20"/>
          <w:szCs w:val="20"/>
          <w:color w:val="auto"/>
        </w:rPr>
      </w:pPr>
      <w:r>
        <w:rPr>
          <w:rFonts w:ascii="Times New Roman" w:cs="Times New Roman" w:eastAsia="Times New Roman" w:hAnsi="Times New Roman"/>
          <w:sz w:val="17"/>
          <w:szCs w:val="17"/>
          <w:color w:val="auto"/>
        </w:rPr>
        <w:t>Complementing LiveEngage are teams of technical, solutions and consulting professionals that have developed deep domain expertise in Conversational Commerce across industries and messaging endpoints. We are positioned as an authority in Conversational Commerce, publishing a proprietary Conversational Quotient™ Index that measures each customer across multiple key indicators to ascertain the sophistication and breadth of their conversational commerce capabilities. Each business is then benchmarked against industry peers to determine their relative progression. We have developed a Transformation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420"/>
          </w:cols>
          <w:pgMar w:left="240" w:top="856" w:right="239" w:bottom="1440" w:gutter="0" w:footer="0" w:header="0"/>
        </w:sectPr>
      </w:pPr>
    </w:p>
    <w:bookmarkStart w:id="31" w:name="page32"/>
    <w:bookmarkEnd w:id="31"/>
    <w:p>
      <w:pPr>
        <w:ind w:right="120"/>
        <w:spacing w:after="0" w:line="264" w:lineRule="auto"/>
        <w:rPr>
          <w:sz w:val="20"/>
          <w:szCs w:val="20"/>
          <w:color w:val="auto"/>
        </w:rPr>
      </w:pPr>
      <w:r>
        <w:rPr>
          <w:rFonts w:ascii="Times New Roman" w:cs="Times New Roman" w:eastAsia="Times New Roman" w:hAnsi="Times New Roman"/>
          <w:sz w:val="17"/>
          <w:szCs w:val="17"/>
          <w:color w:val="auto"/>
        </w:rPr>
        <w:t>Model that is introduced to existing and prospective customers to help guide them on their journeys from legacy voice, email and chat solutions to modern conversational ones powered by messaging and AI. Our products, coupled with our domain knowledge, industry expertise and professional services, have been proven to maximize the effectiveness of Conversational Commerce and deliver measurable return on investment.</w:t>
      </w:r>
    </w:p>
    <w:p>
      <w:pPr>
        <w:spacing w:after="0" w:line="67" w:lineRule="exact"/>
        <w:rPr>
          <w:sz w:val="20"/>
          <w:szCs w:val="20"/>
          <w:color w:val="auto"/>
        </w:rPr>
      </w:pPr>
    </w:p>
    <w:p>
      <w:pPr>
        <w:ind w:right="80" w:firstLine="610"/>
        <w:spacing w:after="0" w:line="259" w:lineRule="auto"/>
        <w:rPr>
          <w:sz w:val="20"/>
          <w:szCs w:val="20"/>
          <w:color w:val="auto"/>
        </w:rPr>
      </w:pPr>
      <w:r>
        <w:rPr>
          <w:rFonts w:ascii="Times New Roman" w:cs="Times New Roman" w:eastAsia="Times New Roman" w:hAnsi="Times New Roman"/>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7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More than 18,000 businesses, including HSBC, Orange, and The Home Depot use our Conversational Commerce solutions to orchestrate humans and AI, at scale, and create a convenient, deeply personal relationship.</w:t>
      </w:r>
    </w:p>
    <w:p>
      <w:pPr>
        <w:spacing w:after="0" w:line="5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Our solutions benefit organizations of all sizes conducting business or communicating with consumers through mobile and online messaging and chat. We plan to continue to focus on key target markets: consumer/retail, telecommunications, financial services, travel/hospitality, technology and automotive, within the United States and Canada, Latin America, Europe and the Asia-Pacific region.</w:t>
      </w:r>
    </w:p>
    <w:p>
      <w:pPr>
        <w:spacing w:after="0" w:line="67"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We are organized into two operating segments: Business and Consumer.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7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In order to sustain growth in these segments, our strategy is to expand our position as the leading provider of online and mobile messaging solutions that transform how people communicate with brands. The key elements of LivePerson’s business solutions strategy include:</w:t>
      </w:r>
    </w:p>
    <w:p>
      <w:pPr>
        <w:spacing w:after="0" w:line="51" w:lineRule="exact"/>
        <w:rPr>
          <w:sz w:val="20"/>
          <w:szCs w:val="20"/>
          <w:color w:val="auto"/>
        </w:rPr>
      </w:pPr>
    </w:p>
    <w:p>
      <w:pPr>
        <w:jc w:val="both"/>
        <w:ind w:firstLine="61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Build awareness and drive adoption of Conversational Commerce. </w:t>
      </w:r>
      <w:r>
        <w:rPr>
          <w:rFonts w:ascii="Times New Roman" w:cs="Times New Roman" w:eastAsia="Times New Roman" w:hAnsi="Times New Roman"/>
          <w:sz w:val="17"/>
          <w:szCs w:val="17"/>
          <w:color w:val="auto"/>
        </w:rPr>
        <w:t>LivePerson brought our first customer live on messaging in June 2016. Since that time,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have been focused on building awareness for Conversational Commerce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72"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A key component of our industry awareness marketing strategy has been to hold multiple global customer summits each year that target executives from enterprise customers and prospects, and feature a key theme within Conversational Commerce, such as Apple Business Chat, Google Rich Business Messenger, IVR deflection or AI. LivePerson customers are the centerpoint of these summits, presenting why they chose LivePerson for Conversational Commerce, how they achieved success, and what type of ROI they have realized. Each attendee then receives a blueprint for how they can achieve similar outcomes. We have found this strategy to drive strong results for LivePerson, as we have seen a greater than 40% conversion rate on opportunities that were created or advanced as part of the customer summits. By year end 2018, we had brought more than 200 customers live on messaging and increased adoption within our enterprise customers to more than 40%. In addition, more than 50% of messaging conversations had automation attached. We will continue to focus on building awareness for Conversational Commerce and driving adoption of messaging and AI across our customer base.</w:t>
      </w:r>
    </w:p>
    <w:p>
      <w:pPr>
        <w:spacing w:after="0" w:line="76" w:lineRule="exact"/>
        <w:rPr>
          <w:sz w:val="20"/>
          <w:szCs w:val="20"/>
          <w:color w:val="auto"/>
        </w:rPr>
      </w:pPr>
    </w:p>
    <w:p>
      <w:pPr>
        <w:jc w:val="both"/>
        <w:ind w:firstLine="61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Increase volumes on LiveEngage by deploying a broad messaging ecosystem and expanding customer use cases. </w:t>
      </w:r>
      <w:r>
        <w:rPr>
          <w:rFonts w:ascii="Times New Roman" w:cs="Times New Roman" w:eastAsia="Times New Roman" w:hAnsi="Times New Roman"/>
          <w:sz w:val="17"/>
          <w:szCs w:val="17"/>
          <w:color w:val="auto"/>
        </w:rPr>
        <w:t>Our strategy is to drive higher volumes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LiveEngage by going both wide across messaging endpoints and deep across consumer use cases.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72"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In order to go wide across messaging endpoints, it is imperative that LiveEngage integrates to all of the messaging apps that consumers prefer to use for communication. For example, if a consumer is an avid WhatsApp user, and a brand only offers SMS as a messaging option, that consumer may be reluctant to try messaging the brand. Therefore, a key strategy of our has been to build one of the industry’s broadest ecosystems of messaging endpoints. In June 2016, we launched with In-App messaging. In 2017, we introduced Facebook Messenger, SMS, Web messaging and IVR deflection integrations. In 2018, we added Apple Business Chat, Google Rich Business Messenger, Line, WhatsApp, Alexa, Google Home, Google Ad Lingo and Twitter.</w:t>
      </w:r>
    </w:p>
    <w:p>
      <w:pPr>
        <w:spacing w:after="0" w:line="76"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Each channel added opens the door to hundreds of millions of new consumers, providing brands a greater opportunity to shift share away from their legacy contact center channels into messaging. LivePerson makes the management of all these disparate channels seamless to the brand. The LiveEngage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420"/>
          </w:cols>
          <w:pgMar w:left="240" w:top="555" w:right="239" w:bottom="1440" w:gutter="0" w:footer="0" w:header="0"/>
        </w:sectPr>
      </w:pPr>
    </w:p>
    <w:bookmarkStart w:id="32" w:name="page33"/>
    <w:bookmarkEnd w:id="32"/>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In order to go deep across customer use cases, we are focused on extending LiveEngage beyond just taking share of the 270 billion calls made to customer service 1-800 numbers each year, into sales, marketing and brick and mortar conversations. For example, in 2018, a home improvement retailer launched a bot that autonomously sells millions of dollars of grills; a leading global concessions manager launched a service that lets patrons in a sports arena order beverages to their seats through Apple Business Chat; and a telecommunications company used LiveEngage to drive pre-sales for an iPhone series launch.</w:t>
      </w:r>
    </w:p>
    <w:p>
      <w:pPr>
        <w:spacing w:after="0" w:line="71"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We believe that this strategy has influenced LivePerson’s enterprise and mid-market revenue retention rate, (the trailing-twelve-month change in total revenue from existing customers after upsells, downsells and attrition) which was greater than 110% in 2018. The benefit can also be seen in LivePerson’s average revenue per user (ARPU) for our enterprise and mid-market customers, which increased more than 25% in 2018 to approximately $285,000 from approximately $220,000 in 2017. For this same customer set, when examining only the subset that have adopted messaging, the ARPU in 2018 increased to approximately $500,000. When examining customers that have adopted at least three endpoints, the ARPU in 2018 increased into the low seven figures. We believe these ARPU trends are a clear indication of how LivePerson’s strategy to drive messaging adoption has successfully influenced our revenue growth by taking share from legacy communication channels. We will continue to focus on adding new messaging endpoints and driving higher adoption of each of these channels within our customer base.</w:t>
      </w:r>
    </w:p>
    <w:p>
      <w:pPr>
        <w:spacing w:after="0" w:line="73"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Globalize R&amp;D to attract the industry’s best AI, machine learning and conversational talent. </w:t>
      </w:r>
      <w:r>
        <w:rPr>
          <w:rFonts w:ascii="Times New Roman" w:cs="Times New Roman" w:eastAsia="Times New Roman" w:hAnsi="Times New Roman"/>
          <w:sz w:val="17"/>
          <w:szCs w:val="17"/>
          <w:color w:val="auto"/>
        </w:rPr>
        <w:t>We believe that AI and machine learning are critical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successfully scaling Conversational Commerce, and that in order to develop the industry’s leading technology, we need to open offices where the best talent is located. To spearhead that globalization effort, in 2018, LivePerson recruited Alex Spinelli, key architect of the Alexa Operating System at Amazon.com, as our Global CTO. Under Mr. Spinelli’s leadership, we opened an Advanced Technology Center in Seattle, Washington, in 2018, expanded our Mannheim, Germany development center, and added key development talent through the acquisitions of BotCentral in Mountain View, California and Conversable in Austin, Texas. We added more than 70 machine learning, AI and Conversational Commerce developers in 2018, recruiting top talent from firms such as Nike, Amazon.com, Microsoft and Target. We expect to continue adding industry leading development talent across our global offices in 2019.</w:t>
      </w:r>
    </w:p>
    <w:p>
      <w:pPr>
        <w:spacing w:after="0" w:line="71"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Bring to market best-in-class AI and machine learning technologies designed for Conversational Commerce. </w:t>
      </w:r>
      <w:r>
        <w:rPr>
          <w:rFonts w:ascii="Times New Roman" w:cs="Times New Roman" w:eastAsia="Times New Roman" w:hAnsi="Times New Roman"/>
          <w:sz w:val="17"/>
          <w:szCs w:val="17"/>
          <w:color w:val="auto"/>
        </w:rPr>
        <w:t>We believe that over the past few years many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first generation AI and bots have created frustrating experiences for consumers and businesses alike, which in turn has eroded trust in automation. Many of these solutions have proven difficult to build and scale, and have been limited by stand alone implementations that lacked the measurement, reporting and human oversight of Conversational Commerce platforms such as LiveEngage. In December 2018, LivePerson announced Maven, a patent pending AI engine that is designed to overcome these shortcomings and help brands rapidly bring to market conversational AI that can scale to millions of interactions, while increasing customer satisfaction and conversion rates.</w:t>
      </w:r>
    </w:p>
    <w:p>
      <w:pPr>
        <w:spacing w:after="0" w:line="71" w:lineRule="exact"/>
        <w:rPr>
          <w:sz w:val="20"/>
          <w:szCs w:val="20"/>
          <w:color w:val="auto"/>
        </w:rPr>
      </w:pPr>
    </w:p>
    <w:p>
      <w:pPr>
        <w:jc w:val="both"/>
        <w:ind w:firstLine="610"/>
        <w:spacing w:after="0" w:line="266" w:lineRule="auto"/>
        <w:rPr>
          <w:sz w:val="20"/>
          <w:szCs w:val="20"/>
          <w:color w:val="auto"/>
        </w:rPr>
      </w:pPr>
      <w:r>
        <w:rPr>
          <w:rFonts w:ascii="Times New Roman" w:cs="Times New Roman" w:eastAsia="Times New Roman" w:hAnsi="Times New Roman"/>
          <w:sz w:val="17"/>
          <w:szCs w:val="17"/>
          <w:color w:val="auto"/>
        </w:rPr>
        <w:t xml:space="preserve">Unlike alternative solutions designed solely for IT departments, Maven was built to be used by developers </w:t>
      </w:r>
      <w:r>
        <w:rPr>
          <w:rFonts w:ascii="Times New Roman" w:cs="Times New Roman" w:eastAsia="Times New Roman" w:hAnsi="Times New Roman"/>
          <w:sz w:val="17"/>
          <w:szCs w:val="17"/>
          <w:i w:val="1"/>
          <w:iCs w:val="1"/>
          <w:color w:val="auto"/>
        </w:rPr>
        <w:t>and</w:t>
      </w:r>
      <w:r>
        <w:rPr>
          <w:rFonts w:ascii="Times New Roman" w:cs="Times New Roman" w:eastAsia="Times New Roman" w:hAnsi="Times New Roman"/>
          <w:sz w:val="17"/>
          <w:szCs w:val="17"/>
          <w:color w:val="auto"/>
        </w:rPr>
        <w:t xml:space="preserve"> contact center agents. By putting the power of conversational design and bot management in the hands of contact center agents, Maven gives brands the ability to leverage the employees closest to the customer, those who are most versed in the voice of the brand, and with the most expertise in how to craft successful outcomes for customer service and sales journeys.</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Some of the key innovations behind Maven include:</w:t>
      </w:r>
    </w:p>
    <w:p>
      <w:pPr>
        <w:spacing w:after="0" w:line="110" w:lineRule="exact"/>
        <w:rPr>
          <w:sz w:val="20"/>
          <w:szCs w:val="20"/>
          <w:color w:val="auto"/>
        </w:rPr>
      </w:pPr>
    </w:p>
    <w:p>
      <w:pPr>
        <w:ind w:left="980" w:hanging="305"/>
        <w:spacing w:after="0" w:line="259" w:lineRule="auto"/>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bot building software that is based on dialogue instead of workflow or code, so non-technical employees like contact center agents can design automations</w:t>
      </w:r>
    </w:p>
    <w:p>
      <w:pPr>
        <w:ind w:left="980" w:hanging="305"/>
        <w:spacing w:after="0"/>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bootstrap conversations with existing transcripts, reducing design effort and speeding time to market</w:t>
      </w:r>
    </w:p>
    <w:p>
      <w:pPr>
        <w:spacing w:after="0" w:line="7" w:lineRule="exact"/>
        <w:rPr>
          <w:rFonts w:ascii="Times New Roman" w:cs="Times New Roman" w:eastAsia="Times New Roman" w:hAnsi="Times New Roman"/>
          <w:sz w:val="17"/>
          <w:szCs w:val="17"/>
          <w:color w:val="auto"/>
        </w:rPr>
      </w:pPr>
    </w:p>
    <w:p>
      <w:pPr>
        <w:ind w:left="980" w:hanging="305"/>
        <w:spacing w:after="0" w:line="249" w:lineRule="auto"/>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establishing of contact center agents as bot managers, ensuring that every conversation is safeguarded by a human and that agents are continuously training the AI to be smarter and drive more successful outcomes</w:t>
      </w:r>
    </w:p>
    <w:p>
      <w:pPr>
        <w:spacing w:after="0" w:line="1" w:lineRule="exact"/>
        <w:rPr>
          <w:rFonts w:ascii="Times New Roman" w:cs="Times New Roman" w:eastAsia="Times New Roman" w:hAnsi="Times New Roman"/>
          <w:sz w:val="17"/>
          <w:szCs w:val="17"/>
          <w:color w:val="auto"/>
        </w:rPr>
      </w:pPr>
    </w:p>
    <w:p>
      <w:pPr>
        <w:ind w:left="980" w:hanging="305"/>
        <w:spacing w:after="0" w:line="249" w:lineRule="auto"/>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powerful Assist technology that multiplies the efficiency of agents by analyzing intents in real time and then suggesting next best actions, predefined content, and bots that can take over transactional work</w:t>
      </w:r>
    </w:p>
    <w:p>
      <w:pPr>
        <w:spacing w:after="0" w:line="1" w:lineRule="exact"/>
        <w:rPr>
          <w:rFonts w:ascii="Times New Roman" w:cs="Times New Roman" w:eastAsia="Times New Roman" w:hAnsi="Times New Roman"/>
          <w:sz w:val="17"/>
          <w:szCs w:val="17"/>
          <w:color w:val="auto"/>
        </w:rPr>
      </w:pPr>
    </w:p>
    <w:p>
      <w:pPr>
        <w:ind w:left="980" w:hanging="305"/>
        <w:spacing w:after="0"/>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pre-built templates for target verticals that provide out of the box support for the top intents and back-end integrations</w:t>
      </w:r>
    </w:p>
    <w:p>
      <w:pPr>
        <w:spacing w:after="0" w:line="7" w:lineRule="exact"/>
        <w:rPr>
          <w:rFonts w:ascii="Times New Roman" w:cs="Times New Roman" w:eastAsia="Times New Roman" w:hAnsi="Times New Roman"/>
          <w:sz w:val="17"/>
          <w:szCs w:val="17"/>
          <w:color w:val="auto"/>
        </w:rPr>
      </w:pPr>
    </w:p>
    <w:p>
      <w:pPr>
        <w:ind w:left="980" w:hanging="305"/>
        <w:spacing w:after="0"/>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AI NLU integration, so customers aren't boxed into one vendor</w:t>
      </w:r>
    </w:p>
    <w:p>
      <w:pPr>
        <w:spacing w:after="0" w:line="7" w:lineRule="exact"/>
        <w:rPr>
          <w:rFonts w:ascii="Times New Roman" w:cs="Times New Roman" w:eastAsia="Times New Roman" w:hAnsi="Times New Roman"/>
          <w:sz w:val="17"/>
          <w:szCs w:val="17"/>
          <w:color w:val="auto"/>
        </w:rPr>
      </w:pPr>
    </w:p>
    <w:p>
      <w:pPr>
        <w:ind w:left="980" w:hanging="305"/>
        <w:spacing w:after="0"/>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 analytics and reporting tailored to Conversational Commerce</w:t>
      </w:r>
    </w:p>
    <w:p>
      <w:pPr>
        <w:spacing w:after="0" w:line="196" w:lineRule="exact"/>
        <w:rPr>
          <w:sz w:val="20"/>
          <w:szCs w:val="20"/>
          <w:color w:val="auto"/>
        </w:rPr>
      </w:pPr>
    </w:p>
    <w:p>
      <w:pPr>
        <w:jc w:val="both"/>
        <w:ind w:firstLine="254"/>
        <w:spacing w:after="0" w:line="264" w:lineRule="auto"/>
        <w:rPr>
          <w:sz w:val="20"/>
          <w:szCs w:val="20"/>
          <w:color w:val="auto"/>
        </w:rPr>
      </w:pPr>
      <w:r>
        <w:rPr>
          <w:rFonts w:ascii="Times New Roman" w:cs="Times New Roman" w:eastAsia="Times New Roman" w:hAnsi="Times New Roman"/>
          <w:sz w:val="17"/>
          <w:szCs w:val="17"/>
          <w:color w:val="auto"/>
        </w:rPr>
        <w:t>Our strategy is to continue to enhance the Maven AI engine and related products,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63" w:lineRule="exact"/>
        <w:rPr>
          <w:sz w:val="20"/>
          <w:szCs w:val="20"/>
          <w:color w:val="auto"/>
        </w:rPr>
      </w:pPr>
    </w:p>
    <w:p>
      <w:pPr>
        <w:jc w:val="both"/>
        <w:ind w:firstLine="61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Sustain our leadership position by aligning brands to a vision that transforms how they communicate with consumers and delivers a superior return on investment. </w:t>
      </w:r>
      <w:r>
        <w:rPr>
          <w:rFonts w:ascii="Times New Roman" w:cs="Times New Roman" w:eastAsia="Times New Roman" w:hAnsi="Times New Roman"/>
          <w:sz w:val="17"/>
          <w:szCs w:val="17"/>
          <w:color w:val="auto"/>
        </w:rPr>
        <w:t>We believe that most online retailers view messaging and Conversational Commerce as a feature. They are content with building integrations to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messaging endpoint and offering messaging as just another product in their suite. LivePerson holds the perspective that Conversational Commerce requires an operational transformation that changes how brands engage with consumers across service, sales, marketing and brick and mortar. Brands must adapt their contact centers to an asynchronous messaging environment and leverage a combination of human agents, bots and AI to achieve scale and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420"/>
          </w:cols>
          <w:pgMar w:left="240" w:top="555" w:right="239" w:bottom="1440" w:gutter="0" w:footer="0" w:header="0"/>
        </w:sectPr>
      </w:pPr>
    </w:p>
    <w:bookmarkStart w:id="33" w:name="page34"/>
    <w:bookmarkEnd w:id="33"/>
    <w:p>
      <w:pPr>
        <w:spacing w:after="0" w:line="278" w:lineRule="auto"/>
        <w:rPr>
          <w:sz w:val="20"/>
          <w:szCs w:val="20"/>
          <w:color w:val="auto"/>
        </w:rPr>
      </w:pPr>
      <w:r>
        <w:rPr>
          <w:rFonts w:ascii="Times New Roman" w:cs="Times New Roman" w:eastAsia="Times New Roman" w:hAnsi="Times New Roman"/>
          <w:sz w:val="17"/>
          <w:szCs w:val="17"/>
          <w:color w:val="auto"/>
        </w:rPr>
        <w:t>efficiencies. When done right, the entire consumer lifecycle with a brand will be maintained within the Conversational Commerce relationship, and traffic will steadily shift away from lower returning voice calls, websites and apps to higher returning messaging endpoints.</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LivePerson is uniquely positioned to deliver this transformation due to its technology and expertise:</w:t>
      </w:r>
    </w:p>
    <w:p>
      <w:pPr>
        <w:spacing w:after="0" w:line="110" w:lineRule="exact"/>
        <w:rPr>
          <w:sz w:val="20"/>
          <w:szCs w:val="20"/>
          <w:color w:val="auto"/>
        </w:rPr>
      </w:pPr>
    </w:p>
    <w:p>
      <w:pPr>
        <w:jc w:val="both"/>
        <w:ind w:left="980" w:hanging="305"/>
        <w:spacing w:after="0" w:line="256"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Conversational Commerce,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natural language understanding (NLU) providers.</w:t>
      </w:r>
    </w:p>
    <w:p>
      <w:pPr>
        <w:spacing w:after="0" w:line="75" w:lineRule="exact"/>
        <w:rPr>
          <w:rFonts w:ascii="Times New Roman" w:cs="Times New Roman" w:eastAsia="Times New Roman" w:hAnsi="Times New Roman"/>
          <w:sz w:val="17"/>
          <w:szCs w:val="17"/>
          <w:color w:val="auto"/>
        </w:rPr>
      </w:pPr>
    </w:p>
    <w:p>
      <w:pPr>
        <w:jc w:val="both"/>
        <w:ind w:left="980" w:hanging="305"/>
        <w:spacing w:after="0" w:line="238"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Conversational Commerce, publishing a proprietary Conversational Quotient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xml:space="preserve"> Index that measures each customer across multiple key indicators to ascertain their level of conversational maturity. Each business is then benchmarked against industry peers to determine their relative progression.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192"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We believe that LivePerson’s differentiated approach to the Conversational Commerce industry, combined with our unique technology and expertise has established us as a market leader, with an ability to deliver superior returns on investment. LivePerson customers typically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71" w:lineRule="exact"/>
        <w:rPr>
          <w:sz w:val="20"/>
          <w:szCs w:val="20"/>
          <w:color w:val="auto"/>
        </w:rPr>
      </w:pPr>
    </w:p>
    <w:p>
      <w:pPr>
        <w:jc w:val="both"/>
        <w:ind w:firstLine="208"/>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Strengthen our position in both existing and new industries. </w:t>
      </w:r>
      <w:r>
        <w:rPr>
          <w:rFonts w:ascii="Times New Roman" w:cs="Times New Roman" w:eastAsia="Times New Roman" w:hAnsi="Times New Roman"/>
          <w:sz w:val="17"/>
          <w:szCs w:val="17"/>
          <w:color w:val="auto"/>
        </w:rPr>
        <w:t>We plan to continue to develop its market position by increasing our customer base, and expanding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within our installed base. We will continue to focus primarily on key target markets: consumer/retail, telecommunications, financial services, travel/hospitality, technology and automotive within both our enterprise and mid-market sectors, as well as the small business (SMB) sector. Healthcare, insurance, real estate and energy utilities are new target industries and natural extensions of our primary target markets. We are increasingly structuring our field organization to emphasize our domain expertise and strengthen customer relationships.</w:t>
      </w:r>
    </w:p>
    <w:p>
      <w:pPr>
        <w:spacing w:after="0" w:line="68" w:lineRule="exact"/>
        <w:rPr>
          <w:sz w:val="20"/>
          <w:szCs w:val="20"/>
          <w:color w:val="auto"/>
        </w:rPr>
      </w:pPr>
    </w:p>
    <w:p>
      <w:pPr>
        <w:jc w:val="both"/>
        <w:ind w:firstLine="61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Continue to build our international presence. </w:t>
      </w:r>
      <w:r>
        <w:rPr>
          <w:rFonts w:ascii="Times New Roman" w:cs="Times New Roman" w:eastAsia="Times New Roman" w:hAnsi="Times New Roman"/>
          <w:sz w:val="17"/>
          <w:szCs w:val="17"/>
          <w:color w:val="auto"/>
        </w:rPr>
        <w:t>We are focused on expanding our international revenue contribution, which increased to 41% of total revenue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2018, from 37% in 2017 and 34% in 2016. We generated positive results from previous investments in direct sales and services personnel in the United Kingdom and Western Europe. We also continued to focus on expanding our presence in the Asia Pacific region, leveraging our relationships with partners.</w:t>
      </w:r>
    </w:p>
    <w:p>
      <w:pPr>
        <w:spacing w:after="0" w:line="62" w:lineRule="exact"/>
        <w:rPr>
          <w:sz w:val="20"/>
          <w:szCs w:val="20"/>
          <w:color w:val="auto"/>
        </w:rPr>
      </w:pPr>
    </w:p>
    <w:p>
      <w:pPr>
        <w:jc w:val="both"/>
        <w:ind w:firstLine="237"/>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Leverage our open architecture to support partners and developers. </w:t>
      </w:r>
      <w:r>
        <w:rPr>
          <w:rFonts w:ascii="Times New Roman" w:cs="Times New Roman" w:eastAsia="Times New Roman" w:hAnsi="Times New Roman"/>
          <w:sz w:val="17"/>
          <w:szCs w:val="17"/>
          <w:color w:val="auto"/>
        </w:rPr>
        <w:t>In addition to developing our own applications, we continue to cultivate a partner eco-system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capable of offering additional applications and services to our customers. We integrate into nearly a dozen third-party messaging endpoints including SMS, Facebook Messenger, Apple Business Chat, Google Rich Business Messenger, Line, WhatsApp, Alexa, Google Home, Google Ad Lingo and Twitter, multiple IVR vendors and dozens of branded apps. Our offering is AI vendor agnostic,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7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In addition, we have opened up access to our platform and our products with more than three dozen APIs that allow customers and third parties to develop on top of our platform. Customers and partners can utilize these APIs to build our capabilities into their own applications and to enhance our applications with their services. In 2019, we expect to increase our marketing efforts to developers, raising awareness for how they can build programs and services on top of our platform.</w:t>
      </w:r>
    </w:p>
    <w:p>
      <w:pPr>
        <w:spacing w:after="0" w:line="63" w:lineRule="exact"/>
        <w:rPr>
          <w:sz w:val="20"/>
          <w:szCs w:val="20"/>
          <w:color w:val="auto"/>
        </w:rPr>
      </w:pPr>
    </w:p>
    <w:p>
      <w:pPr>
        <w:jc w:val="both"/>
        <w:ind w:firstLine="61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Expand sales partnerships to broaden our presence and accelerate sales cycles. </w:t>
      </w:r>
      <w:r>
        <w:rPr>
          <w:rFonts w:ascii="Times New Roman" w:cs="Times New Roman" w:eastAsia="Times New Roman" w:hAnsi="Times New Roman"/>
          <w:sz w:val="17"/>
          <w:szCs w:val="17"/>
          <w:color w:val="auto"/>
        </w:rPr>
        <w:t>We are focused on broadening its market reach and accelerating sales cycles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partnering with systems integrators, technology providers, business process outsourcers, value added resellers and other sales partners. We formalized a relationship with IBM Global Business Services in 2017 and Accenture in 2018. We increased the number of partners focused on SMBs by more than 300% in 2018, to over 150 at year end from 40 at the start of the year. These efforts are increasingly yielding positive results for us, as nearly one-third of annual contract value signed in 2018 was directly influenced by partners. We expect to increase investment in our partner channels in 2019.</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420"/>
          </w:cols>
          <w:pgMar w:left="240" w:top="555" w:right="239" w:bottom="1440" w:gutter="0" w:footer="0" w:header="0"/>
        </w:sectPr>
      </w:pPr>
    </w:p>
    <w:bookmarkStart w:id="34" w:name="page35"/>
    <w:bookmarkEnd w:id="34"/>
    <w:p>
      <w:pPr>
        <w:jc w:val="both"/>
        <w:ind w:firstLine="517"/>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Maintain Market Leadership in Technology and Security Expertise. </w:t>
      </w:r>
      <w:r>
        <w:rPr>
          <w:rFonts w:ascii="Times New Roman" w:cs="Times New Roman" w:eastAsia="Times New Roman" w:hAnsi="Times New Roman"/>
          <w:sz w:val="17"/>
          <w:szCs w:val="17"/>
          <w:color w:val="auto"/>
        </w:rPr>
        <w:t>As described above, we are devoting significant resources to creating new products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68"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Evaluate Strategic Alliances and Acquisitions When Appropriate. </w:t>
      </w:r>
      <w:r>
        <w:rPr>
          <w:rFonts w:ascii="Times New Roman" w:cs="Times New Roman" w:eastAsia="Times New Roman" w:hAnsi="Times New Roman"/>
          <w:sz w:val="17"/>
          <w:szCs w:val="17"/>
          <w:color w:val="auto"/>
        </w:rPr>
        <w:t>We have successfully integrated several acquisitions over the past decade. While we have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Metrics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Financial overview of the three months ended June 30, 2019 compared to the three months ended June 30, 2018:</w:t>
      </w:r>
    </w:p>
    <w:p>
      <w:pPr>
        <w:spacing w:after="0" w:line="110" w:lineRule="exact"/>
        <w:rPr>
          <w:sz w:val="20"/>
          <w:szCs w:val="20"/>
          <w:color w:val="auto"/>
        </w:rPr>
      </w:pPr>
    </w:p>
    <w:p>
      <w:pPr>
        <w:ind w:left="1060" w:hanging="296"/>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increased 15% to $71.0 million from $61.7 million</w:t>
      </w:r>
    </w:p>
    <w:p>
      <w:pPr>
        <w:spacing w:after="0" w:line="58"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our Business segment increased 14% to $64.8 million from $56.7 million.</w:t>
      </w:r>
    </w:p>
    <w:p>
      <w:pPr>
        <w:spacing w:after="0" w:line="58"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profit margin increased to 75% from 74%.</w:t>
      </w:r>
    </w:p>
    <w:p>
      <w:pPr>
        <w:spacing w:after="0" w:line="58"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and expenses increased 32% to $92.0 million from $69.5 million.</w:t>
      </w:r>
    </w:p>
    <w:p>
      <w:pPr>
        <w:spacing w:after="0" w:line="58"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 increased to $24.0 million from $8.3 million.</w:t>
      </w:r>
    </w:p>
    <w:p>
      <w:pPr>
        <w:spacing w:after="0" w:line="58" w:lineRule="exact"/>
        <w:rPr>
          <w:rFonts w:ascii="Times New Roman" w:cs="Times New Roman" w:eastAsia="Times New Roman" w:hAnsi="Times New Roman"/>
          <w:sz w:val="17"/>
          <w:szCs w:val="17"/>
          <w:color w:val="auto"/>
        </w:rPr>
      </w:pPr>
    </w:p>
    <w:p>
      <w:pPr>
        <w:ind w:left="1060" w:hanging="296"/>
        <w:spacing w:after="0" w:line="278" w:lineRule="auto"/>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annual revenue per enterprise and mid-market customer increased approximately 20% to $310,000 for the trailing-twelve-months ended June 30, 2019, as compared to $255,000 for the trailing-twelve-months ended June 30, 2018.</w:t>
      </w:r>
    </w:p>
    <w:p>
      <w:pPr>
        <w:spacing w:after="0" w:line="4" w:lineRule="exact"/>
        <w:rPr>
          <w:rFonts w:ascii="Times New Roman" w:cs="Times New Roman" w:eastAsia="Times New Roman" w:hAnsi="Times New Roman"/>
          <w:sz w:val="17"/>
          <w:szCs w:val="17"/>
          <w:color w:val="auto"/>
        </w:rPr>
      </w:pPr>
    </w:p>
    <w:p>
      <w:pPr>
        <w:jc w:val="both"/>
        <w:ind w:left="1060" w:hanging="296"/>
        <w:spacing w:after="0" w:line="264" w:lineRule="auto"/>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2019, we have raised our target for enterprise and mid-market revenue retention to a range of 105% to 115%, as compared to greater than 100% in 2018. LivePerson’s second quarter retention rate met our target. Revenue retention rate measures the percentage of revenue retained at quarter end, from full service customers that were on LiveEngage at the same period a year ago.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Adjusted EBITDA and Adjusted Operating Income</w:t>
      </w:r>
    </w:p>
    <w:p>
      <w:pPr>
        <w:spacing w:after="0" w:line="215" w:lineRule="exact"/>
        <w:rPr>
          <w:sz w:val="20"/>
          <w:szCs w:val="20"/>
          <w:color w:val="auto"/>
        </w:rPr>
      </w:pPr>
    </w:p>
    <w:p>
      <w:pPr>
        <w:ind w:right="40" w:firstLine="737"/>
        <w:spacing w:after="0" w:line="264" w:lineRule="auto"/>
        <w:rPr>
          <w:sz w:val="20"/>
          <w:szCs w:val="20"/>
          <w:color w:val="auto"/>
        </w:rPr>
      </w:pPr>
      <w:r>
        <w:rPr>
          <w:rFonts w:ascii="Times New Roman" w:cs="Times New Roman" w:eastAsia="Times New Roman" w:hAnsi="Times New Roman"/>
          <w:sz w:val="17"/>
          <w:szCs w:val="17"/>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168" w:lineRule="exact"/>
        <w:rPr>
          <w:sz w:val="20"/>
          <w:szCs w:val="20"/>
          <w:color w:val="auto"/>
        </w:rPr>
      </w:pPr>
    </w:p>
    <w:p>
      <w:pPr>
        <w:ind w:right="100" w:firstLine="610"/>
        <w:spacing w:after="0" w:line="252" w:lineRule="auto"/>
        <w:rPr>
          <w:sz w:val="20"/>
          <w:szCs w:val="20"/>
          <w:color w:val="auto"/>
        </w:rPr>
      </w:pPr>
      <w:r>
        <w:rPr>
          <w:rFonts w:ascii="Times New Roman" w:cs="Times New Roman" w:eastAsia="Times New Roman" w:hAnsi="Times New Roman"/>
          <w:sz w:val="17"/>
          <w:szCs w:val="17"/>
          <w:color w:val="auto"/>
        </w:rPr>
        <w:t>We have included adjusted EBITDA and adjusted operating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provide useful information to investors and others in understanding and evaluating our operating results in the same manner as our management and board of directors.</w:t>
      </w:r>
    </w:p>
    <w:p>
      <w:pPr>
        <w:spacing w:after="0" w:line="2" w:lineRule="exact"/>
        <w:rPr>
          <w:sz w:val="20"/>
          <w:szCs w:val="20"/>
          <w:color w:val="auto"/>
        </w:rPr>
      </w:pPr>
    </w:p>
    <w:p>
      <w:pPr>
        <w:ind w:right="280" w:firstLine="678"/>
        <w:spacing w:after="0" w:line="249" w:lineRule="auto"/>
        <w:rPr>
          <w:sz w:val="20"/>
          <w:szCs w:val="20"/>
          <w:color w:val="auto"/>
        </w:rPr>
      </w:pPr>
      <w:r>
        <w:rPr>
          <w:rFonts w:ascii="Times New Roman" w:cs="Times New Roman" w:eastAsia="Times New Roman" w:hAnsi="Times New Roman"/>
          <w:sz w:val="17"/>
          <w:szCs w:val="17"/>
          <w:color w:val="auto"/>
        </w:rPr>
        <w:t>Our use of adjusted EBITDA has limitations as an analytical tool, and you should not consider it in isolation or as a substitute for analysis of our results as reported under GAAP. Some of these limitations are:</w:t>
      </w:r>
    </w:p>
    <w:p>
      <w:pPr>
        <w:spacing w:after="0" w:line="1" w:lineRule="exact"/>
        <w:rPr>
          <w:sz w:val="20"/>
          <w:szCs w:val="20"/>
          <w:color w:val="auto"/>
        </w:rPr>
      </w:pPr>
    </w:p>
    <w:p>
      <w:pPr>
        <w:ind w:left="1060" w:hanging="296"/>
        <w:spacing w:after="0" w:line="249" w:lineRule="auto"/>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changes in, or cash requirements for, our working capital needs;</w:t>
      </w:r>
    </w:p>
    <w:p>
      <w:pPr>
        <w:spacing w:after="0" w:line="7"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consider the impact of acquisition costs;</w:t>
      </w:r>
    </w:p>
    <w:p>
      <w:pPr>
        <w:spacing w:after="0" w:line="7"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consider the impact of restructuring costs;</w:t>
      </w:r>
    </w:p>
    <w:p>
      <w:pPr>
        <w:spacing w:after="0" w:line="7"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consider the impact of other costs;</w:t>
      </w:r>
    </w:p>
    <w:p>
      <w:pPr>
        <w:spacing w:after="0" w:line="7"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tax payments that may represent a reduction in cash available to us; and</w:t>
      </w:r>
    </w:p>
    <w:p>
      <w:pPr>
        <w:spacing w:after="0" w:line="7" w:lineRule="exact"/>
        <w:rPr>
          <w:rFonts w:ascii="Times New Roman" w:cs="Times New Roman" w:eastAsia="Times New Roman" w:hAnsi="Times New Roman"/>
          <w:sz w:val="17"/>
          <w:szCs w:val="17"/>
          <w:color w:val="auto"/>
        </w:rPr>
      </w:pPr>
    </w:p>
    <w:p>
      <w:pPr>
        <w:ind w:left="1060" w:hanging="296"/>
        <w:spacing w:after="0" w:line="259" w:lineRule="auto"/>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including companies in our industry, may calculate adjusted EBITDA differently, which reduces its usefulness as a comparative measure.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420"/>
          </w:cols>
          <w:pgMar w:left="240" w:top="55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Pr>
          <w:p>
            <w:pPr>
              <w:spacing w:after="0"/>
              <w:rPr>
                <w:sz w:val="16"/>
                <w:szCs w:val="16"/>
                <w:color w:val="auto"/>
              </w:rPr>
            </w:pPr>
          </w:p>
        </w:tc>
      </w:tr>
      <w:tr>
        <w:trPr>
          <w:trHeight w:val="245"/>
        </w:trPr>
        <w:tc>
          <w:tcPr>
            <w:tcW w:w="55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21"/>
                <w:szCs w:val="21"/>
                <w:color w:val="auto"/>
              </w:rPr>
            </w:pPr>
          </w:p>
        </w:tc>
      </w:tr>
      <w:tr>
        <w:trPr>
          <w:trHeight w:val="24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Adjusted EBITDA</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0"/>
        </w:trPr>
        <w:tc>
          <w:tcPr>
            <w:tcW w:w="55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4"/>
                <w:szCs w:val="14"/>
                <w:color w:val="auto"/>
              </w:rPr>
              <w:t>GAAP net loss</w:t>
            </w:r>
          </w:p>
        </w:tc>
        <w:tc>
          <w:tcPr>
            <w:tcW w:w="260" w:type="dxa"/>
            <w:vAlign w:val="bottom"/>
            <w:shd w:val="clear" w:color="auto" w:fill="CCFFCC"/>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(23,987)</w:t>
            </w:r>
          </w:p>
        </w:tc>
        <w:tc>
          <w:tcPr>
            <w:tcW w:w="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(8,321)</w:t>
            </w:r>
          </w:p>
        </w:tc>
        <w:tc>
          <w:tcPr>
            <w:tcW w:w="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(42,877)</w:t>
            </w:r>
          </w:p>
        </w:tc>
        <w:tc>
          <w:tcPr>
            <w:tcW w:w="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(11,524)</w:t>
            </w:r>
          </w:p>
        </w:tc>
        <w:tc>
          <w:tcPr>
            <w:tcW w:w="320" w:type="dxa"/>
            <w:vAlign w:val="bottom"/>
            <w:shd w:val="clear" w:color="auto" w:fill="CCFFCC"/>
          </w:tcPr>
          <w:p>
            <w:pPr>
              <w:spacing w:after="0"/>
              <w:rPr>
                <w:sz w:val="22"/>
                <w:szCs w:val="22"/>
                <w:color w:val="auto"/>
              </w:rPr>
            </w:pPr>
          </w:p>
        </w:tc>
      </w:tr>
      <w:tr>
        <w:trPr>
          <w:trHeight w:val="249"/>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purchased intangibles</w:t>
            </w: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723</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711</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1,469</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1,422</w:t>
            </w:r>
          </w:p>
        </w:tc>
        <w:tc>
          <w:tcPr>
            <w:tcW w:w="320" w:type="dxa"/>
            <w:vAlign w:val="bottom"/>
          </w:tcPr>
          <w:p>
            <w:pPr>
              <w:spacing w:after="0"/>
              <w:rPr>
                <w:sz w:val="21"/>
                <w:szCs w:val="21"/>
                <w:color w:val="auto"/>
              </w:rPr>
            </w:pPr>
          </w:p>
        </w:tc>
      </w:tr>
      <w:tr>
        <w:trPr>
          <w:trHeight w:val="260"/>
        </w:trPr>
        <w:tc>
          <w:tcPr>
            <w:tcW w:w="55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9,305</w:t>
            </w:r>
          </w:p>
        </w:tc>
        <w:tc>
          <w:tcPr>
            <w:tcW w:w="34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3,826</w:t>
            </w:r>
          </w:p>
        </w:tc>
        <w:tc>
          <w:tcPr>
            <w:tcW w:w="34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16,471</w:t>
            </w:r>
          </w:p>
        </w:tc>
        <w:tc>
          <w:tcPr>
            <w:tcW w:w="36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6,264</w:t>
            </w:r>
          </w:p>
        </w:tc>
        <w:tc>
          <w:tcPr>
            <w:tcW w:w="320" w:type="dxa"/>
            <w:vAlign w:val="bottom"/>
            <w:shd w:val="clear" w:color="auto" w:fill="CCFFCC"/>
          </w:tcPr>
          <w:p>
            <w:pPr>
              <w:spacing w:after="0"/>
              <w:rPr>
                <w:sz w:val="22"/>
                <w:szCs w:val="22"/>
                <w:color w:val="auto"/>
              </w:rPr>
            </w:pPr>
          </w:p>
        </w:tc>
      </w:tr>
      <w:tr>
        <w:trPr>
          <w:trHeight w:val="249"/>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3,762</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3,428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7,643</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6,786</w:t>
            </w:r>
          </w:p>
        </w:tc>
        <w:tc>
          <w:tcPr>
            <w:tcW w:w="320" w:type="dxa"/>
            <w:vAlign w:val="bottom"/>
          </w:tcPr>
          <w:p>
            <w:pPr>
              <w:spacing w:after="0"/>
              <w:rPr>
                <w:sz w:val="21"/>
                <w:szCs w:val="21"/>
                <w:color w:val="auto"/>
              </w:rPr>
            </w:pPr>
          </w:p>
        </w:tc>
      </w:tr>
      <w:tr>
        <w:trPr>
          <w:trHeight w:val="209"/>
        </w:trPr>
        <w:tc>
          <w:tcPr>
            <w:tcW w:w="55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4"/>
                <w:szCs w:val="14"/>
                <w:color w:val="auto"/>
              </w:rPr>
              <w:t>Other litigation and consulting costs</w:t>
            </w: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1,727</w:t>
            </w:r>
          </w:p>
        </w:tc>
        <w:tc>
          <w:tcPr>
            <w:tcW w:w="340" w:type="dxa"/>
            <w:vAlign w:val="bottom"/>
            <w:shd w:val="clear" w:color="auto" w:fill="CCFFCC"/>
          </w:tcPr>
          <w:p>
            <w:pPr>
              <w:jc w:val="right"/>
              <w:ind w:right="165"/>
              <w:spacing w:after="0"/>
              <w:rPr>
                <w:sz w:val="20"/>
                <w:szCs w:val="20"/>
                <w:color w:val="auto"/>
              </w:rPr>
            </w:pPr>
            <w:r>
              <w:rPr>
                <w:rFonts w:ascii="Times New Roman" w:cs="Times New Roman" w:eastAsia="Times New Roman" w:hAnsi="Times New Roman"/>
                <w:sz w:val="8"/>
                <w:szCs w:val="8"/>
                <w:color w:val="auto"/>
              </w:rPr>
              <w:t>(1)</w:t>
            </w: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1,768</w:t>
            </w:r>
          </w:p>
        </w:tc>
        <w:tc>
          <w:tcPr>
            <w:tcW w:w="340" w:type="dxa"/>
            <w:vAlign w:val="bottom"/>
            <w:shd w:val="clear" w:color="auto" w:fill="CCFFCC"/>
          </w:tcPr>
          <w:p>
            <w:pPr>
              <w:jc w:val="right"/>
              <w:ind w:right="165"/>
              <w:spacing w:after="0"/>
              <w:rPr>
                <w:sz w:val="20"/>
                <w:szCs w:val="20"/>
                <w:color w:val="auto"/>
              </w:rPr>
            </w:pPr>
            <w:r>
              <w:rPr>
                <w:rFonts w:ascii="Times New Roman" w:cs="Times New Roman" w:eastAsia="Times New Roman" w:hAnsi="Times New Roman"/>
                <w:sz w:val="8"/>
                <w:szCs w:val="8"/>
                <w:color w:val="auto"/>
              </w:rPr>
              <w:t>(1)</w:t>
            </w: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4,144</w:t>
            </w:r>
          </w:p>
        </w:tc>
        <w:tc>
          <w:tcPr>
            <w:tcW w:w="360" w:type="dxa"/>
            <w:vAlign w:val="bottom"/>
            <w:shd w:val="clear" w:color="auto" w:fill="CCFFCC"/>
          </w:tcPr>
          <w:p>
            <w:pPr>
              <w:jc w:val="right"/>
              <w:ind w:right="165"/>
              <w:spacing w:after="0"/>
              <w:rPr>
                <w:sz w:val="20"/>
                <w:szCs w:val="20"/>
                <w:color w:val="auto"/>
              </w:rPr>
            </w:pPr>
            <w:r>
              <w:rPr>
                <w:rFonts w:ascii="Times New Roman" w:cs="Times New Roman" w:eastAsia="Times New Roman" w:hAnsi="Times New Roman"/>
                <w:sz w:val="8"/>
                <w:szCs w:val="8"/>
                <w:color w:val="auto"/>
              </w:rPr>
              <w:t>(3)</w:t>
            </w: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3,038</w:t>
            </w:r>
          </w:p>
        </w:tc>
        <w:tc>
          <w:tcPr>
            <w:tcW w:w="320" w:type="dxa"/>
            <w:vAlign w:val="bottom"/>
            <w:shd w:val="clear" w:color="auto" w:fill="CCFFCC"/>
          </w:tcPr>
          <w:p>
            <w:pPr>
              <w:jc w:val="right"/>
              <w:ind w:right="158"/>
              <w:spacing w:after="0"/>
              <w:rPr>
                <w:sz w:val="20"/>
                <w:szCs w:val="20"/>
                <w:color w:val="auto"/>
              </w:rPr>
            </w:pPr>
            <w:r>
              <w:rPr>
                <w:rFonts w:ascii="Times New Roman" w:cs="Times New Roman" w:eastAsia="Times New Roman" w:hAnsi="Times New Roman"/>
                <w:sz w:val="8"/>
                <w:szCs w:val="8"/>
                <w:color w:val="auto"/>
              </w:rPr>
              <w:t>(3)</w:t>
            </w:r>
          </w:p>
        </w:tc>
      </w:tr>
      <w:tr>
        <w:trPr>
          <w:trHeight w:val="249"/>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costs</w:t>
            </w: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648</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1"/>
                <w:szCs w:val="21"/>
                <w:color w:val="auto"/>
              </w:rPr>
            </w:pPr>
          </w:p>
        </w:tc>
      </w:tr>
      <w:tr>
        <w:trPr>
          <w:trHeight w:val="209"/>
        </w:trPr>
        <w:tc>
          <w:tcPr>
            <w:tcW w:w="55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4"/>
                <w:szCs w:val="14"/>
                <w:color w:val="auto"/>
              </w:rPr>
              <w:t>Restructuring costs</w:t>
            </w: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205</w:t>
            </w:r>
          </w:p>
        </w:tc>
        <w:tc>
          <w:tcPr>
            <w:tcW w:w="340" w:type="dxa"/>
            <w:vAlign w:val="bottom"/>
            <w:shd w:val="clear" w:color="auto" w:fill="CCFFCC"/>
          </w:tcPr>
          <w:p>
            <w:pPr>
              <w:jc w:val="right"/>
              <w:ind w:right="165"/>
              <w:spacing w:after="0"/>
              <w:rPr>
                <w:sz w:val="20"/>
                <w:szCs w:val="20"/>
                <w:color w:val="auto"/>
              </w:rPr>
            </w:pPr>
            <w:r>
              <w:rPr>
                <w:rFonts w:ascii="Times New Roman" w:cs="Times New Roman" w:eastAsia="Times New Roman" w:hAnsi="Times New Roman"/>
                <w:sz w:val="8"/>
                <w:szCs w:val="8"/>
                <w:color w:val="auto"/>
              </w:rPr>
              <w:t>(2)</w:t>
            </w: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1,906</w:t>
            </w:r>
          </w:p>
        </w:tc>
        <w:tc>
          <w:tcPr>
            <w:tcW w:w="340" w:type="dxa"/>
            <w:vAlign w:val="bottom"/>
            <w:shd w:val="clear" w:color="auto" w:fill="CCFFCC"/>
          </w:tcPr>
          <w:p>
            <w:pPr>
              <w:jc w:val="right"/>
              <w:ind w:right="165"/>
              <w:spacing w:after="0"/>
              <w:rPr>
                <w:sz w:val="20"/>
                <w:szCs w:val="20"/>
                <w:color w:val="auto"/>
              </w:rPr>
            </w:pPr>
            <w:r>
              <w:rPr>
                <w:rFonts w:ascii="Times New Roman" w:cs="Times New Roman" w:eastAsia="Times New Roman" w:hAnsi="Times New Roman"/>
                <w:sz w:val="8"/>
                <w:szCs w:val="8"/>
                <w:color w:val="auto"/>
              </w:rPr>
              <w:t>(2)</w:t>
            </w: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484</w:t>
            </w:r>
          </w:p>
        </w:tc>
        <w:tc>
          <w:tcPr>
            <w:tcW w:w="360" w:type="dxa"/>
            <w:vAlign w:val="bottom"/>
            <w:shd w:val="clear" w:color="auto" w:fill="CCFFCC"/>
          </w:tcPr>
          <w:p>
            <w:pPr>
              <w:jc w:val="right"/>
              <w:ind w:right="165"/>
              <w:spacing w:after="0"/>
              <w:rPr>
                <w:sz w:val="20"/>
                <w:szCs w:val="20"/>
                <w:color w:val="auto"/>
              </w:rPr>
            </w:pPr>
            <w:r>
              <w:rPr>
                <w:rFonts w:ascii="Times New Roman" w:cs="Times New Roman" w:eastAsia="Times New Roman" w:hAnsi="Times New Roman"/>
                <w:sz w:val="8"/>
                <w:szCs w:val="8"/>
                <w:color w:val="auto"/>
              </w:rPr>
              <w:t>(4)</w:t>
            </w: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2,084</w:t>
            </w:r>
          </w:p>
        </w:tc>
        <w:tc>
          <w:tcPr>
            <w:tcW w:w="320" w:type="dxa"/>
            <w:vAlign w:val="bottom"/>
            <w:shd w:val="clear" w:color="auto" w:fill="CCFFCC"/>
          </w:tcPr>
          <w:p>
            <w:pPr>
              <w:jc w:val="right"/>
              <w:ind w:right="158"/>
              <w:spacing w:after="0"/>
              <w:rPr>
                <w:sz w:val="20"/>
                <w:szCs w:val="20"/>
                <w:color w:val="auto"/>
              </w:rPr>
            </w:pPr>
            <w:r>
              <w:rPr>
                <w:rFonts w:ascii="Times New Roman" w:cs="Times New Roman" w:eastAsia="Times New Roman" w:hAnsi="Times New Roman"/>
                <w:sz w:val="8"/>
                <w:szCs w:val="8"/>
                <w:color w:val="auto"/>
              </w:rPr>
              <w:t>(4)</w:t>
            </w:r>
          </w:p>
        </w:tc>
      </w:tr>
      <w:tr>
        <w:trPr>
          <w:trHeight w:val="249"/>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699</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536</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1,292</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47</w:t>
            </w:r>
          </w:p>
        </w:tc>
        <w:tc>
          <w:tcPr>
            <w:tcW w:w="320" w:type="dxa"/>
            <w:vAlign w:val="bottom"/>
          </w:tcPr>
          <w:p>
            <w:pPr>
              <w:spacing w:after="0"/>
              <w:rPr>
                <w:sz w:val="21"/>
                <w:szCs w:val="21"/>
                <w:color w:val="auto"/>
              </w:rPr>
            </w:pPr>
          </w:p>
        </w:tc>
      </w:tr>
      <w:tr>
        <w:trPr>
          <w:trHeight w:val="254"/>
        </w:trPr>
        <w:tc>
          <w:tcPr>
            <w:tcW w:w="55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4"/>
                <w:szCs w:val="14"/>
                <w:color w:val="auto"/>
              </w:rPr>
              <w:t>Other expense, net</w:t>
            </w:r>
          </w:p>
        </w:tc>
        <w:tc>
          <w:tcPr>
            <w:tcW w:w="260" w:type="dxa"/>
            <w:vAlign w:val="bottom"/>
            <w:tcBorders>
              <w:bottom w:val="single" w:sz="8" w:color="auto"/>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2,267</w:t>
            </w:r>
          </w:p>
        </w:tc>
        <w:tc>
          <w:tcPr>
            <w:tcW w:w="340" w:type="dxa"/>
            <w:vAlign w:val="bottom"/>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40" w:type="dxa"/>
            <w:vAlign w:val="bottom"/>
            <w:shd w:val="clear" w:color="auto" w:fill="CCFFCC"/>
          </w:tcPr>
          <w:p>
            <w:pPr>
              <w:spacing w:after="0"/>
              <w:rPr>
                <w:sz w:val="22"/>
                <w:szCs w:val="22"/>
                <w:color w:val="auto"/>
              </w:rPr>
            </w:pPr>
          </w:p>
        </w:tc>
        <w:tc>
          <w:tcPr>
            <w:tcW w:w="280" w:type="dxa"/>
            <w:vAlign w:val="bottom"/>
            <w:tcBorders>
              <w:bottom w:val="single" w:sz="8" w:color="auto"/>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2,201</w:t>
            </w:r>
          </w:p>
        </w:tc>
        <w:tc>
          <w:tcPr>
            <w:tcW w:w="360" w:type="dxa"/>
            <w:vAlign w:val="bottom"/>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(160)</w:t>
            </w:r>
          </w:p>
        </w:tc>
        <w:tc>
          <w:tcPr>
            <w:tcW w:w="320" w:type="dxa"/>
            <w:vAlign w:val="bottom"/>
            <w:shd w:val="clear" w:color="auto" w:fill="CCFFCC"/>
          </w:tcPr>
          <w:p>
            <w:pPr>
              <w:spacing w:after="0"/>
              <w:rPr>
                <w:sz w:val="22"/>
                <w:szCs w:val="22"/>
                <w:color w:val="auto"/>
              </w:rPr>
            </w:pPr>
          </w:p>
        </w:tc>
      </w:tr>
      <w:tr>
        <w:trPr>
          <w:trHeight w:val="227"/>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 (loss)</w:t>
            </w: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(5,299)</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3,823</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(8,525)</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7,957</w:t>
            </w:r>
          </w:p>
        </w:tc>
        <w:tc>
          <w:tcPr>
            <w:tcW w:w="3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254875" cy="403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403225"/>
                    </a:xfrm>
                    <a:prstGeom prst="rect">
                      <a:avLst/>
                    </a:prstGeom>
                    <a:noFill/>
                  </pic:spPr>
                </pic:pic>
              </a:graphicData>
            </a:graphic>
          </wp:anchor>
        </w:drawing>
      </w:r>
    </w:p>
    <w:p>
      <w:pPr>
        <w:spacing w:after="0" w:line="265" w:lineRule="exact"/>
        <w:rPr>
          <w:sz w:val="20"/>
          <w:szCs w:val="20"/>
          <w:color w:val="auto"/>
        </w:rPr>
      </w:pPr>
    </w:p>
    <w:p>
      <w:pPr>
        <w:ind w:left="20" w:right="320" w:firstLine="7"/>
        <w:spacing w:after="0" w:line="234" w:lineRule="auto"/>
        <w:tabs>
          <w:tab w:leader="none" w:pos="2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litigation costs of $1.1 million and consulting costs of $0.6 million for the three months ended June 30, 2019 and litigation costs of $1.2 million, consulting costs of $0.4 million, and executive relocation costs of $0.2 million for the three months ended June 30, 2018.</w:t>
      </w:r>
    </w:p>
    <w:p>
      <w:pPr>
        <w:spacing w:after="0" w:line="16" w:lineRule="exact"/>
        <w:rPr>
          <w:rFonts w:ascii="Times New Roman" w:cs="Times New Roman" w:eastAsia="Times New Roman" w:hAnsi="Times New Roman"/>
          <w:sz w:val="14"/>
          <w:szCs w:val="14"/>
          <w:color w:val="auto"/>
        </w:rPr>
      </w:pPr>
    </w:p>
    <w:p>
      <w:pPr>
        <w:ind w:left="220" w:hanging="193"/>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costs and other compensation related costs of $0.2 million for the three months ended June 30, 2019 and $1.9 million for the three months ended June 30, 2018.</w:t>
      </w:r>
    </w:p>
    <w:p>
      <w:pPr>
        <w:spacing w:after="0" w:line="29" w:lineRule="exact"/>
        <w:rPr>
          <w:rFonts w:ascii="Times New Roman" w:cs="Times New Roman" w:eastAsia="Times New Roman" w:hAnsi="Times New Roman"/>
          <w:sz w:val="14"/>
          <w:szCs w:val="14"/>
          <w:color w:val="auto"/>
        </w:rPr>
      </w:pPr>
    </w:p>
    <w:p>
      <w:pPr>
        <w:ind w:left="20" w:right="660" w:firstLine="7"/>
        <w:spacing w:after="0" w:line="234" w:lineRule="auto"/>
        <w:tabs>
          <w:tab w:leader="none" w:pos="2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litigation costs of $2.2 million and consulting costs of $1.9 million for the six months ended June 30, 2019 and litigation costs of $2.1 million, consulting costs of $0.4 million, executive recruitment costs of $0.3 million, and executive relocation costs of $0.2 million for the six months ended June 30, 2018</w:t>
      </w:r>
    </w:p>
    <w:p>
      <w:pPr>
        <w:spacing w:after="0" w:line="16" w:lineRule="exact"/>
        <w:rPr>
          <w:rFonts w:ascii="Times New Roman" w:cs="Times New Roman" w:eastAsia="Times New Roman" w:hAnsi="Times New Roman"/>
          <w:sz w:val="14"/>
          <w:szCs w:val="14"/>
          <w:color w:val="auto"/>
        </w:rPr>
      </w:pPr>
    </w:p>
    <w:p>
      <w:pPr>
        <w:ind w:left="220" w:hanging="193"/>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costs and other compensation related costs of $0.5 million for the six months ended June 30, 2019 and $2.1 million 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-314325</wp:posOffset>
            </wp:positionV>
            <wp:extent cx="7254875" cy="209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09550"/>
                    </a:xfrm>
                    <a:prstGeom prst="rect">
                      <a:avLst/>
                    </a:prstGeom>
                    <a:noFill/>
                  </pic:spPr>
                </pic:pic>
              </a:graphicData>
            </a:graphic>
          </wp:anchor>
        </w:drawing>
      </w:r>
    </w:p>
    <w:p>
      <w:pPr>
        <w:spacing w:after="0" w:line="293" w:lineRule="exact"/>
        <w:rPr>
          <w:sz w:val="20"/>
          <w:szCs w:val="20"/>
          <w:color w:val="auto"/>
        </w:rPr>
      </w:pPr>
    </w:p>
    <w:p>
      <w:pPr>
        <w:ind w:left="80" w:firstLine="610"/>
        <w:spacing w:after="0" w:line="259" w:lineRule="auto"/>
        <w:rPr>
          <w:sz w:val="20"/>
          <w:szCs w:val="20"/>
          <w:color w:val="auto"/>
        </w:rPr>
      </w:pPr>
      <w:r>
        <w:rPr>
          <w:rFonts w:ascii="Times New Roman" w:cs="Times New Roman" w:eastAsia="Times New Roman" w:hAnsi="Times New Roman"/>
          <w:sz w:val="17"/>
          <w:szCs w:val="17"/>
          <w:color w:val="auto"/>
        </w:rPr>
        <w:t>Our use of adjusted operating income has limitations as an analytical tool, and you should not consider it in isolation or as a substitute for analysis of our results as reported under GAAP. Some of these limitations are:</w:t>
      </w:r>
    </w:p>
    <w:p>
      <w:pPr>
        <w:ind w:left="1060" w:right="240" w:hanging="296"/>
        <w:spacing w:after="0" w:line="249"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spacing w:after="0" w:line="1"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operating income does not consider the impact of acquisition costs;</w:t>
      </w:r>
    </w:p>
    <w:p>
      <w:pPr>
        <w:spacing w:after="0" w:line="7"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operating income does not consider the impact of restructuring costs;</w:t>
      </w:r>
    </w:p>
    <w:p>
      <w:pPr>
        <w:spacing w:after="0" w:line="7" w:lineRule="exact"/>
        <w:rPr>
          <w:rFonts w:ascii="Times New Roman" w:cs="Times New Roman" w:eastAsia="Times New Roman" w:hAnsi="Times New Roman"/>
          <w:sz w:val="17"/>
          <w:szCs w:val="17"/>
          <w:color w:val="auto"/>
        </w:rPr>
      </w:pPr>
    </w:p>
    <w:p>
      <w:pPr>
        <w:ind w:left="1060" w:hanging="296"/>
        <w:spacing w:after="0"/>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operating income does not consider the impact of other costs;</w:t>
      </w:r>
    </w:p>
    <w:p>
      <w:pPr>
        <w:spacing w:after="0" w:line="7" w:lineRule="exact"/>
        <w:rPr>
          <w:rFonts w:ascii="Times New Roman" w:cs="Times New Roman" w:eastAsia="Times New Roman" w:hAnsi="Times New Roman"/>
          <w:sz w:val="17"/>
          <w:szCs w:val="17"/>
          <w:color w:val="auto"/>
        </w:rPr>
      </w:pPr>
    </w:p>
    <w:p>
      <w:pPr>
        <w:ind w:left="1060" w:right="820" w:hanging="296"/>
        <w:spacing w:after="0" w:line="249"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including companies in our industry, may calculate adjusted operating income differently, which reduces its usefulness as a comparative measure.</w:t>
      </w:r>
    </w:p>
    <w:p>
      <w:pPr>
        <w:spacing w:after="0" w:line="1" w:lineRule="exact"/>
        <w:rPr>
          <w:sz w:val="20"/>
          <w:szCs w:val="20"/>
          <w:color w:val="auto"/>
        </w:rPr>
      </w:pPr>
    </w:p>
    <w:p>
      <w:pPr>
        <w:jc w:val="both"/>
        <w:ind w:right="480" w:firstLine="678"/>
        <w:spacing w:after="0" w:line="254" w:lineRule="auto"/>
        <w:rPr>
          <w:sz w:val="20"/>
          <w:szCs w:val="20"/>
          <w:color w:val="auto"/>
        </w:rPr>
      </w:pPr>
      <w:r>
        <w:rPr>
          <w:rFonts w:ascii="Times New Roman" w:cs="Times New Roman" w:eastAsia="Times New Roman" w:hAnsi="Times New Roman"/>
          <w:sz w:val="17"/>
          <w:szCs w:val="17"/>
          <w:color w:val="auto"/>
        </w:rPr>
        <w:t>Because of these limitations, you should consider adjusted operating income alongside other financial performance measures, including various pre-tax GAAP loss and our other GAAP results. The following table presents a reconciliation of adjusted operating income for each of the periods indicated (amounts in thousands):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420"/>
          </w:cols>
          <w:pgMar w:left="240" w:top="763" w:right="239" w:bottom="1440" w:gutter="0" w:footer="0" w:header="0"/>
        </w:sectPr>
      </w:pPr>
    </w:p>
    <w:bookmarkStart w:id="36" w:name="page37"/>
    <w:bookmarkEnd w:id="36"/>
    <w:p>
      <w:pPr>
        <w:ind w:left="59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33020</wp:posOffset>
            </wp:positionV>
            <wp:extent cx="1670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0685" cy="8255"/>
                    </a:xfrm>
                    <a:prstGeom prst="rect">
                      <a:avLst/>
                    </a:prstGeom>
                    <a:noFill/>
                  </pic:spPr>
                </pic:pic>
              </a:graphicData>
            </a:graphic>
          </wp:anchor>
        </w:drawing>
      </w:r>
    </w:p>
    <w:p>
      <w:pPr>
        <w:spacing w:after="0" w:line="109" w:lineRule="exact"/>
        <w:rPr>
          <w:sz w:val="20"/>
          <w:szCs w:val="20"/>
          <w:color w:val="auto"/>
        </w:rPr>
      </w:pPr>
    </w:p>
    <w:p>
      <w:pPr>
        <w:ind w:left="5920"/>
        <w:spacing w:after="0"/>
        <w:tabs>
          <w:tab w:leader="none" w:pos="74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18415</wp:posOffset>
            </wp:positionV>
            <wp:extent cx="1670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70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18415</wp:posOffset>
            </wp:positionV>
            <wp:extent cx="1670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70685" cy="8255"/>
                    </a:xfrm>
                    <a:prstGeom prst="rect">
                      <a:avLst/>
                    </a:prstGeom>
                    <a:noFill/>
                  </pic:spPr>
                </pic:pic>
              </a:graphicData>
            </a:graphic>
          </wp:anchor>
        </w:drawing>
      </w:r>
    </w:p>
    <w:p>
      <w:pPr>
        <w:spacing w:after="0" w:line="8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18415</wp:posOffset>
            </wp:positionV>
            <wp:extent cx="16706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70685" cy="8255"/>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8180" w:space="720"/>
            <w:col w:w="2520"/>
          </w:cols>
          <w:pgMar w:left="240" w:top="763" w:right="2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Adjusted Operating (Loss) income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340" w:type="dxa"/>
            <w:vAlign w:val="bottom"/>
            <w:shd w:val="clear" w:color="auto" w:fill="CCFFCC"/>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(23,288)</w:t>
            </w:r>
          </w:p>
        </w:tc>
        <w:tc>
          <w:tcPr>
            <w:tcW w:w="7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(7,785)</w:t>
            </w:r>
          </w:p>
        </w:tc>
        <w:tc>
          <w:tcPr>
            <w:tcW w:w="7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(41,585)</w:t>
            </w:r>
          </w:p>
        </w:tc>
        <w:tc>
          <w:tcPr>
            <w:tcW w:w="7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(11,477)</w:t>
            </w:r>
          </w:p>
        </w:tc>
        <w:tc>
          <w:tcPr>
            <w:tcW w:w="320" w:type="dxa"/>
            <w:vAlign w:val="bottom"/>
            <w:shd w:val="clear" w:color="auto" w:fill="CCFFCC"/>
          </w:tcPr>
          <w:p>
            <w:pPr>
              <w:spacing w:after="0"/>
              <w:rPr>
                <w:sz w:val="21"/>
                <w:szCs w:val="21"/>
                <w:color w:val="auto"/>
              </w:rPr>
            </w:pPr>
          </w:p>
        </w:tc>
      </w:tr>
      <w:tr>
        <w:trPr>
          <w:trHeight w:val="249"/>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purchased intangibles</w:t>
            </w:r>
          </w:p>
        </w:tc>
        <w:tc>
          <w:tcPr>
            <w:tcW w:w="34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723</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711</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1,469</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1,422</w:t>
            </w:r>
          </w:p>
        </w:tc>
        <w:tc>
          <w:tcPr>
            <w:tcW w:w="320" w:type="dxa"/>
            <w:vAlign w:val="bottom"/>
          </w:tcPr>
          <w:p>
            <w:pPr>
              <w:spacing w:after="0"/>
              <w:rPr>
                <w:sz w:val="21"/>
                <w:szCs w:val="21"/>
                <w:color w:val="auto"/>
              </w:rPr>
            </w:pPr>
          </w:p>
        </w:tc>
      </w:tr>
      <w:tr>
        <w:trPr>
          <w:trHeight w:val="260"/>
        </w:trPr>
        <w:tc>
          <w:tcPr>
            <w:tcW w:w="55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shd w:val="clear" w:color="auto" w:fill="CCFFCC"/>
          </w:tcPr>
          <w:p>
            <w:pPr>
              <w:spacing w:after="0"/>
              <w:rPr>
                <w:sz w:val="22"/>
                <w:szCs w:val="22"/>
                <w:color w:val="auto"/>
              </w:rPr>
            </w:pPr>
          </w:p>
        </w:tc>
        <w:tc>
          <w:tcPr>
            <w:tcW w:w="80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9,305</w:t>
            </w:r>
          </w:p>
        </w:tc>
        <w:tc>
          <w:tcPr>
            <w:tcW w:w="340" w:type="dxa"/>
            <w:vAlign w:val="bottom"/>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76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3,826</w:t>
            </w:r>
          </w:p>
        </w:tc>
        <w:tc>
          <w:tcPr>
            <w:tcW w:w="34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78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16,471</w:t>
            </w:r>
          </w:p>
        </w:tc>
        <w:tc>
          <w:tcPr>
            <w:tcW w:w="36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80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6,264</w:t>
            </w:r>
          </w:p>
        </w:tc>
        <w:tc>
          <w:tcPr>
            <w:tcW w:w="320" w:type="dxa"/>
            <w:vAlign w:val="bottom"/>
            <w:shd w:val="clear" w:color="auto" w:fill="CCFFCC"/>
          </w:tcPr>
          <w:p>
            <w:pPr>
              <w:spacing w:after="0"/>
              <w:rPr>
                <w:sz w:val="22"/>
                <w:szCs w:val="22"/>
                <w:color w:val="auto"/>
              </w:rPr>
            </w:pPr>
          </w:p>
        </w:tc>
      </w:tr>
      <w:tr>
        <w:trPr>
          <w:trHeight w:val="198"/>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litigation and consulting costs</w:t>
            </w:r>
          </w:p>
        </w:tc>
        <w:tc>
          <w:tcPr>
            <w:tcW w:w="34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1,727</w:t>
            </w:r>
          </w:p>
        </w:tc>
        <w:tc>
          <w:tcPr>
            <w:tcW w:w="340" w:type="dxa"/>
            <w:vAlign w:val="bottom"/>
          </w:tcPr>
          <w:p>
            <w:pPr>
              <w:jc w:val="right"/>
              <w:ind w:right="165"/>
              <w:spacing w:after="0"/>
              <w:rPr>
                <w:sz w:val="20"/>
                <w:szCs w:val="20"/>
                <w:color w:val="auto"/>
              </w:rPr>
            </w:pPr>
            <w:r>
              <w:rPr>
                <w:rFonts w:ascii="Times New Roman" w:cs="Times New Roman" w:eastAsia="Times New Roman" w:hAnsi="Times New Roman"/>
                <w:sz w:val="8"/>
                <w:szCs w:val="8"/>
                <w:color w:val="auto"/>
              </w:rPr>
              <w:t>(1)</w:t>
            </w:r>
          </w:p>
        </w:tc>
        <w:tc>
          <w:tcPr>
            <w:tcW w:w="38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1,768</w:t>
            </w:r>
          </w:p>
        </w:tc>
        <w:tc>
          <w:tcPr>
            <w:tcW w:w="340" w:type="dxa"/>
            <w:vAlign w:val="bottom"/>
          </w:tcPr>
          <w:p>
            <w:pPr>
              <w:jc w:val="right"/>
              <w:ind w:right="165"/>
              <w:spacing w:after="0"/>
              <w:rPr>
                <w:sz w:val="20"/>
                <w:szCs w:val="20"/>
                <w:color w:val="auto"/>
              </w:rPr>
            </w:pPr>
            <w:r>
              <w:rPr>
                <w:rFonts w:ascii="Times New Roman" w:cs="Times New Roman" w:eastAsia="Times New Roman" w:hAnsi="Times New Roman"/>
                <w:sz w:val="8"/>
                <w:szCs w:val="8"/>
                <w:color w:val="auto"/>
              </w:rPr>
              <w:t>(1)</w:t>
            </w:r>
          </w:p>
        </w:tc>
        <w:tc>
          <w:tcPr>
            <w:tcW w:w="36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4,144</w:t>
            </w:r>
          </w:p>
        </w:tc>
        <w:tc>
          <w:tcPr>
            <w:tcW w:w="360" w:type="dxa"/>
            <w:vAlign w:val="bottom"/>
          </w:tcPr>
          <w:p>
            <w:pPr>
              <w:jc w:val="right"/>
              <w:ind w:right="165"/>
              <w:spacing w:after="0"/>
              <w:rPr>
                <w:sz w:val="20"/>
                <w:szCs w:val="20"/>
                <w:color w:val="auto"/>
              </w:rPr>
            </w:pPr>
            <w:r>
              <w:rPr>
                <w:rFonts w:ascii="Times New Roman" w:cs="Times New Roman" w:eastAsia="Times New Roman" w:hAnsi="Times New Roman"/>
                <w:sz w:val="8"/>
                <w:szCs w:val="8"/>
                <w:color w:val="auto"/>
              </w:rPr>
              <w:t>(3)</w:t>
            </w:r>
          </w:p>
        </w:tc>
        <w:tc>
          <w:tcPr>
            <w:tcW w:w="34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3,038</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(3)</w:t>
            </w:r>
          </w:p>
        </w:tc>
      </w:tr>
      <w:tr>
        <w:trPr>
          <w:trHeight w:val="209"/>
        </w:trPr>
        <w:tc>
          <w:tcPr>
            <w:tcW w:w="55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4"/>
                <w:szCs w:val="14"/>
                <w:color w:val="auto"/>
              </w:rPr>
              <w:t>Restructuring costs</w:t>
            </w: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205</w:t>
            </w:r>
          </w:p>
        </w:tc>
        <w:tc>
          <w:tcPr>
            <w:tcW w:w="340" w:type="dxa"/>
            <w:vAlign w:val="bottom"/>
            <w:shd w:val="clear" w:color="auto" w:fill="CCFFCC"/>
          </w:tcPr>
          <w:p>
            <w:pPr>
              <w:jc w:val="right"/>
              <w:ind w:right="165"/>
              <w:spacing w:after="0"/>
              <w:rPr>
                <w:sz w:val="20"/>
                <w:szCs w:val="20"/>
                <w:color w:val="auto"/>
              </w:rPr>
            </w:pPr>
            <w:r>
              <w:rPr>
                <w:rFonts w:ascii="Times New Roman" w:cs="Times New Roman" w:eastAsia="Times New Roman" w:hAnsi="Times New Roman"/>
                <w:sz w:val="8"/>
                <w:szCs w:val="8"/>
                <w:color w:val="auto"/>
              </w:rPr>
              <w:t>(2)</w:t>
            </w:r>
          </w:p>
        </w:tc>
        <w:tc>
          <w:tcPr>
            <w:tcW w:w="380" w:type="dxa"/>
            <w:vAlign w:val="bottom"/>
            <w:shd w:val="clear" w:color="auto" w:fill="CCFFCC"/>
          </w:tcPr>
          <w:p>
            <w:pPr>
              <w:spacing w:after="0"/>
              <w:rPr>
                <w:sz w:val="18"/>
                <w:szCs w:val="18"/>
                <w:color w:val="auto"/>
              </w:rPr>
            </w:pPr>
          </w:p>
        </w:tc>
        <w:tc>
          <w:tcPr>
            <w:tcW w:w="76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1,906</w:t>
            </w:r>
          </w:p>
        </w:tc>
        <w:tc>
          <w:tcPr>
            <w:tcW w:w="340" w:type="dxa"/>
            <w:vAlign w:val="bottom"/>
            <w:shd w:val="clear" w:color="auto" w:fill="CCFFCC"/>
          </w:tcPr>
          <w:p>
            <w:pPr>
              <w:jc w:val="right"/>
              <w:ind w:right="165"/>
              <w:spacing w:after="0"/>
              <w:rPr>
                <w:sz w:val="20"/>
                <w:szCs w:val="20"/>
                <w:color w:val="auto"/>
              </w:rPr>
            </w:pPr>
            <w:r>
              <w:rPr>
                <w:rFonts w:ascii="Times New Roman" w:cs="Times New Roman" w:eastAsia="Times New Roman" w:hAnsi="Times New Roman"/>
                <w:sz w:val="8"/>
                <w:szCs w:val="8"/>
                <w:color w:val="auto"/>
              </w:rPr>
              <w:t>(2)</w:t>
            </w: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484</w:t>
            </w:r>
          </w:p>
        </w:tc>
        <w:tc>
          <w:tcPr>
            <w:tcW w:w="360" w:type="dxa"/>
            <w:vAlign w:val="bottom"/>
            <w:shd w:val="clear" w:color="auto" w:fill="CCFFCC"/>
          </w:tcPr>
          <w:p>
            <w:pPr>
              <w:jc w:val="right"/>
              <w:ind w:right="165"/>
              <w:spacing w:after="0"/>
              <w:rPr>
                <w:sz w:val="20"/>
                <w:szCs w:val="20"/>
                <w:color w:val="auto"/>
              </w:rPr>
            </w:pPr>
            <w:r>
              <w:rPr>
                <w:rFonts w:ascii="Times New Roman" w:cs="Times New Roman" w:eastAsia="Times New Roman" w:hAnsi="Times New Roman"/>
                <w:sz w:val="8"/>
                <w:szCs w:val="8"/>
                <w:color w:val="auto"/>
              </w:rPr>
              <w:t>(4)</w:t>
            </w: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2,084</w:t>
            </w:r>
          </w:p>
        </w:tc>
        <w:tc>
          <w:tcPr>
            <w:tcW w:w="320" w:type="dxa"/>
            <w:vAlign w:val="bottom"/>
            <w:shd w:val="clear" w:color="auto" w:fill="CCFFCC"/>
          </w:tcPr>
          <w:p>
            <w:pPr>
              <w:jc w:val="right"/>
              <w:ind w:right="158"/>
              <w:spacing w:after="0"/>
              <w:rPr>
                <w:sz w:val="20"/>
                <w:szCs w:val="20"/>
                <w:color w:val="auto"/>
              </w:rPr>
            </w:pPr>
            <w:r>
              <w:rPr>
                <w:rFonts w:ascii="Times New Roman" w:cs="Times New Roman" w:eastAsia="Times New Roman" w:hAnsi="Times New Roman"/>
                <w:sz w:val="8"/>
                <w:szCs w:val="8"/>
                <w:color w:val="auto"/>
              </w:rPr>
              <w:t>(4)</w:t>
            </w:r>
          </w:p>
        </w:tc>
      </w:tr>
      <w:tr>
        <w:trPr>
          <w:trHeight w:val="249"/>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costs</w:t>
            </w:r>
          </w:p>
        </w:tc>
        <w:tc>
          <w:tcPr>
            <w:tcW w:w="34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648</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1"/>
                <w:szCs w:val="21"/>
                <w:color w:val="auto"/>
              </w:rPr>
            </w:pPr>
          </w:p>
        </w:tc>
      </w:tr>
      <w:tr>
        <w:trPr>
          <w:trHeight w:val="254"/>
        </w:trPr>
        <w:tc>
          <w:tcPr>
            <w:tcW w:w="550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4"/>
                <w:szCs w:val="14"/>
                <w:color w:val="auto"/>
              </w:rPr>
              <w:t>Other expense (income), net</w:t>
            </w:r>
          </w:p>
        </w:tc>
        <w:tc>
          <w:tcPr>
            <w:tcW w:w="340" w:type="dxa"/>
            <w:vAlign w:val="bottom"/>
            <w:tcBorders>
              <w:bottom w:val="single" w:sz="8" w:color="auto"/>
            </w:tcBorders>
            <w:shd w:val="clear" w:color="auto" w:fill="CCFFCC"/>
          </w:tcPr>
          <w:p>
            <w:pPr>
              <w:spacing w:after="0"/>
              <w:rPr>
                <w:sz w:val="22"/>
                <w:szCs w:val="22"/>
                <w:color w:val="auto"/>
              </w:rPr>
            </w:pPr>
          </w:p>
        </w:tc>
        <w:tc>
          <w:tcPr>
            <w:tcW w:w="800" w:type="dxa"/>
            <w:vAlign w:val="bottom"/>
            <w:tcBorders>
              <w:bottom w:val="single" w:sz="8" w:color="auto"/>
            </w:tcBorders>
            <w:shd w:val="clear" w:color="auto" w:fill="CCFFCC"/>
          </w:tcPr>
          <w:p>
            <w:pPr>
              <w:jc w:val="right"/>
              <w:ind w:right="52"/>
              <w:spacing w:after="0"/>
              <w:rPr>
                <w:sz w:val="20"/>
                <w:szCs w:val="20"/>
                <w:color w:val="auto"/>
              </w:rPr>
            </w:pPr>
            <w:r>
              <w:rPr>
                <w:rFonts w:ascii="Times New Roman" w:cs="Times New Roman" w:eastAsia="Times New Roman" w:hAnsi="Times New Roman"/>
                <w:sz w:val="14"/>
                <w:szCs w:val="14"/>
                <w:color w:val="auto"/>
              </w:rPr>
              <w:t>2,267</w:t>
            </w:r>
          </w:p>
        </w:tc>
        <w:tc>
          <w:tcPr>
            <w:tcW w:w="340" w:type="dxa"/>
            <w:vAlign w:val="bottom"/>
            <w:shd w:val="clear" w:color="auto" w:fill="CCFFCC"/>
          </w:tcPr>
          <w:p>
            <w:pPr>
              <w:spacing w:after="0"/>
              <w:rPr>
                <w:sz w:val="22"/>
                <w:szCs w:val="22"/>
                <w:color w:val="auto"/>
              </w:rPr>
            </w:pPr>
          </w:p>
        </w:tc>
        <w:tc>
          <w:tcPr>
            <w:tcW w:w="380" w:type="dxa"/>
            <w:vAlign w:val="bottom"/>
            <w:tcBorders>
              <w:bottom w:val="single" w:sz="8" w:color="auto"/>
            </w:tcBorders>
            <w:shd w:val="clear" w:color="auto" w:fill="CCFFCC"/>
          </w:tcPr>
          <w:p>
            <w:pPr>
              <w:spacing w:after="0"/>
              <w:rPr>
                <w:sz w:val="22"/>
                <w:szCs w:val="22"/>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40" w:type="dxa"/>
            <w:vAlign w:val="bottom"/>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jc w:val="right"/>
              <w:ind w:right="32"/>
              <w:spacing w:after="0"/>
              <w:rPr>
                <w:sz w:val="20"/>
                <w:szCs w:val="20"/>
                <w:color w:val="auto"/>
              </w:rPr>
            </w:pPr>
            <w:r>
              <w:rPr>
                <w:rFonts w:ascii="Times New Roman" w:cs="Times New Roman" w:eastAsia="Times New Roman" w:hAnsi="Times New Roman"/>
                <w:sz w:val="14"/>
                <w:szCs w:val="14"/>
                <w:color w:val="auto"/>
              </w:rPr>
              <w:t>2,201</w:t>
            </w:r>
          </w:p>
        </w:tc>
        <w:tc>
          <w:tcPr>
            <w:tcW w:w="360" w:type="dxa"/>
            <w:vAlign w:val="bottom"/>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800" w:type="dxa"/>
            <w:vAlign w:val="bottom"/>
            <w:tcBorders>
              <w:bottom w:val="single" w:sz="8" w:color="auto"/>
            </w:tcBorders>
            <w:shd w:val="clear" w:color="auto" w:fill="CCFFCC"/>
          </w:tcPr>
          <w:p>
            <w:pPr>
              <w:jc w:val="right"/>
              <w:ind w:right="12"/>
              <w:spacing w:after="0"/>
              <w:rPr>
                <w:sz w:val="20"/>
                <w:szCs w:val="20"/>
                <w:color w:val="auto"/>
              </w:rPr>
            </w:pPr>
            <w:r>
              <w:rPr>
                <w:rFonts w:ascii="Times New Roman" w:cs="Times New Roman" w:eastAsia="Times New Roman" w:hAnsi="Times New Roman"/>
                <w:sz w:val="14"/>
                <w:szCs w:val="14"/>
                <w:color w:val="auto"/>
              </w:rPr>
              <w:t>(160)</w:t>
            </w:r>
          </w:p>
        </w:tc>
        <w:tc>
          <w:tcPr>
            <w:tcW w:w="320" w:type="dxa"/>
            <w:vAlign w:val="bottom"/>
            <w:shd w:val="clear" w:color="auto" w:fill="CCFFCC"/>
          </w:tcPr>
          <w:p>
            <w:pPr>
              <w:spacing w:after="0"/>
              <w:rPr>
                <w:sz w:val="22"/>
                <w:szCs w:val="22"/>
                <w:color w:val="auto"/>
              </w:rPr>
            </w:pPr>
          </w:p>
        </w:tc>
      </w:tr>
      <w:tr>
        <w:trPr>
          <w:trHeight w:val="267"/>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Adjusted operating (loss) income</w:t>
            </w: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(9,061)</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395</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(16,168)</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1,171</w:t>
            </w:r>
          </w:p>
        </w:tc>
        <w:tc>
          <w:tcPr>
            <w:tcW w:w="320" w:type="dxa"/>
            <w:vAlign w:val="bottom"/>
          </w:tcPr>
          <w:p>
            <w:pPr>
              <w:spacing w:after="0"/>
              <w:rPr>
                <w:sz w:val="23"/>
                <w:szCs w:val="23"/>
                <w:color w:val="auto"/>
              </w:rPr>
            </w:pPr>
          </w:p>
        </w:tc>
      </w:tr>
      <w:tr>
        <w:trPr>
          <w:trHeight w:val="283"/>
        </w:trPr>
        <w:tc>
          <w:tcPr>
            <w:tcW w:w="5500" w:type="dxa"/>
            <w:vAlign w:val="bottom"/>
            <w:tcBorders>
              <w:top w:val="single" w:sz="8" w:color="CCFFCC"/>
            </w:tcBorders>
            <w:shd w:val="clear" w:color="auto" w:fill="CCFFCC"/>
          </w:tcPr>
          <w:p>
            <w:pPr>
              <w:spacing w:after="0"/>
              <w:rPr>
                <w:sz w:val="24"/>
                <w:szCs w:val="24"/>
                <w:color w:val="auto"/>
              </w:rPr>
            </w:pPr>
          </w:p>
        </w:tc>
        <w:tc>
          <w:tcPr>
            <w:tcW w:w="340" w:type="dxa"/>
            <w:vAlign w:val="bottom"/>
            <w:tcBorders>
              <w:top w:val="single" w:sz="8" w:color="auto"/>
            </w:tcBorders>
            <w:shd w:val="clear" w:color="auto" w:fill="CCFFCC"/>
          </w:tcPr>
          <w:p>
            <w:pPr>
              <w:spacing w:after="0"/>
              <w:rPr>
                <w:sz w:val="24"/>
                <w:szCs w:val="24"/>
                <w:color w:val="auto"/>
              </w:rPr>
            </w:pPr>
          </w:p>
        </w:tc>
        <w:tc>
          <w:tcPr>
            <w:tcW w:w="800" w:type="dxa"/>
            <w:vAlign w:val="bottom"/>
            <w:tcBorders>
              <w:top w:val="single" w:sz="8" w:color="auto"/>
            </w:tcBorders>
            <w:shd w:val="clear" w:color="auto" w:fill="CCFFCC"/>
          </w:tcPr>
          <w:p>
            <w:pPr>
              <w:spacing w:after="0"/>
              <w:rPr>
                <w:sz w:val="24"/>
                <w:szCs w:val="24"/>
                <w:color w:val="auto"/>
              </w:rPr>
            </w:pPr>
          </w:p>
        </w:tc>
        <w:tc>
          <w:tcPr>
            <w:tcW w:w="340" w:type="dxa"/>
            <w:vAlign w:val="bottom"/>
            <w:tcBorders>
              <w:top w:val="single" w:sz="8" w:color="CCFFCC"/>
            </w:tcBorders>
            <w:shd w:val="clear" w:color="auto" w:fill="CCFFCC"/>
          </w:tcPr>
          <w:p>
            <w:pPr>
              <w:spacing w:after="0"/>
              <w:rPr>
                <w:sz w:val="24"/>
                <w:szCs w:val="24"/>
                <w:color w:val="auto"/>
              </w:rPr>
            </w:pPr>
          </w:p>
        </w:tc>
        <w:tc>
          <w:tcPr>
            <w:tcW w:w="380" w:type="dxa"/>
            <w:vAlign w:val="bottom"/>
            <w:tcBorders>
              <w:top w:val="single" w:sz="8" w:color="auto"/>
            </w:tcBorders>
            <w:shd w:val="clear" w:color="auto" w:fill="CCFFCC"/>
          </w:tcPr>
          <w:p>
            <w:pPr>
              <w:spacing w:after="0"/>
              <w:rPr>
                <w:sz w:val="24"/>
                <w:szCs w:val="24"/>
                <w:color w:val="auto"/>
              </w:rPr>
            </w:pPr>
          </w:p>
        </w:tc>
        <w:tc>
          <w:tcPr>
            <w:tcW w:w="760" w:type="dxa"/>
            <w:vAlign w:val="bottom"/>
            <w:tcBorders>
              <w:top w:val="single" w:sz="8" w:color="auto"/>
            </w:tcBorders>
            <w:shd w:val="clear" w:color="auto" w:fill="CCFFCC"/>
          </w:tcPr>
          <w:p>
            <w:pPr>
              <w:spacing w:after="0"/>
              <w:rPr>
                <w:sz w:val="24"/>
                <w:szCs w:val="24"/>
                <w:color w:val="auto"/>
              </w:rPr>
            </w:pPr>
          </w:p>
        </w:tc>
        <w:tc>
          <w:tcPr>
            <w:tcW w:w="340" w:type="dxa"/>
            <w:vAlign w:val="bottom"/>
            <w:tcBorders>
              <w:top w:val="single" w:sz="8" w:color="CCFFCC"/>
            </w:tcBorders>
            <w:shd w:val="clear" w:color="auto" w:fill="CCFFCC"/>
          </w:tcPr>
          <w:p>
            <w:pPr>
              <w:spacing w:after="0"/>
              <w:rPr>
                <w:sz w:val="24"/>
                <w:szCs w:val="24"/>
                <w:color w:val="auto"/>
              </w:rPr>
            </w:pPr>
          </w:p>
        </w:tc>
        <w:tc>
          <w:tcPr>
            <w:tcW w:w="360" w:type="dxa"/>
            <w:vAlign w:val="bottom"/>
            <w:tcBorders>
              <w:top w:val="single" w:sz="8" w:color="auto"/>
            </w:tcBorders>
            <w:shd w:val="clear" w:color="auto" w:fill="CCFFCC"/>
          </w:tcPr>
          <w:p>
            <w:pPr>
              <w:spacing w:after="0"/>
              <w:rPr>
                <w:sz w:val="24"/>
                <w:szCs w:val="24"/>
                <w:color w:val="auto"/>
              </w:rPr>
            </w:pPr>
          </w:p>
        </w:tc>
        <w:tc>
          <w:tcPr>
            <w:tcW w:w="780" w:type="dxa"/>
            <w:vAlign w:val="bottom"/>
            <w:tcBorders>
              <w:top w:val="single" w:sz="8" w:color="auto"/>
            </w:tcBorders>
            <w:shd w:val="clear" w:color="auto" w:fill="CCFFCC"/>
          </w:tcPr>
          <w:p>
            <w:pPr>
              <w:spacing w:after="0"/>
              <w:rPr>
                <w:sz w:val="24"/>
                <w:szCs w:val="24"/>
                <w:color w:val="auto"/>
              </w:rPr>
            </w:pPr>
          </w:p>
        </w:tc>
        <w:tc>
          <w:tcPr>
            <w:tcW w:w="360" w:type="dxa"/>
            <w:vAlign w:val="bottom"/>
            <w:tcBorders>
              <w:top w:val="single" w:sz="8" w:color="CCFFCC"/>
            </w:tcBorders>
            <w:shd w:val="clear" w:color="auto" w:fill="CCFFCC"/>
          </w:tcPr>
          <w:p>
            <w:pPr>
              <w:spacing w:after="0"/>
              <w:rPr>
                <w:sz w:val="24"/>
                <w:szCs w:val="24"/>
                <w:color w:val="auto"/>
              </w:rPr>
            </w:pPr>
          </w:p>
        </w:tc>
        <w:tc>
          <w:tcPr>
            <w:tcW w:w="340" w:type="dxa"/>
            <w:vAlign w:val="bottom"/>
            <w:tcBorders>
              <w:top w:val="single" w:sz="8" w:color="auto"/>
            </w:tcBorders>
            <w:shd w:val="clear" w:color="auto" w:fill="CCFFCC"/>
          </w:tcPr>
          <w:p>
            <w:pPr>
              <w:spacing w:after="0"/>
              <w:rPr>
                <w:sz w:val="24"/>
                <w:szCs w:val="24"/>
                <w:color w:val="auto"/>
              </w:rPr>
            </w:pPr>
          </w:p>
        </w:tc>
        <w:tc>
          <w:tcPr>
            <w:tcW w:w="800" w:type="dxa"/>
            <w:vAlign w:val="bottom"/>
            <w:tcBorders>
              <w:top w:val="single" w:sz="8" w:color="auto"/>
            </w:tcBorders>
            <w:shd w:val="clear" w:color="auto" w:fill="CCFFCC"/>
          </w:tcPr>
          <w:p>
            <w:pPr>
              <w:spacing w:after="0"/>
              <w:rPr>
                <w:sz w:val="24"/>
                <w:szCs w:val="24"/>
                <w:color w:val="auto"/>
              </w:rPr>
            </w:pPr>
          </w:p>
        </w:tc>
        <w:tc>
          <w:tcPr>
            <w:tcW w:w="320" w:type="dxa"/>
            <w:vAlign w:val="bottom"/>
            <w:tcBorders>
              <w:top w:val="single" w:sz="8" w:color="CCFFCC"/>
            </w:tcBorders>
            <w:shd w:val="clear" w:color="auto" w:fill="CCFFCC"/>
          </w:tcPr>
          <w:p>
            <w:pPr>
              <w:spacing w:after="0"/>
              <w:rPr>
                <w:sz w:val="24"/>
                <w:szCs w:val="24"/>
                <w:color w:val="auto"/>
              </w:rPr>
            </w:pPr>
          </w:p>
        </w:tc>
      </w:tr>
    </w:tbl>
    <w:p>
      <w:pPr>
        <w:spacing w:after="0" w:line="5" w:lineRule="exact"/>
        <w:rPr>
          <w:sz w:val="20"/>
          <w:szCs w:val="20"/>
          <w:color w:val="auto"/>
        </w:rPr>
      </w:pPr>
    </w:p>
    <w:p>
      <w:pPr>
        <w:ind w:left="20" w:right="320" w:firstLine="7"/>
        <w:spacing w:after="0" w:line="234" w:lineRule="auto"/>
        <w:tabs>
          <w:tab w:leader="none" w:pos="21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litigation costs of $1.1 million and consulting costs of $0.6 million for the three months ended June 30, 2019 and litigation costs of $1.2 million, consulting costs of $0.4 million, and executive relocation costs of $0.2 million for the three months ended June 30, 2018.</w:t>
      </w:r>
    </w:p>
    <w:p>
      <w:pPr>
        <w:spacing w:after="0" w:line="16" w:lineRule="exact"/>
        <w:rPr>
          <w:rFonts w:ascii="Times New Roman" w:cs="Times New Roman" w:eastAsia="Times New Roman" w:hAnsi="Times New Roman"/>
          <w:sz w:val="14"/>
          <w:szCs w:val="14"/>
          <w:color w:val="auto"/>
        </w:rPr>
      </w:pPr>
    </w:p>
    <w:p>
      <w:pPr>
        <w:ind w:left="220" w:hanging="193"/>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costs and other compensation related costs of $0.2 million for the three months ended June 30, 2019 and $1.9 million for the three months ended June 30, 2018.</w:t>
      </w:r>
    </w:p>
    <w:p>
      <w:pPr>
        <w:spacing w:after="0" w:line="29" w:lineRule="exact"/>
        <w:rPr>
          <w:rFonts w:ascii="Times New Roman" w:cs="Times New Roman" w:eastAsia="Times New Roman" w:hAnsi="Times New Roman"/>
          <w:sz w:val="14"/>
          <w:szCs w:val="14"/>
          <w:color w:val="auto"/>
        </w:rPr>
      </w:pPr>
    </w:p>
    <w:p>
      <w:pPr>
        <w:ind w:left="20" w:right="660" w:firstLine="7"/>
        <w:spacing w:after="0" w:line="234" w:lineRule="auto"/>
        <w:tabs>
          <w:tab w:leader="none" w:pos="21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litigation costs of $2.2 million and consulting costs of $1.9 million for the six months ended June 30, 2019 and litigation costs of $2.1 million, consulting costs of $0.4 million, executive recruitment costs of $0.3 million, and executive relocation costs of $0.2 million for the six months ended June 30, 2018</w:t>
      </w:r>
    </w:p>
    <w:p>
      <w:pPr>
        <w:spacing w:after="0" w:line="16" w:lineRule="exact"/>
        <w:rPr>
          <w:rFonts w:ascii="Times New Roman" w:cs="Times New Roman" w:eastAsia="Times New Roman" w:hAnsi="Times New Roman"/>
          <w:sz w:val="14"/>
          <w:szCs w:val="14"/>
          <w:color w:val="auto"/>
        </w:rPr>
      </w:pPr>
    </w:p>
    <w:p>
      <w:pPr>
        <w:ind w:left="220" w:hanging="193"/>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costs and other compensation related costs of $0.5 million for the six months ended June 30, 2019 and $2.1 million 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-435610</wp:posOffset>
            </wp:positionV>
            <wp:extent cx="7254875" cy="121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1212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-104775</wp:posOffset>
            </wp:positionV>
            <wp:extent cx="725487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12128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4"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5"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4"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The majority of our revenue is generated from monthly service revenues and related professional services from the sale of the LivePerson services. Revenues are recognized when control of these services is transferred to our customers, in an amount that reflects the consideration we expect to be entitled to in exchange for those services.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determine revenue recognition through the following steps:</w:t>
      </w:r>
    </w:p>
    <w:p>
      <w:pPr>
        <w:spacing w:after="0" w:line="135" w:lineRule="exact"/>
        <w:rPr>
          <w:sz w:val="20"/>
          <w:szCs w:val="20"/>
          <w:color w:val="auto"/>
        </w:rPr>
      </w:pPr>
    </w:p>
    <w:p>
      <w:pPr>
        <w:ind w:left="1260" w:hanging="178"/>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96" w:lineRule="exact"/>
        <w:rPr>
          <w:rFonts w:ascii="Times New Roman" w:cs="Times New Roman" w:eastAsia="Times New Roman" w:hAnsi="Times New Roman"/>
          <w:sz w:val="17"/>
          <w:szCs w:val="17"/>
          <w:color w:val="auto"/>
        </w:rPr>
      </w:pPr>
    </w:p>
    <w:p>
      <w:pPr>
        <w:ind w:left="1260" w:hanging="178"/>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96" w:lineRule="exact"/>
        <w:rPr>
          <w:rFonts w:ascii="Times New Roman" w:cs="Times New Roman" w:eastAsia="Times New Roman" w:hAnsi="Times New Roman"/>
          <w:sz w:val="17"/>
          <w:szCs w:val="17"/>
          <w:color w:val="auto"/>
        </w:rPr>
      </w:pPr>
    </w:p>
    <w:p>
      <w:pPr>
        <w:ind w:left="1260" w:hanging="178"/>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96" w:lineRule="exact"/>
        <w:rPr>
          <w:rFonts w:ascii="Times New Roman" w:cs="Times New Roman" w:eastAsia="Times New Roman" w:hAnsi="Times New Roman"/>
          <w:sz w:val="17"/>
          <w:szCs w:val="17"/>
          <w:color w:val="auto"/>
        </w:rPr>
      </w:pPr>
    </w:p>
    <w:p>
      <w:pPr>
        <w:ind w:left="1260" w:hanging="178"/>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96" w:lineRule="exact"/>
        <w:rPr>
          <w:rFonts w:ascii="Times New Roman" w:cs="Times New Roman" w:eastAsia="Times New Roman" w:hAnsi="Times New Roman"/>
          <w:sz w:val="17"/>
          <w:szCs w:val="17"/>
          <w:color w:val="auto"/>
        </w:rPr>
      </w:pPr>
    </w:p>
    <w:p>
      <w:pPr>
        <w:ind w:left="1260" w:hanging="178"/>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22" w:lineRule="exact"/>
        <w:rPr>
          <w:sz w:val="20"/>
          <w:szCs w:val="20"/>
          <w:color w:val="auto"/>
        </w:rPr>
      </w:pPr>
    </w:p>
    <w:p>
      <w:pPr>
        <w:ind w:right="420" w:firstLine="610"/>
        <w:spacing w:after="0" w:line="264" w:lineRule="auto"/>
        <w:rPr>
          <w:sz w:val="20"/>
          <w:szCs w:val="20"/>
          <w:color w:val="auto"/>
        </w:rPr>
      </w:pPr>
      <w:r>
        <w:rPr>
          <w:rFonts w:ascii="Times New Roman" w:cs="Times New Roman" w:eastAsia="Times New Roman" w:hAnsi="Times New Roman"/>
          <w:sz w:val="17"/>
          <w:szCs w:val="17"/>
          <w:color w:val="auto"/>
        </w:rPr>
        <w:t>Total revenue of $71.0 million and $61.7 million recognized during the three months ended June 30, 2019 and 2018, respectively, and $137.4 million and $119.9 million recognized during the six months ended June 30, 2019, respectively, under Topic 606, was not materially different from what would have been recognized under Topic 605.</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420"/>
          </w:cols>
          <w:pgMar w:left="240" w:top="763" w:right="2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color w:val="auto"/>
        </w:rPr>
        <w:t>Hosted Services- Business Revenue</w:t>
      </w:r>
    </w:p>
    <w:p>
      <w:pPr>
        <w:spacing w:after="0" w:line="215"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Hosted Services Business revenue is reported at the amount that reflects the ultimate consideration expected to be received and primarily consist of fees that provide customers access to LiveEngage,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 through an arrangement with one or more of several qualified vendors. For most of these customers, we pass the fee we incur with the labor provider and the fee for the hosted services through to our customers in the form of a fixed fee for each order placed via our online engagement solutions. For these Gainshare (formerly Pay for Performance) arrangements in accordance with ASC 606, "Principal Agent Considerations", we act as a principal in a transaction if it controls the specified goods or services before they are transferred to the customer.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Professional Services Revenues</w:t>
      </w:r>
    </w:p>
    <w:p>
      <w:pPr>
        <w:spacing w:after="0" w:line="215"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 with Multiple Performance Obligations</w:t>
      </w:r>
    </w:p>
    <w:p>
      <w:pPr>
        <w:spacing w:after="0" w:line="215"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Hosted Services- Consumer Revenue</w:t>
      </w:r>
    </w:p>
    <w:p>
      <w:pPr>
        <w:spacing w:after="0" w:line="215" w:lineRule="exact"/>
        <w:rPr>
          <w:sz w:val="20"/>
          <w:szCs w:val="20"/>
          <w:color w:val="auto"/>
        </w:rPr>
      </w:pPr>
    </w:p>
    <w:p>
      <w:pPr>
        <w:ind w:right="20" w:firstLine="610"/>
        <w:spacing w:after="0" w:line="256" w:lineRule="auto"/>
        <w:rPr>
          <w:sz w:val="20"/>
          <w:szCs w:val="20"/>
          <w:color w:val="auto"/>
        </w:rPr>
      </w:pPr>
      <w:r>
        <w:rPr>
          <w:rFonts w:ascii="Times New Roman" w:cs="Times New Roman" w:eastAsia="Times New Roman" w:hAnsi="Times New Roman"/>
          <w:sz w:val="17"/>
          <w:szCs w:val="17"/>
          <w:color w:val="auto"/>
        </w:rPr>
        <w:t>For revenue from our Consumer segment generated from online transactions between Experts and Users, revenue is recognized at an amount net of Expert fees in accordance with ASC 606,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Revenues</w:t>
      </w:r>
    </w:p>
    <w:p>
      <w:pPr>
        <w:spacing w:after="0" w:line="215" w:lineRule="exact"/>
        <w:rPr>
          <w:sz w:val="20"/>
          <w:szCs w:val="20"/>
          <w:color w:val="auto"/>
        </w:rPr>
      </w:pPr>
    </w:p>
    <w:p>
      <w:pPr>
        <w:ind w:right="160" w:firstLine="610"/>
        <w:spacing w:after="0" w:line="264" w:lineRule="auto"/>
        <w:rPr>
          <w:sz w:val="20"/>
          <w:szCs w:val="20"/>
          <w:color w:val="auto"/>
        </w:rPr>
      </w:pPr>
      <w:r>
        <w:rPr>
          <w:rFonts w:ascii="Times New Roman" w:cs="Times New Roman" w:eastAsia="Times New Roman" w:hAnsi="Times New Roman"/>
          <w:sz w:val="17"/>
          <w:szCs w:val="17"/>
          <w:color w:val="auto"/>
        </w:rPr>
        <w:t>We record deferred revenues when cash payments are received or due in advance of our performance. The increase in the deferred revenue balance as of June 30, 2019 is primarily driven by cash payments received or due in advance of satisfying our performance obligations, partially offset by $30.1 million of revenues recognized that were included in the deferred revenue balance as of December 31, 2018.</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420"/>
          </w:cols>
          <w:pgMar w:left="240" w:top="551"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39"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71"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As of June 30, 2019, we accrued approximately $2.9 million and $4.8 million in cash awards to be settled in shares of our stock and recorded a corresponding expense, which is included as a component of stock-based compensation expense in the accompanying condensed consolidated financial statements for the three and six months ended June 30, 2019, respectively.</w:t>
      </w:r>
    </w:p>
    <w:p>
      <w:pPr>
        <w:spacing w:after="0" w:line="67"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As of June 30, 2019, there was approximately $21.9 million of total unrecognized compensation cost related to nonvested share-based compensation arrangements. That cost is expected to be recognized over a weighted average period of approximately 2.7 years. As of June 30, 2019, there was approximately $59.3 million of total unrecognized compensation cost related to nonvested restricted stock units. That cost is expected to be recognized over the remaining weighted average period of approximately 3.0 years.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14"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six months ended June 30, 2019 and 2018. No customer accounted for approximately 10% of accounts receivable as of June 30, 2019. One customer exceeded 10% of our total accounts receivable as of December 31, 2018. During the six months ended June 30, 2019 we increased our allowance for doubtful accounts by $0.6 million to approximately $2.9 million. During 2018, we increased our allowance for doubtful accounts by $1.0 million to $2.3 million.</w:t>
      </w:r>
    </w:p>
    <w:p>
      <w:pPr>
        <w:spacing w:after="0" w:line="77"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14"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Financial Accounting Standards Board issued ASU No. 2011-08, Intangibles — Goodwill and Other (Topic 350) (“ASU 2011-08”).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77" w:lineRule="exact"/>
        <w:rPr>
          <w:sz w:val="20"/>
          <w:szCs w:val="20"/>
          <w:color w:val="auto"/>
        </w:rPr>
      </w:pPr>
    </w:p>
    <w:p>
      <w:pPr>
        <w:jc w:val="both"/>
        <w:ind w:firstLine="610"/>
        <w:spacing w:after="0" w:line="220" w:lineRule="auto"/>
        <w:rPr>
          <w:sz w:val="20"/>
          <w:szCs w:val="20"/>
          <w:color w:val="auto"/>
        </w:rPr>
      </w:pPr>
      <w:r>
        <w:rPr>
          <w:rFonts w:ascii="Times New Roman" w:cs="Times New Roman" w:eastAsia="Times New Roman" w:hAnsi="Times New Roman"/>
          <w:sz w:val="17"/>
          <w:szCs w:val="17"/>
          <w:color w:val="auto"/>
        </w:rPr>
        <w:t>We evaluate for goodwill impairment annually on September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On September 30, 2018, we determined that it was not more-likely that the fair value of the reporting units are less than their carrying amount. Accordingly, we did not perform the two-step goodwill impairment test.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420"/>
          </w:cols>
          <w:pgMar w:left="240" w:top="551"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14"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We do not have any long-lived assets, including intangible assets, which we consider to be impaired.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Contingencies</w:t>
      </w:r>
    </w:p>
    <w:p>
      <w:pPr>
        <w:spacing w:after="0" w:line="152"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14, Legal Matters, of the Notes to the Condensed Consolidated Financial Statements for additional information on our legal proceedings and litigation.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 to Condensed Consolidated Financial Statements for a full description of recently issued accounting standards.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 to Condensed Consolidated Financial Statements for a full description of recently adopted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14"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The majority of our revenue is generated from monthly service revenues and related professional services from the sale of the LivePerson services. We charge a monthly, quarterly or annual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 Revenues are recognized when control of the promised goods or services is transferred to our customers, in an amount that reflects the consideration we expect to be entitled to in exchange for those goods or services.</w:t>
      </w:r>
    </w:p>
    <w:p>
      <w:pPr>
        <w:spacing w:after="0" w:line="77"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Revenue from our Business segment accounted for 91% of total revenue for the three months ended June 30, 2019. Revenue from our Business segment accounted for 92% of total revenue for the three months ended June 30, 2018 and for the six months ended June 30, 2019 and 2018. Revenue attributable to our monthly hosted Business services accounted for 83% and 85% of total Business revenue for the three months ended June 30, 2019 and 2018, respectively. Revenue attributable to our monthly hosted Business services accounted for 84% and 87% of total Business revenue for the six months ended June 30, 2019 and 2018, respectively.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or less time between contract signing and recognizing revenue in certain situations.</w:t>
      </w:r>
    </w:p>
    <w:p>
      <w:pPr>
        <w:spacing w:after="0" w:line="80"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Revenue from our Consumer segment is generated from online transactions between Experts and Users and is recognized net of Expert fees and accounted for approximately 9% of total revenue for the three months ended June 30, 2019. Revenue from our Consumer segment accounted for approximately 8% of total revenue for the three months ended June 30, 2018 and for the six months ended June 30, 2019 and 2018.</w:t>
      </w:r>
    </w:p>
    <w:p>
      <w:pPr>
        <w:spacing w:after="0" w:line="67"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and Expenses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cost of revenue consists of:</w:t>
      </w:r>
    </w:p>
    <w:p>
      <w:pPr>
        <w:spacing w:after="0" w:line="110" w:lineRule="exact"/>
        <w:rPr>
          <w:sz w:val="20"/>
          <w:szCs w:val="20"/>
          <w:color w:val="auto"/>
        </w:rPr>
      </w:pPr>
    </w:p>
    <w:p>
      <w:pPr>
        <w:ind w:left="5620" w:right="2140" w:hanging="4780"/>
        <w:spacing w:after="0" w:line="684" w:lineRule="auto"/>
        <w:tabs>
          <w:tab w:leader="none" w:pos="11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costs relating to employees who provide customer support and implementation services to our customers; 39</w:t>
      </w:r>
    </w:p>
    <w:p>
      <w:pPr>
        <w:sectPr>
          <w:pgSz w:w="11900" w:h="16838" w:orient="portrait"/>
          <w:cols w:equalWidth="0" w:num="1">
            <w:col w:w="11420"/>
          </w:cols>
          <w:pgMar w:left="240" w:top="551" w:right="239" w:bottom="1440" w:gutter="0" w:footer="0" w:header="0"/>
        </w:sectPr>
      </w:pPr>
    </w:p>
    <w:bookmarkStart w:id="40" w:name="page41"/>
    <w:bookmarkEnd w:id="40"/>
    <w:p>
      <w:pPr>
        <w:ind w:left="1140" w:hanging="300"/>
        <w:spacing w:after="0"/>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outside labor provider costs;</w:t>
      </w:r>
    </w:p>
    <w:p>
      <w:pPr>
        <w:spacing w:after="0" w:line="109" w:lineRule="exact"/>
        <w:rPr>
          <w:rFonts w:ascii="Times New Roman" w:cs="Times New Roman" w:eastAsia="Times New Roman" w:hAnsi="Times New Roman"/>
          <w:sz w:val="17"/>
          <w:szCs w:val="17"/>
          <w:color w:val="auto"/>
        </w:rPr>
      </w:pPr>
    </w:p>
    <w:p>
      <w:pPr>
        <w:ind w:left="1140" w:hanging="300"/>
        <w:spacing w:after="0"/>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costs relating to our network support staff;</w:t>
      </w:r>
    </w:p>
    <w:p>
      <w:pPr>
        <w:spacing w:after="0" w:line="109" w:lineRule="exact"/>
        <w:rPr>
          <w:rFonts w:ascii="Times New Roman" w:cs="Times New Roman" w:eastAsia="Times New Roman" w:hAnsi="Times New Roman"/>
          <w:sz w:val="17"/>
          <w:szCs w:val="17"/>
          <w:color w:val="auto"/>
        </w:rPr>
      </w:pPr>
    </w:p>
    <w:p>
      <w:pPr>
        <w:ind w:left="1140" w:hanging="300"/>
        <w:spacing w:after="0"/>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of certain hardware and software;</w:t>
      </w:r>
    </w:p>
    <w:p>
      <w:pPr>
        <w:spacing w:after="0" w:line="109" w:lineRule="exact"/>
        <w:rPr>
          <w:rFonts w:ascii="Times New Roman" w:cs="Times New Roman" w:eastAsia="Times New Roman" w:hAnsi="Times New Roman"/>
          <w:sz w:val="17"/>
          <w:szCs w:val="17"/>
          <w:color w:val="auto"/>
        </w:rPr>
      </w:pPr>
    </w:p>
    <w:p>
      <w:pPr>
        <w:ind w:left="1140" w:hanging="300"/>
        <w:spacing w:after="0"/>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occupancy costs and related overhead;</w:t>
      </w:r>
    </w:p>
    <w:p>
      <w:pPr>
        <w:spacing w:after="0" w:line="109" w:lineRule="exact"/>
        <w:rPr>
          <w:rFonts w:ascii="Times New Roman" w:cs="Times New Roman" w:eastAsia="Times New Roman" w:hAnsi="Times New Roman"/>
          <w:sz w:val="17"/>
          <w:szCs w:val="17"/>
          <w:color w:val="auto"/>
        </w:rPr>
      </w:pPr>
    </w:p>
    <w:p>
      <w:pPr>
        <w:ind w:left="1140" w:hanging="300"/>
        <w:spacing w:after="0"/>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supporting our infrastructure, including expenses related to server leases, infrastructure support costs and Internet connectivity;</w:t>
      </w:r>
    </w:p>
    <w:p>
      <w:pPr>
        <w:spacing w:after="0" w:line="109" w:lineRule="exact"/>
        <w:rPr>
          <w:rFonts w:ascii="Times New Roman" w:cs="Times New Roman" w:eastAsia="Times New Roman" w:hAnsi="Times New Roman"/>
          <w:sz w:val="17"/>
          <w:szCs w:val="17"/>
          <w:color w:val="auto"/>
        </w:rPr>
      </w:pPr>
    </w:p>
    <w:p>
      <w:pPr>
        <w:ind w:left="1140" w:hanging="300"/>
        <w:spacing w:after="0"/>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card fees and related payment processing costs associated with consumer and self-service customers; and</w:t>
      </w:r>
    </w:p>
    <w:p>
      <w:pPr>
        <w:spacing w:after="0" w:line="109" w:lineRule="exact"/>
        <w:rPr>
          <w:rFonts w:ascii="Times New Roman" w:cs="Times New Roman" w:eastAsia="Times New Roman" w:hAnsi="Times New Roman"/>
          <w:sz w:val="17"/>
          <w:szCs w:val="17"/>
          <w:color w:val="auto"/>
        </w:rPr>
      </w:pPr>
    </w:p>
    <w:p>
      <w:pPr>
        <w:ind w:left="1140" w:hanging="300"/>
        <w:spacing w:after="0"/>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certain intangibles.</w:t>
      </w:r>
    </w:p>
    <w:p>
      <w:pPr>
        <w:spacing w:after="0" w:line="110" w:lineRule="exact"/>
        <w:rPr>
          <w:sz w:val="20"/>
          <w:szCs w:val="20"/>
          <w:color w:val="auto"/>
        </w:rPr>
      </w:pPr>
    </w:p>
    <w:p>
      <w:pPr>
        <w:jc w:val="both"/>
        <w:ind w:left="60" w:firstLine="610"/>
        <w:spacing w:after="0" w:line="264" w:lineRule="auto"/>
        <w:rPr>
          <w:sz w:val="20"/>
          <w:szCs w:val="20"/>
          <w:color w:val="auto"/>
        </w:rPr>
      </w:pPr>
      <w:r>
        <w:rPr>
          <w:rFonts w:ascii="Times New Roman" w:cs="Times New Roman" w:eastAsia="Times New Roman" w:hAnsi="Times New Roman"/>
          <w:sz w:val="17"/>
          <w:szCs w:val="17"/>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67" w:lineRule="exact"/>
        <w:rPr>
          <w:sz w:val="20"/>
          <w:szCs w:val="20"/>
          <w:color w:val="auto"/>
        </w:rPr>
      </w:pPr>
    </w:p>
    <w:p>
      <w:pPr>
        <w:ind w:firstLine="610"/>
        <w:spacing w:after="0" w:line="278" w:lineRule="auto"/>
        <w:rPr>
          <w:sz w:val="20"/>
          <w:szCs w:val="20"/>
          <w:color w:val="auto"/>
        </w:rPr>
      </w:pPr>
      <w:r>
        <w:rPr>
          <w:rFonts w:ascii="Times New Roman" w:cs="Times New Roman" w:eastAsia="Times New Roman" w:hAnsi="Times New Roman"/>
          <w:sz w:val="17"/>
          <w:szCs w:val="17"/>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55" w:lineRule="exact"/>
        <w:rPr>
          <w:sz w:val="20"/>
          <w:szCs w:val="20"/>
          <w:color w:val="auto"/>
        </w:rPr>
      </w:pPr>
    </w:p>
    <w:p>
      <w:pPr>
        <w:ind w:firstLine="610"/>
        <w:spacing w:after="0" w:line="278" w:lineRule="auto"/>
        <w:rPr>
          <w:sz w:val="20"/>
          <w:szCs w:val="20"/>
          <w:color w:val="auto"/>
        </w:rPr>
      </w:pPr>
      <w:r>
        <w:rPr>
          <w:rFonts w:ascii="Times New Roman" w:cs="Times New Roman" w:eastAsia="Times New Roman" w:hAnsi="Times New Roman"/>
          <w:sz w:val="17"/>
          <w:szCs w:val="17"/>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Non-Cash Compensation Expense</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net non-cash compensation amounts are as follows:</w:t>
      </w:r>
    </w:p>
    <w:p>
      <w:pPr>
        <w:sectPr>
          <w:pgSz w:w="11900" w:h="16838" w:orient="portrait"/>
          <w:cols w:equalWidth="0" w:num="1">
            <w:col w:w="11420"/>
          </w:cols>
          <w:pgMar w:left="240" w:top="555" w:right="239" w:bottom="1440" w:gutter="0" w:footer="0" w:header="0"/>
        </w:sectPr>
      </w:pPr>
    </w:p>
    <w:p>
      <w:pPr>
        <w:spacing w:after="0" w:line="31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33020</wp:posOffset>
            </wp:positionV>
            <wp:extent cx="19608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109" w:lineRule="exact"/>
        <w:rPr>
          <w:sz w:val="20"/>
          <w:szCs w:val="20"/>
          <w:color w:val="auto"/>
        </w:rPr>
      </w:pPr>
    </w:p>
    <w:p>
      <w:pPr>
        <w:ind w:left="5760"/>
        <w:spacing w:after="0"/>
        <w:tabs>
          <w:tab w:leader="none" w:pos="7340" w:val="left"/>
        </w:tabs>
        <w:rPr>
          <w:sz w:val="20"/>
          <w:szCs w:val="20"/>
          <w:color w:val="auto"/>
        </w:rPr>
      </w:pPr>
      <w:r>
        <w:rPr>
          <w:rFonts w:ascii="Times New Roman" w:cs="Times New Roman" w:eastAsia="Times New Roman" w:hAnsi="Times New Roman"/>
          <w:sz w:val="12"/>
          <w:szCs w:val="12"/>
          <w:b w:val="1"/>
          <w:bCs w:val="1"/>
          <w:color w:val="auto"/>
        </w:rPr>
        <w:t>2019</w:t>
      </w:r>
      <w:r>
        <w:rPr>
          <w:sz w:val="20"/>
          <w:szCs w:val="20"/>
          <w:color w:val="auto"/>
        </w:rPr>
        <w:tab/>
      </w:r>
      <w:r>
        <w:rPr>
          <w:rFonts w:ascii="Times New Roman" w:cs="Times New Roman" w:eastAsia="Times New Roman" w:hAnsi="Times New Roman"/>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33020</wp:posOffset>
            </wp:positionV>
            <wp:extent cx="1960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9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254875" cy="169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169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18415</wp:posOffset>
            </wp:positionV>
            <wp:extent cx="1952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86"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2"/>
          <w:szCs w:val="12"/>
          <w:b w:val="1"/>
          <w:bCs w:val="1"/>
          <w:color w:val="auto"/>
        </w:rPr>
        <w:t>2019</w:t>
      </w:r>
      <w:r>
        <w:rPr>
          <w:sz w:val="20"/>
          <w:szCs w:val="20"/>
          <w:color w:val="auto"/>
        </w:rPr>
        <w:tab/>
      </w:r>
      <w:r>
        <w:rPr>
          <w:rFonts w:ascii="Times New Roman" w:cs="Times New Roman" w:eastAsia="Times New Roman" w:hAnsi="Times New Roman"/>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33020</wp:posOffset>
            </wp:positionV>
            <wp:extent cx="1952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7" w:lineRule="exact"/>
        <w:rPr>
          <w:sz w:val="20"/>
          <w:szCs w:val="20"/>
          <w:color w:val="auto"/>
        </w:rPr>
      </w:pPr>
    </w:p>
    <w:p>
      <w:pPr>
        <w:sectPr>
          <w:pgSz w:w="11900" w:h="16838" w:orient="portrait"/>
          <w:cols w:equalWidth="0" w:num="2">
            <w:col w:w="8240" w:space="720"/>
            <w:col w:w="2460"/>
          </w:cols>
          <w:pgMar w:left="240" w:top="555" w:right="239" w:bottom="1440" w:gutter="0" w:footer="0" w:header="0"/>
          <w:type w:val="continuous"/>
        </w:sectPr>
      </w:pPr>
    </w:p>
    <w:p>
      <w:pPr>
        <w:ind w:left="20"/>
        <w:spacing w:after="0"/>
        <w:tabs>
          <w:tab w:leader="none" w:pos="5160" w:val="left"/>
          <w:tab w:leader="none" w:pos="6160" w:val="left"/>
          <w:tab w:leader="none" w:pos="6760" w:val="left"/>
          <w:tab w:leader="none" w:pos="7760" w:val="left"/>
          <w:tab w:leader="none" w:pos="8360" w:val="left"/>
          <w:tab w:leader="none" w:pos="9280" w:val="left"/>
          <w:tab w:leader="none" w:pos="9960" w:val="left"/>
          <w:tab w:leader="none" w:pos="10960" w:val="left"/>
        </w:tabs>
        <w:rPr>
          <w:sz w:val="20"/>
          <w:szCs w:val="20"/>
          <w:color w:val="auto"/>
        </w:rPr>
      </w:pPr>
      <w:r>
        <w:rPr>
          <w:rFonts w:ascii="Times New Roman" w:cs="Times New Roman" w:eastAsia="Times New Roman" w:hAnsi="Times New Roman"/>
          <w:sz w:val="15"/>
          <w:szCs w:val="15"/>
          <w:color w:val="auto"/>
        </w:rPr>
        <w:t>Stock-based compensation expense</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9,305</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3,826</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16,471</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6,264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4"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We are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173" w:lineRule="exact"/>
        <w:rPr>
          <w:sz w:val="20"/>
          <w:szCs w:val="20"/>
          <w:color w:val="auto"/>
        </w:rPr>
      </w:pPr>
    </w:p>
    <w:p>
      <w:pPr>
        <w:ind w:right="160" w:firstLine="610"/>
        <w:spacing w:after="0" w:line="278" w:lineRule="auto"/>
        <w:rPr>
          <w:sz w:val="20"/>
          <w:szCs w:val="20"/>
          <w:color w:val="auto"/>
        </w:rPr>
      </w:pPr>
      <w:r>
        <w:rPr>
          <w:rFonts w:ascii="Times New Roman" w:cs="Times New Roman" w:eastAsia="Times New Roman" w:hAnsi="Times New Roman"/>
          <w:sz w:val="17"/>
          <w:szCs w:val="17"/>
          <w:color w:val="auto"/>
        </w:rPr>
        <w:t>During the first two quarters of 2019, we have made increasing investments in sales and development capacity and marketing programs in order to maximize in-year productivity. These investments have contributed to losses in the first two quarters of 2019.</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and Six Months Ended June 30, 2019 and 2018</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62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5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5"/>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21"/>
                <w:szCs w:val="21"/>
                <w:color w:val="auto"/>
              </w:rPr>
            </w:pPr>
          </w:p>
        </w:tc>
      </w:tr>
      <w:tr>
        <w:trPr>
          <w:trHeight w:val="224"/>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Revenue by Segment:</w:t>
            </w: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0"/>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4"/>
        </w:trPr>
        <w:tc>
          <w:tcPr>
            <w:tcW w:w="526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5"/>
                <w:szCs w:val="15"/>
                <w:color w:val="auto"/>
              </w:rPr>
              <w:t>Business</w:t>
            </w: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FFCC"/>
            </w:tcBorders>
            <w:shd w:val="clear" w:color="auto" w:fill="CCFFCC"/>
          </w:tcPr>
          <w:p>
            <w:pPr>
              <w:jc w:val="right"/>
              <w:ind w:right="48"/>
              <w:spacing w:after="0"/>
              <w:rPr>
                <w:sz w:val="20"/>
                <w:szCs w:val="20"/>
                <w:color w:val="auto"/>
              </w:rPr>
            </w:pPr>
            <w:r>
              <w:rPr>
                <w:rFonts w:ascii="Times New Roman" w:cs="Times New Roman" w:eastAsia="Times New Roman" w:hAnsi="Times New Roman"/>
                <w:sz w:val="15"/>
                <w:szCs w:val="15"/>
                <w:color w:val="auto"/>
              </w:rPr>
              <w:t>64,835</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56,708</w:t>
            </w:r>
          </w:p>
        </w:tc>
        <w:tc>
          <w:tcPr>
            <w:tcW w:w="12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FFCC"/>
            </w:tcBorders>
            <w:shd w:val="clear" w:color="auto" w:fill="CCFFCC"/>
          </w:tcPr>
          <w:p>
            <w:pPr>
              <w:jc w:val="right"/>
              <w:ind w:right="48"/>
              <w:spacing w:after="0"/>
              <w:rPr>
                <w:sz w:val="20"/>
                <w:szCs w:val="20"/>
                <w:color w:val="auto"/>
              </w:rPr>
            </w:pPr>
            <w:r>
              <w:rPr>
                <w:rFonts w:ascii="Times New Roman" w:cs="Times New Roman" w:eastAsia="Times New Roman" w:hAnsi="Times New Roman"/>
                <w:sz w:val="15"/>
                <w:szCs w:val="15"/>
                <w:color w:val="auto"/>
              </w:rPr>
              <w:t>125,830</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FFCC"/>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110,269</w:t>
            </w:r>
          </w:p>
        </w:tc>
        <w:tc>
          <w:tcPr>
            <w:tcW w:w="1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24"/>
        </w:trPr>
        <w:tc>
          <w:tcPr>
            <w:tcW w:w="52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Consumer</w:t>
            </w:r>
          </w:p>
        </w:tc>
        <w:tc>
          <w:tcPr>
            <w:tcW w:w="220" w:type="dxa"/>
            <w:vAlign w:val="bottom"/>
          </w:tcPr>
          <w:p>
            <w:pPr>
              <w:spacing w:after="0"/>
              <w:rPr>
                <w:sz w:val="19"/>
                <w:szCs w:val="19"/>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6,124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4,952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11,531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9,632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30"/>
        </w:trPr>
        <w:tc>
          <w:tcPr>
            <w:tcW w:w="52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7"/>
        </w:trPr>
        <w:tc>
          <w:tcPr>
            <w:tcW w:w="5260" w:type="dxa"/>
            <w:vAlign w:val="bottom"/>
            <w:tcBorders>
              <w:bottom w:val="single" w:sz="8" w:color="CCFFCC"/>
            </w:tcBorders>
            <w:shd w:val="clear" w:color="auto" w:fill="CCFFCC"/>
          </w:tcPr>
          <w:p>
            <w:pPr>
              <w:ind w:left="36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FFCC"/>
          </w:tcPr>
          <w:p>
            <w:pPr>
              <w:jc w:val="right"/>
              <w:ind w:right="48"/>
              <w:spacing w:after="0"/>
              <w:rPr>
                <w:sz w:val="20"/>
                <w:szCs w:val="20"/>
                <w:color w:val="auto"/>
              </w:rPr>
            </w:pPr>
            <w:r>
              <w:rPr>
                <w:rFonts w:ascii="Times New Roman" w:cs="Times New Roman" w:eastAsia="Times New Roman" w:hAnsi="Times New Roman"/>
                <w:sz w:val="15"/>
                <w:szCs w:val="15"/>
                <w:color w:val="auto"/>
              </w:rPr>
              <w:t>70,959</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61,660</w:t>
            </w:r>
          </w:p>
        </w:tc>
        <w:tc>
          <w:tcPr>
            <w:tcW w:w="120" w:type="dxa"/>
            <w:vAlign w:val="bottom"/>
            <w:tcBorders>
              <w:bottom w:val="single" w:sz="8" w:color="CCFFCC"/>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FFCC"/>
          </w:tcPr>
          <w:p>
            <w:pPr>
              <w:jc w:val="right"/>
              <w:ind w:right="48"/>
              <w:spacing w:after="0"/>
              <w:rPr>
                <w:sz w:val="20"/>
                <w:szCs w:val="20"/>
                <w:color w:val="auto"/>
              </w:rPr>
            </w:pPr>
            <w:r>
              <w:rPr>
                <w:rFonts w:ascii="Times New Roman" w:cs="Times New Roman" w:eastAsia="Times New Roman" w:hAnsi="Times New Roman"/>
                <w:sz w:val="15"/>
                <w:szCs w:val="15"/>
                <w:color w:val="auto"/>
              </w:rPr>
              <w:t>137,361</w:t>
            </w:r>
          </w:p>
        </w:tc>
        <w:tc>
          <w:tcPr>
            <w:tcW w:w="10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FFCC"/>
          </w:tcPr>
          <w:p>
            <w:pPr>
              <w:jc w:val="right"/>
              <w:ind w:right="26"/>
              <w:spacing w:after="0"/>
              <w:rPr>
                <w:sz w:val="20"/>
                <w:szCs w:val="20"/>
                <w:color w:val="auto"/>
              </w:rPr>
            </w:pPr>
            <w:r>
              <w:rPr>
                <w:rFonts w:ascii="Times New Roman" w:cs="Times New Roman" w:eastAsia="Times New Roman" w:hAnsi="Times New Roman"/>
                <w:sz w:val="15"/>
                <w:szCs w:val="15"/>
                <w:color w:val="auto"/>
              </w:rPr>
              <w:t>119,901</w:t>
            </w:r>
          </w:p>
        </w:tc>
        <w:tc>
          <w:tcPr>
            <w:tcW w:w="12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420"/>
          </w:cols>
          <w:pgMar w:left="240" w:top="555" w:right="239" w:bottom="1440" w:gutter="0" w:footer="0" w:header="0"/>
          <w:type w:val="continuous"/>
        </w:sectPr>
      </w:pPr>
    </w:p>
    <w:bookmarkStart w:id="41" w:name="page42"/>
    <w:bookmarkEnd w:id="41"/>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Business revenue increased by 14% to $64.8 million and $125.8 million in the three months and six months ended June 30, 2019, respectively, from $56.7 million and $110.3 million in the comparable periods in 2018. The increase in B2B revenue is driven mainly by increases in hosted services of $5.3 million and $9.5 million and in professional services of $2.8 million and $6.1 million year over year during the three months and six months ended June 30, 2019, respectively. Included in hosted services, variable revenue, which includes gainshare and overage revenue, decreased by $2.0 million and $2.3 million during the three months and six months ended June 30, 2019, respectively.</w:t>
      </w:r>
    </w:p>
    <w:p>
      <w:pPr>
        <w:spacing w:after="0" w:line="76"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The increase in revenue is primarily attributed to increased contract signings with new customers and greater adoption of conversational commerce solutions by existing customers. In the second quarter, nearly 50% of our enterprise customers had adopted messaging, up from nearly 35% in the prior year period. LivePerson has developed a large ecosystem of conversational messaging endpoints that integrates to our platform, and is driving adoption of these endpoints along with bots and AI across care, sales, marketing, and brick and mortar use cases. As adoption increases, we are seeing higher revenue per customer. Our average annual revenue per enterprise and midmarket customer increased approximately 20% year over year to $310,000 in the trailing twelve months ended June 30, 2019, from $255,000 in the prior year period. Similarly, we are seeing strong revenue retention rates. Revenue retention for our enterprise and midmarket customers was within our target range of 105% to 115% for the period ended June 30, 2019, which marked the 10th consecutive quarter of a greater than 100% revenue retention rate. Finally, as we add sales capacity we are also increasing the number of deals we sign. Total deals signed increased 50% year over year in the second quarter of 2019.</w:t>
      </w:r>
    </w:p>
    <w:p>
      <w:pPr>
        <w:spacing w:after="0" w:line="80"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Consumer revenue increased by 24% and 20% to $6.1 million and $11.5 million in the three months and six months ended June 30, 2019, respectively, from $5.0 million and $9.6 million in the comparable periods in 2018. This variance is driven by an increase in price per minute and in volume of chat minutes.</w:t>
      </w:r>
    </w:p>
    <w:p>
      <w:pPr>
        <w:spacing w:after="0" w:line="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 Business</w:t>
      </w:r>
    </w:p>
    <w:p>
      <w:pPr>
        <w:spacing w:after="0" w:line="11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5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21"/>
                <w:szCs w:val="21"/>
                <w:color w:val="auto"/>
              </w:rPr>
            </w:pPr>
          </w:p>
        </w:tc>
        <w:tc>
          <w:tcPr>
            <w:tcW w:w="72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21"/>
                <w:szCs w:val="21"/>
                <w:color w:val="auto"/>
              </w:rPr>
            </w:pPr>
          </w:p>
        </w:tc>
        <w:tc>
          <w:tcPr>
            <w:tcW w:w="72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7"/>
        </w:trPr>
        <w:tc>
          <w:tcPr>
            <w:tcW w:w="52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2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revenue - business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16,960</w:t>
            </w:r>
          </w:p>
        </w:tc>
        <w:tc>
          <w:tcPr>
            <w:tcW w:w="2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15,086</w:t>
            </w:r>
          </w:p>
        </w:tc>
        <w:tc>
          <w:tcPr>
            <w:tcW w:w="142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12 %  $</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34,622</w:t>
            </w:r>
          </w:p>
        </w:tc>
        <w:tc>
          <w:tcPr>
            <w:tcW w:w="2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28,004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24 %</w:t>
            </w:r>
          </w:p>
        </w:tc>
      </w:tr>
      <w:tr>
        <w:trPr>
          <w:trHeight w:val="30"/>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4"/>
        </w:trPr>
        <w:tc>
          <w:tcPr>
            <w:tcW w:w="52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Percentage of total revenue</w:t>
            </w: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24%</w:t>
            </w:r>
          </w:p>
        </w:tc>
        <w:tc>
          <w:tcPr>
            <w:tcW w:w="2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25%</w:t>
            </w:r>
          </w:p>
        </w:tc>
        <w:tc>
          <w:tcPr>
            <w:tcW w:w="2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spacing w:after="0"/>
              <w:rPr>
                <w:sz w:val="20"/>
                <w:szCs w:val="20"/>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Headcount (at period end):</w:t>
            </w: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212</w:t>
            </w:r>
          </w:p>
        </w:tc>
        <w:tc>
          <w:tcPr>
            <w:tcW w:w="260" w:type="dxa"/>
            <w:vAlign w:val="bottom"/>
          </w:tcPr>
          <w:p>
            <w:pPr>
              <w:spacing w:after="0"/>
              <w:rPr>
                <w:sz w:val="19"/>
                <w:szCs w:val="19"/>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234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212</w:t>
            </w:r>
          </w:p>
        </w:tc>
        <w:tc>
          <w:tcPr>
            <w:tcW w:w="260" w:type="dxa"/>
            <w:vAlign w:val="bottom"/>
          </w:tcPr>
          <w:p>
            <w:pPr>
              <w:spacing w:after="0"/>
              <w:rPr>
                <w:sz w:val="19"/>
                <w:szCs w:val="19"/>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w:t>
            </w:r>
          </w:p>
        </w:tc>
      </w:tr>
    </w:tbl>
    <w:p>
      <w:pPr>
        <w:spacing w:after="0" w:line="115"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Cost of revenue increased by 12% to $17.0 million in the three months ended June 30, 2019, from $15.1 million in the comparable period in 2018. This variance was primarily attributable to increases in outsourced labor and other business services of approximately $1.5 million and in primary and backup server facilities, depreciation, and allocated overhead cost related to supporting our server and network infrastructure of approximately $0.7 million. This was partially offset by a decrease in total compensation and related costs for customer service and network operations personnel of approximately $0.3 million.</w:t>
      </w:r>
    </w:p>
    <w:p>
      <w:pPr>
        <w:spacing w:after="0" w:line="7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Cost of revenue increased by 24% to $34.6 million in the six months ended June 30, 2019, from $28.0 million in the comparable period in 2018. This variance was primarily attributable to increases in outsourced labor and other business services of approximately $3.5 million, in primary and backup server facilities, depreciation, and allocated overhead cost related to supporting our server and network infrastructure of approximately $2.1 million and in total compensation and related costs for customer service and network operations personnel of approximately $1.0 million.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420"/>
          </w:cols>
          <w:pgMar w:left="240" w:top="555" w:right="239" w:bottom="1440" w:gutter="0" w:footer="0" w:header="0"/>
        </w:sectPr>
      </w:pPr>
    </w:p>
    <w:bookmarkStart w:id="42" w:name="page43"/>
    <w:bookmarkEnd w:id="42"/>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 Consumer</w:t>
      </w:r>
    </w:p>
    <w:p>
      <w:pPr>
        <w:spacing w:after="0" w:line="114"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5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21"/>
                <w:szCs w:val="21"/>
                <w:color w:val="auto"/>
              </w:rPr>
            </w:pPr>
          </w:p>
        </w:tc>
        <w:tc>
          <w:tcPr>
            <w:tcW w:w="72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21"/>
                <w:szCs w:val="21"/>
                <w:color w:val="auto"/>
              </w:rPr>
            </w:pPr>
          </w:p>
        </w:tc>
        <w:tc>
          <w:tcPr>
            <w:tcW w:w="72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7"/>
        </w:trPr>
        <w:tc>
          <w:tcPr>
            <w:tcW w:w="52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2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revenue - consumer</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1,089</w:t>
            </w:r>
          </w:p>
        </w:tc>
        <w:tc>
          <w:tcPr>
            <w:tcW w:w="2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950</w:t>
            </w:r>
          </w:p>
        </w:tc>
        <w:tc>
          <w:tcPr>
            <w:tcW w:w="142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15 %  $</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2,076</w:t>
            </w:r>
          </w:p>
        </w:tc>
        <w:tc>
          <w:tcPr>
            <w:tcW w:w="2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1,986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5 %</w:t>
            </w:r>
          </w:p>
        </w:tc>
      </w:tr>
      <w:tr>
        <w:trPr>
          <w:trHeight w:val="30"/>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4"/>
        </w:trPr>
        <w:tc>
          <w:tcPr>
            <w:tcW w:w="52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Percentage of total revenue</w:t>
            </w: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spacing w:after="0"/>
              <w:rPr>
                <w:sz w:val="20"/>
                <w:szCs w:val="20"/>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Headcount (at period end)</w:t>
            </w: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14</w:t>
            </w:r>
          </w:p>
        </w:tc>
        <w:tc>
          <w:tcPr>
            <w:tcW w:w="260" w:type="dxa"/>
            <w:vAlign w:val="bottom"/>
          </w:tcPr>
          <w:p>
            <w:pPr>
              <w:spacing w:after="0"/>
              <w:rPr>
                <w:sz w:val="19"/>
                <w:szCs w:val="19"/>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14</w:t>
            </w:r>
          </w:p>
        </w:tc>
        <w:tc>
          <w:tcPr>
            <w:tcW w:w="260" w:type="dxa"/>
            <w:vAlign w:val="bottom"/>
          </w:tcPr>
          <w:p>
            <w:pPr>
              <w:spacing w:after="0"/>
              <w:rPr>
                <w:sz w:val="19"/>
                <w:szCs w:val="19"/>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w:t>
            </w:r>
          </w:p>
        </w:tc>
      </w:tr>
    </w:tbl>
    <w:p>
      <w:pPr>
        <w:spacing w:after="0" w:line="115"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Cost of revenue increased by 15% to $1.1 million in the three months ended June 30, 2019, from the comparable period in 2018. This variance was primarily attributable to increases in backup server facilities and allocated occupancy costs and overhead in credit card processing fees of approximately $0.2 million.</w:t>
      </w:r>
    </w:p>
    <w:p>
      <w:pPr>
        <w:spacing w:after="0" w:line="5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Cost of revenue increased by 5% to $2.1 million in the six months ended June 30, 2019, from the comparable period in 2018. This variance was primarily attributable to increases in backup server facilities and allocated occupancy costs and overhead in credit card processing fees of approximately $0.2 million offset partially by decreases in total compensation and related costs for customer service and network operations personnel of approximately $0.1 million.</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 Business</w:t>
      </w:r>
    </w:p>
    <w:p>
      <w:pPr>
        <w:spacing w:after="0" w:line="11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5320" w:type="dxa"/>
            <w:vAlign w:val="bottom"/>
          </w:tcPr>
          <w:p>
            <w:pPr>
              <w:spacing w:after="0"/>
              <w:rPr>
                <w:sz w:val="21"/>
                <w:szCs w:val="21"/>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1"/>
                <w:szCs w:val="21"/>
                <w:color w:val="auto"/>
              </w:rPr>
            </w:pP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7"/>
        </w:trPr>
        <w:tc>
          <w:tcPr>
            <w:tcW w:w="5320" w:type="dxa"/>
            <w:vAlign w:val="bottom"/>
          </w:tcPr>
          <w:p>
            <w:pPr>
              <w:spacing w:after="0"/>
              <w:rPr>
                <w:sz w:val="21"/>
                <w:szCs w:val="21"/>
                <w:color w:val="auto"/>
              </w:rPr>
            </w:pPr>
          </w:p>
        </w:tc>
        <w:tc>
          <w:tcPr>
            <w:tcW w:w="1960" w:type="dxa"/>
            <w:vAlign w:val="bottom"/>
            <w:tcBorders>
              <w:top w:val="single" w:sz="8" w:color="auto"/>
              <w:bottom w:val="single" w:sz="8" w:color="auto"/>
            </w:tcBorders>
            <w:gridSpan w:val="2"/>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2"/>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22"/>
        </w:trPr>
        <w:tc>
          <w:tcPr>
            <w:tcW w:w="5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Sales and marketing - business</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   35,568</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   23,339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65,660</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   45,062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30"/>
        </w:trPr>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4"/>
        </w:trPr>
        <w:tc>
          <w:tcPr>
            <w:tcW w:w="5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Percentage of total revenue</w:t>
            </w:r>
          </w:p>
        </w:tc>
        <w:tc>
          <w:tcPr>
            <w:tcW w:w="98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50%</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48%</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Headcount (at period end):</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475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475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w:t>
            </w:r>
          </w:p>
        </w:tc>
      </w:tr>
    </w:tbl>
    <w:p>
      <w:pPr>
        <w:spacing w:after="0" w:line="115"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Sales and marketing expenses increased by 52% to $35.6 million in the three months ended June 30, 2019 from $23.3 million in the comparable period in 2018. This variance was primarily attributable to an increase in salaries and related costs of approximately $8.0 million as we expanded sales capacity by adding sales reps, sales development reps and partner managers. The Company believes the market is moving from early adopters to mainstream, and is adding sales capacity to address demand. In addition, there was an increase in business services and outsourced subcontracted labor of approximately $1.8 million, an increase in marketing events, advertising, public relations, and tradeshow exhibit expenses of approximately $1.5 million, and an increase in allocated occupancy costs and overhead, depreciation, and software to support our sales personnel of approximately $1.0 million.</w:t>
      </w:r>
    </w:p>
    <w:p>
      <w:pPr>
        <w:spacing w:after="0" w:line="75"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Sales and marketing expenses increased by 46% to $65.7 million in the six months ended June 30, 2019 from $45.1 million in the comparable period in 2018. This variance was primarily attributable to an increase in salaries and related costs of approximately $13.8 million as we expanded sales capacity by adding sales reps, sales development reps and partner managers. In addition, there was an increase in marketing events, advertising, public relations, and tradeshow exhibit expenses of approximately $3.1 million, an increase in allocated occupancy costs and overhead, depreciation, and software to support our sales personnel of approximately $2.2 million, and an increase in business services and outsourced subcontracted labor of approximately $2.1 million.This was offset partially by a decrease in recruiting costs of approximately $0.5 million.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420"/>
          </w:cols>
          <w:pgMar w:left="240" w:top="551" w:right="239" w:bottom="1440" w:gutter="0" w:footer="0" w:header="0"/>
        </w:sectPr>
      </w:pPr>
    </w:p>
    <w:bookmarkStart w:id="43" w:name="page44"/>
    <w:bookmarkEnd w:id="43"/>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 Consumer</w:t>
      </w:r>
    </w:p>
    <w:p>
      <w:pPr>
        <w:spacing w:after="0" w:line="11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Our sales and marketing expenses consist of compensation and related expenses for marketing personnel, as well as online promotion, public relations and allocated occupancy costs and related overhead.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5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21"/>
                <w:szCs w:val="21"/>
                <w:color w:val="auto"/>
              </w:rPr>
            </w:pPr>
          </w:p>
        </w:tc>
        <w:tc>
          <w:tcPr>
            <w:tcW w:w="70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1"/>
                <w:szCs w:val="21"/>
                <w:color w:val="auto"/>
              </w:rPr>
            </w:pP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21"/>
                <w:szCs w:val="21"/>
                <w:color w:val="auto"/>
              </w:rPr>
            </w:pPr>
          </w:p>
        </w:tc>
        <w:tc>
          <w:tcPr>
            <w:tcW w:w="70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7"/>
        </w:trPr>
        <w:tc>
          <w:tcPr>
            <w:tcW w:w="52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2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Sales and marketing - consumer</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5"/>
                <w:szCs w:val="15"/>
                <w:color w:val="auto"/>
              </w:rPr>
              <w:t>3,775</w:t>
            </w:r>
          </w:p>
        </w:tc>
        <w:tc>
          <w:tcPr>
            <w:tcW w:w="2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2,053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20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6,719</w:t>
            </w:r>
          </w:p>
        </w:tc>
        <w:tc>
          <w:tcPr>
            <w:tcW w:w="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4,461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30"/>
        </w:trPr>
        <w:tc>
          <w:tcPr>
            <w:tcW w:w="5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4"/>
        </w:trPr>
        <w:tc>
          <w:tcPr>
            <w:tcW w:w="52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Percentage of total revenue</w:t>
            </w:r>
          </w:p>
        </w:tc>
        <w:tc>
          <w:tcPr>
            <w:tcW w:w="200" w:type="dxa"/>
            <w:vAlign w:val="bottom"/>
            <w:tcBorders>
              <w:bottom w:val="single" w:sz="8" w:color="CCFFCC"/>
            </w:tcBorders>
            <w:shd w:val="clear" w:color="auto" w:fill="CCFFCC"/>
          </w:tcPr>
          <w:p>
            <w:pPr>
              <w:spacing w:after="0"/>
              <w:rPr>
                <w:sz w:val="20"/>
                <w:szCs w:val="20"/>
                <w:color w:val="auto"/>
              </w:rPr>
            </w:pPr>
          </w:p>
        </w:tc>
        <w:tc>
          <w:tcPr>
            <w:tcW w:w="78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5%</w:t>
            </w:r>
          </w:p>
        </w:tc>
        <w:tc>
          <w:tcPr>
            <w:tcW w:w="26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5%</w:t>
            </w:r>
          </w:p>
        </w:tc>
        <w:tc>
          <w:tcPr>
            <w:tcW w:w="28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Headcount (at period end):</w:t>
            </w:r>
          </w:p>
        </w:tc>
        <w:tc>
          <w:tcPr>
            <w:tcW w:w="200" w:type="dxa"/>
            <w:vAlign w:val="bottom"/>
          </w:tcPr>
          <w:p>
            <w:pPr>
              <w:spacing w:after="0"/>
              <w:rPr>
                <w:sz w:val="19"/>
                <w:szCs w:val="19"/>
                <w:color w:val="auto"/>
              </w:rPr>
            </w:pP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5"/>
                <w:szCs w:val="15"/>
                <w:color w:val="auto"/>
              </w:rPr>
              <w:t>14</w:t>
            </w:r>
          </w:p>
        </w:tc>
        <w:tc>
          <w:tcPr>
            <w:tcW w:w="260" w:type="dxa"/>
            <w:vAlign w:val="bottom"/>
          </w:tcPr>
          <w:p>
            <w:pPr>
              <w:spacing w:after="0"/>
              <w:rPr>
                <w:sz w:val="19"/>
                <w:szCs w:val="19"/>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14</w:t>
            </w:r>
          </w:p>
        </w:tc>
        <w:tc>
          <w:tcPr>
            <w:tcW w:w="280" w:type="dxa"/>
            <w:vAlign w:val="bottom"/>
          </w:tcPr>
          <w:p>
            <w:pPr>
              <w:spacing w:after="0"/>
              <w:rPr>
                <w:sz w:val="19"/>
                <w:szCs w:val="19"/>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w:t>
            </w:r>
          </w:p>
        </w:tc>
      </w:tr>
    </w:tbl>
    <w:p>
      <w:pPr>
        <w:spacing w:after="0" w:line="115"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Sales and marketing expenses increased by 84% and 51% to $3.8 million and $6.7 million in the three and six months ended June 30, 2019, respectively, from $2.1 million and $4.5 million in the comparable periods in 2018. This variance was primarily attributable to increases in advertising and online expenses.</w:t>
      </w:r>
    </w:p>
    <w:p>
      <w:pPr>
        <w:spacing w:after="0" w:line="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1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Our general and administrative expenses consist of compensation and related expenses for executive, accounting, legal, human resources and administrative personnel, professional fees and other general corporate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5100" w:type="dxa"/>
            <w:vAlign w:val="bottom"/>
          </w:tcPr>
          <w:p>
            <w:pPr>
              <w:spacing w:after="0"/>
              <w:rPr>
                <w:sz w:val="21"/>
                <w:szCs w:val="21"/>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7"/>
        </w:trPr>
        <w:tc>
          <w:tcPr>
            <w:tcW w:w="5100" w:type="dxa"/>
            <w:vAlign w:val="bottom"/>
          </w:tcPr>
          <w:p>
            <w:pPr>
              <w:spacing w:after="0"/>
              <w:rPr>
                <w:sz w:val="21"/>
                <w:szCs w:val="21"/>
                <w:color w:val="auto"/>
              </w:rPr>
            </w:pPr>
          </w:p>
        </w:tc>
        <w:tc>
          <w:tcPr>
            <w:tcW w:w="1960" w:type="dxa"/>
            <w:vAlign w:val="bottom"/>
            <w:tcBorders>
              <w:top w:val="single" w:sz="8" w:color="auto"/>
              <w:bottom w:val="single" w:sz="8" w:color="auto"/>
            </w:tcBorders>
            <w:gridSpan w:val="2"/>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Borders>
              <w:top w:val="single" w:sz="8" w:color="auto"/>
              <w:bottom w:val="single" w:sz="8" w:color="auto"/>
            </w:tcBorders>
            <w:gridSpan w:val="2"/>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22"/>
        </w:trPr>
        <w:tc>
          <w:tcPr>
            <w:tcW w:w="5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   13,763</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    11,499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0" w:type="dxa"/>
            <w:vAlign w:val="bottom"/>
          </w:tcPr>
          <w:p>
            <w:pPr>
              <w:spacing w:after="0"/>
              <w:rPr>
                <w:sz w:val="19"/>
                <w:szCs w:val="19"/>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   27,930</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   21,622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30"/>
        </w:trPr>
        <w:tc>
          <w:tcPr>
            <w:tcW w:w="5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4"/>
        </w:trPr>
        <w:tc>
          <w:tcPr>
            <w:tcW w:w="51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Percentage of total revenue</w:t>
            </w:r>
          </w:p>
        </w:tc>
        <w:tc>
          <w:tcPr>
            <w:tcW w:w="98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19%</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20%</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r>
      <w:tr>
        <w:trPr>
          <w:trHeight w:val="224"/>
        </w:trPr>
        <w:tc>
          <w:tcPr>
            <w:tcW w:w="5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Headcount (at period end):</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151</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0" w:type="dxa"/>
            <w:vAlign w:val="bottom"/>
          </w:tcPr>
          <w:p>
            <w:pPr>
              <w:spacing w:after="0"/>
              <w:rPr>
                <w:sz w:val="19"/>
                <w:szCs w:val="19"/>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151</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w:t>
            </w:r>
          </w:p>
        </w:tc>
      </w:tr>
    </w:tbl>
    <w:p>
      <w:pPr>
        <w:spacing w:after="0" w:line="115"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General and administrative expenses increased by 20% to $13.8 million in the three months ended June 30, 2019 from $11.5 million in the comparable period in 2018. This variance was primarily attributable to an increase in total compensation expenses of approximately $2.8 million, in part due to the build out of the Company's recruiting and HR capabilities. Other factors include an increase in business services and outsourced labor of approximately $1.2 million and in consulting fees relating to procurement of $0.5 million. This was partially offset by a decrease in allocated occupancy costs, related overhead, information technology and other general corporate expenses of approximately $1.7 million and the nonrecurrence of debt issuance costs and executive relocation costs in 2018 of approximately $0.5 million.</w:t>
      </w:r>
    </w:p>
    <w:p>
      <w:pPr>
        <w:spacing w:after="0" w:line="75"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General and administrative expenses increased by 29% to $27.9 million in the six months ended June 30, 2019 from $21.6 million in the comparable period in 2018. This variance was primarily attributable to an increase in total compensation expenses of approximately $5.2 million, in part due to the build out of the Company's recruiting and HR capabilities. Other factors include an increase in business services and outsourced labor of approximately $2.2 million and in consulting fees relating to procurement and pricing strategies of $1.8 million and deal costs of $0.6 million. This was partially offset by a decrease in allocated occupancy costs, related overhead, information technology and other general corporate expenses of approximately $2.7 million and the nonrecurrence of executive recruitment, relocation, and debt issuance costs in 2018 of approximately $0.8 million.</w:t>
      </w:r>
    </w:p>
    <w:p>
      <w:pPr>
        <w:spacing w:after="0" w:line="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w:t>
      </w:r>
    </w:p>
    <w:p>
      <w:pPr>
        <w:spacing w:after="0" w:line="11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5220" w:type="dxa"/>
            <w:vAlign w:val="bottom"/>
          </w:tcPr>
          <w:p>
            <w:pPr>
              <w:spacing w:after="0"/>
              <w:rPr>
                <w:sz w:val="21"/>
                <w:szCs w:val="21"/>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1"/>
                <w:szCs w:val="21"/>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1"/>
                <w:szCs w:val="21"/>
                <w:color w:val="auto"/>
              </w:rPr>
            </w:pP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7"/>
        </w:trPr>
        <w:tc>
          <w:tcPr>
            <w:tcW w:w="5220" w:type="dxa"/>
            <w:vAlign w:val="bottom"/>
          </w:tcPr>
          <w:p>
            <w:pPr>
              <w:spacing w:after="0"/>
              <w:rPr>
                <w:sz w:val="21"/>
                <w:szCs w:val="21"/>
                <w:color w:val="auto"/>
              </w:rPr>
            </w:pPr>
          </w:p>
        </w:tc>
        <w:tc>
          <w:tcPr>
            <w:tcW w:w="1940" w:type="dxa"/>
            <w:vAlign w:val="bottom"/>
            <w:tcBorders>
              <w:top w:val="single" w:sz="8" w:color="auto"/>
              <w:bottom w:val="single" w:sz="8" w:color="auto"/>
            </w:tcBorders>
            <w:gridSpan w:val="2"/>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2"/>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2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Product development</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5"/>
                <w:szCs w:val="15"/>
                <w:color w:val="auto"/>
              </w:rPr>
              <w:t>$   20,182</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   14,219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38,355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   27,471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30"/>
        </w:trPr>
        <w:tc>
          <w:tcPr>
            <w:tcW w:w="5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4"/>
        </w:trPr>
        <w:tc>
          <w:tcPr>
            <w:tcW w:w="52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Percentage of total revenue</w:t>
            </w:r>
          </w:p>
        </w:tc>
        <w:tc>
          <w:tcPr>
            <w:tcW w:w="98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28%</w:t>
            </w:r>
          </w:p>
        </w:tc>
        <w:tc>
          <w:tcPr>
            <w:tcW w:w="9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Times New Roman" w:cs="Times New Roman" w:eastAsia="Times New Roman" w:hAnsi="Times New Roman"/>
                <w:sz w:val="15"/>
                <w:szCs w:val="15"/>
                <w:color w:val="auto"/>
              </w:rPr>
              <w:t>28%</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Headcount (at period end):</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5"/>
                <w:szCs w:val="15"/>
                <w:color w:val="auto"/>
              </w:rPr>
              <w:t>418</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5"/>
                <w:szCs w:val="15"/>
                <w:color w:val="auto"/>
              </w:rPr>
              <w:t>418</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w:t>
            </w:r>
          </w:p>
        </w:tc>
      </w:tr>
    </w:tbl>
    <w:p>
      <w:pPr>
        <w:spacing w:after="0" w:line="11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Product development costs increased by 42% to $20.2 million in the three months ended June 30, 2019 from $14.2 million in the comparable period in 2018. This variance was primarily attributable to increases in total compensation, recruiting expense and associated costs for product development personnel of approximately $2.9 million, in depreciation expense and backup server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420"/>
          </w:cols>
          <w:pgMar w:left="240" w:top="551" w:right="239" w:bottom="1440" w:gutter="0" w:footer="0" w:header="0"/>
        </w:sectPr>
      </w:pPr>
    </w:p>
    <w:bookmarkStart w:id="44" w:name="page45"/>
    <w:bookmarkEnd w:id="44"/>
    <w:p>
      <w:pPr>
        <w:jc w:val="both"/>
        <w:spacing w:after="0" w:line="278" w:lineRule="auto"/>
        <w:rPr>
          <w:sz w:val="20"/>
          <w:szCs w:val="20"/>
          <w:color w:val="auto"/>
        </w:rPr>
      </w:pPr>
      <w:r>
        <w:rPr>
          <w:rFonts w:ascii="Times New Roman" w:cs="Times New Roman" w:eastAsia="Times New Roman" w:hAnsi="Times New Roman"/>
          <w:sz w:val="17"/>
          <w:szCs w:val="17"/>
          <w:color w:val="auto"/>
        </w:rPr>
        <w:t>facilities and allocated overhead related to costs of supporting our server and network infrastructure of approximately $1.9 million, and in outsourcing and business services of approximately $1.2 million.</w:t>
      </w:r>
    </w:p>
    <w:p>
      <w:pPr>
        <w:spacing w:after="0" w:line="55"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Product development costs increased by 40% to $38.4 million in the six months ended June 30, 2019 from $27.5 million in the comparable period in 2018. This variance was primarily attributable to increases in total compensation, recruiting expense and associated costs for product development personnel of approximately $4.9 million, in depreciation expense and backup server facilities and allocated overhead related to costs of supporting our server and network infrastructure of approximately $3.8 million, and in outsourcing and business services of approximately $2.2 million.</w:t>
      </w:r>
    </w:p>
    <w:p>
      <w:pPr>
        <w:spacing w:after="0" w:line="7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We continue to invest in new product development efforts to expand the capability of LiveEngage. In accordance with ASC 350-40 - "Internal- Use Software," as new projects are initiated that provide functionality to the LiveEngage platform, the associated development and employee costs will be capitalized. Upon completion, the project costs will be depreciated over five years. In the three and six months ended June 30, 2019, $7.2 million and $12.6 million was capitalized, respectively, compared to $2.2 million and $4.7 million in the comparable periods in 2018.</w:t>
      </w: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Restructuring Costs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Restructuring costs consist of reprioritizing and reallocating resources to focus on areas showing high growth potential.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5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21"/>
                <w:szCs w:val="21"/>
                <w:color w:val="auto"/>
              </w:rPr>
            </w:pPr>
          </w:p>
        </w:tc>
        <w:tc>
          <w:tcPr>
            <w:tcW w:w="720" w:type="dxa"/>
            <w:vAlign w:val="bottom"/>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21"/>
                <w:szCs w:val="21"/>
                <w:color w:val="auto"/>
              </w:rPr>
            </w:pPr>
          </w:p>
        </w:tc>
        <w:tc>
          <w:tcPr>
            <w:tcW w:w="720" w:type="dxa"/>
            <w:vAlign w:val="bottom"/>
          </w:tcPr>
          <w:p>
            <w:pPr>
              <w:jc w:val="right"/>
              <w:ind w:right="26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7"/>
        </w:trPr>
        <w:tc>
          <w:tcPr>
            <w:tcW w:w="52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2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Restructuring costs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205</w:t>
            </w:r>
          </w:p>
        </w:tc>
        <w:tc>
          <w:tcPr>
            <w:tcW w:w="2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1,906</w:t>
            </w:r>
          </w:p>
        </w:tc>
        <w:tc>
          <w:tcPr>
            <w:tcW w:w="142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(89)%  $</w:t>
            </w:r>
          </w:p>
        </w:tc>
        <w:tc>
          <w:tcPr>
            <w:tcW w:w="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484</w:t>
            </w:r>
          </w:p>
        </w:tc>
        <w:tc>
          <w:tcPr>
            <w:tcW w:w="2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2,084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30"/>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4"/>
        </w:trPr>
        <w:tc>
          <w:tcPr>
            <w:tcW w:w="52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Percentage of total revenue</w:t>
            </w:r>
          </w:p>
        </w:tc>
        <w:tc>
          <w:tcPr>
            <w:tcW w:w="220" w:type="dxa"/>
            <w:vAlign w:val="bottom"/>
            <w:shd w:val="clear" w:color="auto" w:fill="CCFFCC"/>
          </w:tcPr>
          <w:p>
            <w:pPr>
              <w:spacing w:after="0"/>
              <w:rPr>
                <w:sz w:val="19"/>
                <w:szCs w:val="19"/>
                <w:color w:val="auto"/>
              </w:rPr>
            </w:pPr>
          </w:p>
        </w:tc>
        <w:tc>
          <w:tcPr>
            <w:tcW w:w="760" w:type="dxa"/>
            <w:vAlign w:val="bottom"/>
            <w:shd w:val="clear" w:color="auto" w:fill="CCFFCC"/>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60" w:type="dxa"/>
            <w:vAlign w:val="bottom"/>
            <w:shd w:val="clear" w:color="auto" w:fill="CCFFCC"/>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r>
      <w:tr>
        <w:trPr>
          <w:trHeight w:val="30"/>
        </w:trPr>
        <w:tc>
          <w:tcPr>
            <w:tcW w:w="522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r>
    </w:tbl>
    <w:p>
      <w:pPr>
        <w:spacing w:after="0" w:line="8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Restructuring costs decreased by 89% and 77% to approximately $0.2 million and $0.5 million during the three months and six months ended June 30, 2019, respectively, from $1.9 million and $2.1 million in the comparable periods in 2018. This variance was primarily attributable to a decrease of severance costs . Severance costs are associated with re-prioritizing and reallocating resources to focus on areas showing high growth potential.</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Amortization of Purchased Intangibles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21"/>
                <w:szCs w:val="21"/>
                <w:color w:val="auto"/>
              </w:rPr>
            </w:pPr>
          </w:p>
        </w:tc>
        <w:tc>
          <w:tcPr>
            <w:tcW w:w="700" w:type="dxa"/>
            <w:vAlign w:val="bottom"/>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21"/>
                <w:szCs w:val="21"/>
                <w:color w:val="auto"/>
              </w:rPr>
            </w:pPr>
          </w:p>
        </w:tc>
        <w:tc>
          <w:tcPr>
            <w:tcW w:w="700" w:type="dxa"/>
            <w:vAlign w:val="bottom"/>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7"/>
        </w:trPr>
        <w:tc>
          <w:tcPr>
            <w:tcW w:w="5320" w:type="dxa"/>
            <w:vAlign w:val="bottom"/>
            <w:tcBorders>
              <w:bottom w:val="single" w:sz="8" w:color="CCFFC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940" w:type="dxa"/>
            <w:vAlign w:val="bottom"/>
            <w:tcBorders>
              <w:top w:val="single" w:sz="8" w:color="auto"/>
              <w:bottom w:val="single" w:sz="8" w:color="CCFFCC"/>
            </w:tcBorders>
          </w:tcPr>
          <w:p>
            <w:pPr>
              <w:spacing w:after="0"/>
              <w:rPr>
                <w:sz w:val="21"/>
                <w:szCs w:val="21"/>
                <w:color w:val="auto"/>
              </w:rPr>
            </w:pPr>
          </w:p>
        </w:tc>
        <w:tc>
          <w:tcPr>
            <w:tcW w:w="100" w:type="dxa"/>
            <w:vAlign w:val="bottom"/>
            <w:tcBorders>
              <w:bottom w:val="single" w:sz="8" w:color="CCFFC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940" w:type="dxa"/>
            <w:vAlign w:val="bottom"/>
            <w:tcBorders>
              <w:top w:val="single" w:sz="8" w:color="auto"/>
              <w:bottom w:val="single" w:sz="8" w:color="CCFFCC"/>
            </w:tcBorders>
          </w:tcPr>
          <w:p>
            <w:pPr>
              <w:spacing w:after="0"/>
              <w:rPr>
                <w:sz w:val="21"/>
                <w:szCs w:val="21"/>
                <w:color w:val="auto"/>
              </w:rPr>
            </w:pPr>
          </w:p>
        </w:tc>
      </w:tr>
      <w:tr>
        <w:trPr>
          <w:trHeight w:val="232"/>
        </w:trPr>
        <w:tc>
          <w:tcPr>
            <w:tcW w:w="5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Amortization of purchased intangibles</w:t>
            </w: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FFCC"/>
            </w:tcBorders>
            <w:shd w:val="clear" w:color="auto" w:fill="CCFFCC"/>
          </w:tcPr>
          <w:p>
            <w:pPr>
              <w:jc w:val="right"/>
              <w:ind w:right="129"/>
              <w:spacing w:after="0"/>
              <w:rPr>
                <w:sz w:val="20"/>
                <w:szCs w:val="20"/>
                <w:color w:val="auto"/>
              </w:rPr>
            </w:pPr>
            <w:r>
              <w:rPr>
                <w:rFonts w:ascii="Times New Roman" w:cs="Times New Roman" w:eastAsia="Times New Roman" w:hAnsi="Times New Roman"/>
                <w:sz w:val="15"/>
                <w:szCs w:val="15"/>
                <w:color w:val="auto"/>
              </w:rPr>
              <w:t>438</w:t>
            </w:r>
          </w:p>
        </w:tc>
        <w:tc>
          <w:tcPr>
            <w:tcW w:w="28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FFCC"/>
            </w:tcBorders>
            <w:shd w:val="clear" w:color="auto" w:fill="CCFFCC"/>
          </w:tcPr>
          <w:p>
            <w:pPr>
              <w:jc w:val="right"/>
              <w:ind w:right="67"/>
              <w:spacing w:after="0"/>
              <w:rPr>
                <w:sz w:val="20"/>
                <w:szCs w:val="20"/>
                <w:color w:val="auto"/>
              </w:rPr>
            </w:pPr>
            <w:r>
              <w:rPr>
                <w:rFonts w:ascii="Times New Roman" w:cs="Times New Roman" w:eastAsia="Times New Roman" w:hAnsi="Times New Roman"/>
                <w:sz w:val="15"/>
                <w:szCs w:val="15"/>
                <w:color w:val="auto"/>
              </w:rPr>
              <w:t>424</w:t>
            </w:r>
          </w:p>
        </w:tc>
        <w:tc>
          <w:tcPr>
            <w:tcW w:w="136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Times New Roman" w:cs="Times New Roman" w:eastAsia="Times New Roman" w:hAnsi="Times New Roman"/>
                <w:sz w:val="15"/>
                <w:szCs w:val="15"/>
                <w:color w:val="auto"/>
              </w:rPr>
              <w:t>3%  $</w:t>
            </w:r>
          </w:p>
        </w:tc>
        <w:tc>
          <w:tcPr>
            <w:tcW w:w="760" w:type="dxa"/>
            <w:vAlign w:val="bottom"/>
            <w:tcBorders>
              <w:bottom w:val="single" w:sz="8" w:color="CCFFCC"/>
            </w:tcBorders>
            <w:shd w:val="clear" w:color="auto" w:fill="CCFFCC"/>
          </w:tcPr>
          <w:p>
            <w:pPr>
              <w:jc w:val="right"/>
              <w:ind w:right="129"/>
              <w:spacing w:after="0"/>
              <w:rPr>
                <w:sz w:val="20"/>
                <w:szCs w:val="20"/>
                <w:color w:val="auto"/>
              </w:rPr>
            </w:pPr>
            <w:r>
              <w:rPr>
                <w:rFonts w:ascii="Times New Roman" w:cs="Times New Roman" w:eastAsia="Times New Roman" w:hAnsi="Times New Roman"/>
                <w:sz w:val="15"/>
                <w:szCs w:val="15"/>
                <w:color w:val="auto"/>
              </w:rPr>
              <w:t>899</w:t>
            </w:r>
          </w:p>
        </w:tc>
        <w:tc>
          <w:tcPr>
            <w:tcW w:w="280" w:type="dxa"/>
            <w:vAlign w:val="bottom"/>
            <w:tcBorders>
              <w:bottom w:val="single" w:sz="8" w:color="CCFFCC"/>
            </w:tcBorders>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FFCC"/>
            </w:tcBorders>
            <w:shd w:val="clear" w:color="auto" w:fill="CCFFCC"/>
          </w:tcPr>
          <w:p>
            <w:pPr>
              <w:jc w:val="right"/>
              <w:ind w:right="67"/>
              <w:spacing w:after="0"/>
              <w:rPr>
                <w:sz w:val="20"/>
                <w:szCs w:val="20"/>
                <w:color w:val="auto"/>
              </w:rPr>
            </w:pPr>
            <w:r>
              <w:rPr>
                <w:rFonts w:ascii="Times New Roman" w:cs="Times New Roman" w:eastAsia="Times New Roman" w:hAnsi="Times New Roman"/>
                <w:sz w:val="15"/>
                <w:szCs w:val="15"/>
                <w:color w:val="auto"/>
              </w:rPr>
              <w:t>848</w:t>
            </w:r>
          </w:p>
        </w:tc>
        <w:tc>
          <w:tcPr>
            <w:tcW w:w="1040" w:type="dxa"/>
            <w:vAlign w:val="bottom"/>
            <w:tcBorders>
              <w:bottom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Percentage of total revenues</w:t>
            </w:r>
          </w:p>
        </w:tc>
        <w:tc>
          <w:tcPr>
            <w:tcW w:w="22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1%</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1%</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11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Amortization expense for purchased intangibles increased by 3% and 6% to $0.4 million and $0.9 million in the three and six months ended June 30, 2019, respectively, from $0.4 million and $0.8 million in the comparable periods in 2018. This variance was primarily attributable to amortization of acquisitions capitalized during the fourth quarter of 2018.</w:t>
      </w:r>
    </w:p>
    <w:p>
      <w:pPr>
        <w:spacing w:after="0" w:line="6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Additional amortization expense in the amount of $0.3 million and $0.6 million in the three and six months ended June 30, 2019 and 2018 is included in cost of revenue.</w:t>
      </w:r>
    </w:p>
    <w:p>
      <w:pPr>
        <w:spacing w:after="0" w:line="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14"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Other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5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21"/>
                <w:szCs w:val="21"/>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13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21"/>
                <w:szCs w:val="21"/>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7"/>
        </w:trPr>
        <w:tc>
          <w:tcPr>
            <w:tcW w:w="5380" w:type="dxa"/>
            <w:vAlign w:val="bottom"/>
            <w:tcBorders>
              <w:bottom w:val="single" w:sz="8" w:color="CCFFC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1000" w:type="dxa"/>
            <w:vAlign w:val="bottom"/>
            <w:tcBorders>
              <w:top w:val="single" w:sz="8" w:color="auto"/>
              <w:bottom w:val="single" w:sz="8" w:color="CCFFCC"/>
            </w:tcBorders>
          </w:tcPr>
          <w:p>
            <w:pPr>
              <w:spacing w:after="0"/>
              <w:rPr>
                <w:sz w:val="21"/>
                <w:szCs w:val="21"/>
                <w:color w:val="auto"/>
              </w:rPr>
            </w:pPr>
          </w:p>
        </w:tc>
        <w:tc>
          <w:tcPr>
            <w:tcW w:w="100" w:type="dxa"/>
            <w:vAlign w:val="bottom"/>
            <w:tcBorders>
              <w:bottom w:val="single" w:sz="8" w:color="CCFFC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980" w:type="dxa"/>
            <w:vAlign w:val="bottom"/>
            <w:tcBorders>
              <w:top w:val="single" w:sz="8" w:color="auto"/>
              <w:bottom w:val="single" w:sz="8" w:color="CCFFCC"/>
            </w:tcBorders>
          </w:tcPr>
          <w:p>
            <w:pPr>
              <w:spacing w:after="0"/>
              <w:rPr>
                <w:sz w:val="21"/>
                <w:szCs w:val="21"/>
                <w:color w:val="auto"/>
              </w:rPr>
            </w:pPr>
          </w:p>
        </w:tc>
      </w:tr>
      <w:tr>
        <w:trPr>
          <w:trHeight w:val="222"/>
        </w:trPr>
        <w:tc>
          <w:tcPr>
            <w:tcW w:w="53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Other (expense) income, net</w:t>
            </w:r>
          </w:p>
        </w:tc>
        <w:tc>
          <w:tcPr>
            <w:tcW w:w="2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5"/>
                <w:szCs w:val="15"/>
                <w:color w:val="auto"/>
              </w:rPr>
              <w:t>(2,267)</w:t>
            </w:r>
          </w:p>
        </w:tc>
        <w:tc>
          <w:tcPr>
            <w:tcW w:w="2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5"/>
                <w:szCs w:val="15"/>
                <w:color w:val="auto"/>
              </w:rPr>
              <w:t>31</w:t>
            </w:r>
          </w:p>
        </w:tc>
        <w:tc>
          <w:tcPr>
            <w:tcW w:w="1400" w:type="dxa"/>
            <w:vAlign w:val="bottom"/>
            <w:gridSpan w:val="4"/>
            <w:shd w:val="clear" w:color="auto" w:fill="CCFFCC"/>
          </w:tcPr>
          <w:p>
            <w:pPr>
              <w:jc w:val="right"/>
              <w:ind w:right="100"/>
              <w:spacing w:after="0"/>
              <w:rPr>
                <w:sz w:val="20"/>
                <w:szCs w:val="20"/>
                <w:color w:val="auto"/>
              </w:rPr>
            </w:pPr>
            <w:r>
              <w:rPr>
                <w:rFonts w:ascii="Times New Roman" w:cs="Times New Roman" w:eastAsia="Times New Roman" w:hAnsi="Times New Roman"/>
                <w:sz w:val="15"/>
                <w:szCs w:val="15"/>
                <w:color w:val="auto"/>
              </w:rPr>
              <w:t>(7,413)%  $</w:t>
            </w:r>
          </w:p>
        </w:tc>
        <w:tc>
          <w:tcPr>
            <w:tcW w:w="7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5"/>
                <w:szCs w:val="15"/>
                <w:color w:val="auto"/>
              </w:rPr>
              <w:t>(2,201)</w:t>
            </w:r>
          </w:p>
        </w:tc>
        <w:tc>
          <w:tcPr>
            <w:tcW w:w="2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5"/>
                <w:szCs w:val="15"/>
                <w:color w:val="auto"/>
              </w:rPr>
              <w:t>160</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(1,476)%</w:t>
            </w:r>
          </w:p>
        </w:tc>
      </w:tr>
      <w:tr>
        <w:trPr>
          <w:trHeight w:val="30"/>
        </w:trPr>
        <w:tc>
          <w:tcPr>
            <w:tcW w:w="53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r>
    </w:tbl>
    <w:p>
      <w:pPr>
        <w:spacing w:after="0" w:line="8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Other expense, net increased to $2.3 million and $2.2 million in the three and six months ended June 30, 2019, respectively, from other income, net of $0.1 million and $0.2 million in the comparable periods in 2018 due to interest expense attributable to the 0.750% Convertible Senior Notes due 2024 (the "Notes") partially offset by interest income on cash and cash equivalents and financial income which is attributable to currency rate fluctuations.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420"/>
          </w:cols>
          <w:pgMar w:left="240" w:top="555" w:right="239" w:bottom="1440" w:gutter="0" w:footer="0" w:header="0"/>
        </w:sectPr>
      </w:pPr>
    </w:p>
    <w:bookmarkStart w:id="45" w:name="page46"/>
    <w:bookmarkEnd w:id="45"/>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7"/>
        </w:trPr>
        <w:tc>
          <w:tcPr>
            <w:tcW w:w="5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21"/>
                <w:szCs w:val="21"/>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1"/>
                <w:szCs w:val="21"/>
                <w:color w:val="auto"/>
              </w:rPr>
            </w:pP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21"/>
                <w:szCs w:val="21"/>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7"/>
        </w:trPr>
        <w:tc>
          <w:tcPr>
            <w:tcW w:w="5380" w:type="dxa"/>
            <w:vAlign w:val="bottom"/>
            <w:tcBorders>
              <w:bottom w:val="single" w:sz="8" w:color="CCFFC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FFCC"/>
            </w:tcBorders>
          </w:tcPr>
          <w:p>
            <w:pPr>
              <w:spacing w:after="0"/>
              <w:rPr>
                <w:sz w:val="21"/>
                <w:szCs w:val="21"/>
                <w:color w:val="auto"/>
              </w:rPr>
            </w:pPr>
          </w:p>
        </w:tc>
        <w:tc>
          <w:tcPr>
            <w:tcW w:w="960" w:type="dxa"/>
            <w:vAlign w:val="bottom"/>
            <w:tcBorders>
              <w:top w:val="single" w:sz="8" w:color="auto"/>
              <w:bottom w:val="single" w:sz="8" w:color="CCFFCC"/>
            </w:tcBorders>
          </w:tcPr>
          <w:p>
            <w:pPr>
              <w:spacing w:after="0"/>
              <w:rPr>
                <w:sz w:val="21"/>
                <w:szCs w:val="21"/>
                <w:color w:val="auto"/>
              </w:rPr>
            </w:pPr>
          </w:p>
        </w:tc>
        <w:tc>
          <w:tcPr>
            <w:tcW w:w="120" w:type="dxa"/>
            <w:vAlign w:val="bottom"/>
            <w:tcBorders>
              <w:bottom w:val="single" w:sz="8" w:color="CCFFC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940" w:type="dxa"/>
            <w:vAlign w:val="bottom"/>
            <w:tcBorders>
              <w:top w:val="single" w:sz="8" w:color="auto"/>
              <w:bottom w:val="single" w:sz="8" w:color="CCFFCC"/>
            </w:tcBorders>
          </w:tcPr>
          <w:p>
            <w:pPr>
              <w:spacing w:after="0"/>
              <w:rPr>
                <w:sz w:val="21"/>
                <w:szCs w:val="21"/>
                <w:color w:val="auto"/>
              </w:rPr>
            </w:pPr>
          </w:p>
        </w:tc>
      </w:tr>
      <w:tr>
        <w:trPr>
          <w:trHeight w:val="222"/>
        </w:trPr>
        <w:tc>
          <w:tcPr>
            <w:tcW w:w="53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5"/>
                <w:szCs w:val="15"/>
                <w:color w:val="auto"/>
              </w:rPr>
              <w:t>699</w:t>
            </w:r>
          </w:p>
        </w:tc>
        <w:tc>
          <w:tcPr>
            <w:tcW w:w="32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FFCC"/>
          </w:tcPr>
          <w:p>
            <w:pPr>
              <w:jc w:val="right"/>
              <w:ind w:right="48"/>
              <w:spacing w:after="0"/>
              <w:rPr>
                <w:sz w:val="20"/>
                <w:szCs w:val="20"/>
                <w:color w:val="auto"/>
              </w:rPr>
            </w:pPr>
            <w:r>
              <w:rPr>
                <w:rFonts w:ascii="Times New Roman" w:cs="Times New Roman" w:eastAsia="Times New Roman" w:hAnsi="Times New Roman"/>
                <w:sz w:val="15"/>
                <w:szCs w:val="15"/>
                <w:color w:val="auto"/>
              </w:rPr>
              <w:t>536</w:t>
            </w:r>
          </w:p>
        </w:tc>
        <w:tc>
          <w:tcPr>
            <w:tcW w:w="1400" w:type="dxa"/>
            <w:vAlign w:val="bottom"/>
            <w:gridSpan w:val="4"/>
            <w:shd w:val="clear" w:color="auto" w:fill="CCFFCC"/>
          </w:tcPr>
          <w:p>
            <w:pPr>
              <w:jc w:val="right"/>
              <w:ind w:right="100"/>
              <w:spacing w:after="0"/>
              <w:rPr>
                <w:sz w:val="20"/>
                <w:szCs w:val="20"/>
                <w:color w:val="auto"/>
              </w:rPr>
            </w:pPr>
            <w:r>
              <w:rPr>
                <w:rFonts w:ascii="Times New Roman" w:cs="Times New Roman" w:eastAsia="Times New Roman" w:hAnsi="Times New Roman"/>
                <w:sz w:val="15"/>
                <w:szCs w:val="15"/>
                <w:color w:val="auto"/>
              </w:rPr>
              <w:t>30%  $</w:t>
            </w:r>
          </w:p>
        </w:tc>
        <w:tc>
          <w:tcPr>
            <w:tcW w:w="70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5"/>
                <w:szCs w:val="15"/>
                <w:color w:val="auto"/>
              </w:rPr>
              <w:t>1,292</w:t>
            </w:r>
          </w:p>
        </w:tc>
        <w:tc>
          <w:tcPr>
            <w:tcW w:w="2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5"/>
                <w:szCs w:val="15"/>
                <w:color w:val="auto"/>
              </w:rPr>
              <w:t>47</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5"/>
                <w:szCs w:val="15"/>
                <w:color w:val="auto"/>
              </w:rPr>
              <w:t>2,649%</w:t>
            </w:r>
          </w:p>
        </w:tc>
      </w:tr>
      <w:tr>
        <w:trPr>
          <w:trHeight w:val="30"/>
        </w:trPr>
        <w:tc>
          <w:tcPr>
            <w:tcW w:w="53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r>
    </w:tbl>
    <w:p>
      <w:pPr>
        <w:spacing w:after="0" w:line="8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Provision for income taxes increased to $0.7 million and $1.3 million in the three and six months ended June 30, 2019, respectively, from $0.5 million and $0.1 million in the comparable periods in 2018. Our consolidated effective tax rate was impacted by the statutory income tax rates applicable to each of the jurisdictions in which we operate.</w:t>
      </w:r>
    </w:p>
    <w:p>
      <w:pPr>
        <w:spacing w:after="0" w:line="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Loss</w:t>
      </w:r>
    </w:p>
    <w:p>
      <w:pPr>
        <w:spacing w:after="0" w:line="114"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We had a net loss of $24.0 million in the three months ended June 30, 2019 compared to a net loss of $8.3 million for the three months ended June 30, 2018. During the three months ended June 30, 2019, there were increases in revenue of approximately $9.3 million, increases in operating expenses of approximately $22.5 million, increases in other (expense) income, net of approximately $2.3 million, and increase in provision for income taxes of approximately $0.2 million.</w:t>
      </w:r>
    </w:p>
    <w:p>
      <w:pPr>
        <w:spacing w:after="0" w:line="67"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We had a net loss of $42.9 million in the six months ended June 30, 2019 compared to a net loss of $11.5 million for the six months ended June 30, 2018. During the six months ended June 30, 2019, there were increases in revenue of approximately $17.5 million, increases in operating expenses of approximately $45.2 million, increases in other (expense) income, net of approximately $2.4 million, and increase in provision for income taxes of approximately $1.2 million.</w:t>
      </w:r>
    </w:p>
    <w:p>
      <w:pPr>
        <w:sectPr>
          <w:pgSz w:w="11900" w:h="16838" w:orient="portrait"/>
          <w:cols w:equalWidth="0" w:num="1">
            <w:col w:w="11420"/>
          </w:cols>
          <w:pgMar w:left="240" w:top="5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784860</wp:posOffset>
            </wp:positionV>
            <wp:extent cx="7254875" cy="169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Consolidated Statements of Cash Flows Data:</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54875" cy="161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1612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Cash flows used in investing activities</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Cash flows provided by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662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243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4"/>
        </w:trPr>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Borders>
              <w:bottom w:val="single" w:sz="8" w:color="auto"/>
            </w:tcBorders>
          </w:tcPr>
          <w:p>
            <w:pPr>
              <w:spacing w:after="0"/>
              <w:rPr>
                <w:sz w:val="20"/>
                <w:szCs w:val="20"/>
                <w:color w:val="auto"/>
              </w:rPr>
            </w:pPr>
          </w:p>
        </w:tc>
      </w:tr>
      <w:tr>
        <w:trPr>
          <w:trHeight w:val="476"/>
        </w:trPr>
        <w:tc>
          <w:tcPr>
            <w:tcW w:w="2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(28,912)</w:t>
            </w:r>
          </w:p>
        </w:tc>
        <w:tc>
          <w:tcPr>
            <w:tcW w:w="5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(2,007)</w:t>
            </w:r>
          </w:p>
        </w:tc>
      </w:tr>
      <w:tr>
        <w:trPr>
          <w:trHeight w:val="254"/>
        </w:trPr>
        <w:tc>
          <w:tcPr>
            <w:tcW w:w="280" w:type="dxa"/>
            <w:vAlign w:val="bottom"/>
          </w:tcPr>
          <w:p>
            <w:pPr>
              <w:spacing w:after="0"/>
              <w:rPr>
                <w:sz w:val="22"/>
                <w:szCs w:val="22"/>
                <w:color w:val="auto"/>
              </w:rPr>
            </w:pPr>
          </w:p>
        </w:tc>
        <w:tc>
          <w:tcPr>
            <w:tcW w:w="102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(21,675)</w:t>
            </w:r>
          </w:p>
        </w:tc>
        <w:tc>
          <w:tcPr>
            <w:tcW w:w="5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(8,821)</w:t>
            </w:r>
          </w:p>
        </w:tc>
      </w:tr>
      <w:tr>
        <w:trPr>
          <w:trHeight w:val="254"/>
        </w:trPr>
        <w:tc>
          <w:tcPr>
            <w:tcW w:w="280" w:type="dxa"/>
            <w:vAlign w:val="bottom"/>
          </w:tcPr>
          <w:p>
            <w:pPr>
              <w:spacing w:after="0"/>
              <w:rPr>
                <w:sz w:val="22"/>
                <w:szCs w:val="22"/>
                <w:color w:val="auto"/>
              </w:rPr>
            </w:pPr>
          </w:p>
        </w:tc>
        <w:tc>
          <w:tcPr>
            <w:tcW w:w="1020" w:type="dxa"/>
            <w:vAlign w:val="bottom"/>
          </w:tcPr>
          <w:p>
            <w:pPr>
              <w:jc w:val="right"/>
              <w:ind w:right="187"/>
              <w:spacing w:after="0"/>
              <w:rPr>
                <w:sz w:val="20"/>
                <w:szCs w:val="20"/>
                <w:color w:val="auto"/>
              </w:rPr>
            </w:pPr>
            <w:r>
              <w:rPr>
                <w:rFonts w:ascii="Times New Roman" w:cs="Times New Roman" w:eastAsia="Times New Roman" w:hAnsi="Times New Roman"/>
                <w:sz w:val="15"/>
                <w:szCs w:val="15"/>
                <w:color w:val="auto"/>
              </w:rPr>
              <w:t>208,986</w:t>
            </w:r>
          </w:p>
        </w:tc>
        <w:tc>
          <w:tcPr>
            <w:tcW w:w="540" w:type="dxa"/>
            <w:vAlign w:val="bottom"/>
          </w:tcPr>
          <w:p>
            <w:pPr>
              <w:spacing w:after="0"/>
              <w:rPr>
                <w:sz w:val="22"/>
                <w:szCs w:val="22"/>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24,322</w:t>
            </w:r>
          </w:p>
        </w:tc>
      </w:tr>
    </w:tbl>
    <w:p>
      <w:pPr>
        <w:spacing w:after="0" w:line="115" w:lineRule="exact"/>
        <w:rPr>
          <w:sz w:val="20"/>
          <w:szCs w:val="20"/>
          <w:color w:val="auto"/>
        </w:rPr>
      </w:pPr>
    </w:p>
    <w:p>
      <w:pPr>
        <w:sectPr>
          <w:pgSz w:w="11900" w:h="16838" w:orient="portrait"/>
          <w:cols w:equalWidth="0" w:num="2">
            <w:col w:w="8080" w:space="720"/>
            <w:col w:w="2620"/>
          </w:cols>
          <w:pgMar w:left="240" w:top="551" w:right="239" w:bottom="1440" w:gutter="0" w:footer="0" w:header="0"/>
          <w:type w:val="continuous"/>
        </w:sect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As of June 30, 2019, we had approximately $224.7 million in cash and cash equivalents, an increase of approximately $158.3 million from December 31, 2018. The increase is primarily attributable to cash provided by investing activities relating to issuance of the Notes, as described in Note 8 to the Condensed Consolidated Financial Statements, and cash provided by financing activities relating to issuance of common stock. This was partially offset by purchases of capped calls, as described in Note 8 to the Condensed Consolidated Financial Statements, fixed assets for our co-location facilities and capitalization of internally developed software, and debt issuance costs, as well as decreases in accrued expenses and accounts payable and increases in prepaid expenses and accounts receivable.</w:t>
      </w:r>
    </w:p>
    <w:p>
      <w:pPr>
        <w:spacing w:after="0" w:line="76"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Net cash used in operating activities was $28.9 million for the six months ended June 30, 2019 and consisted primarily of net loss, a decrease in accrued expenses and accounts payable and increases in prepaid expenses and accounts receivable. This was partially offset by increases in deferred revenue and non-cash expenses related to depreciation, stock compensation, accretion of debt discount, and amortization of purchased intangibles. The increase in deferred revenue was primarily related to changes in our billing terms for some of our larger customers. Net cash used in operating activities was $2.0 million for the six months ended June 30, 2018 and consisted primarily of net loss and increases in prepaid expenses and other current assets and accounts receivable and decreases in accrued expenses. This was partially offset by increases in deferred revenue and non-cash expenses related to depreciation, stock compensation, and amortization of purchased intangibles. The increase in accounts receivable and deferred revenue was primarily related to changes in our billing terms for some of our larger customers.</w:t>
      </w:r>
    </w:p>
    <w:p>
      <w:pPr>
        <w:spacing w:after="0" w:line="77"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Net cash used in investing activities was $21.7 million in the six months ended June 30, 2019 and consisted primarily of the purchase of fixed assets for our co-location facilities and capitalization of internally developed software. Net cash used in investing activities was $8.8 million in the six months ended June 30, 2018 and was due primarily to the purchase of fixed assets for our co-location facilities and capitalization of internally developed software and the BotCentral assets acquired, partially offset by a release of restricted cash used with foreign currency forward contracts.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420"/>
          </w:cols>
          <w:pgMar w:left="240" w:top="551" w:right="239" w:bottom="1440" w:gutter="0" w:footer="0" w:header="0"/>
          <w:type w:val="continuous"/>
        </w:sectPr>
      </w:pPr>
    </w:p>
    <w:bookmarkStart w:id="46" w:name="page47"/>
    <w:bookmarkEnd w:id="46"/>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Net cash provided by financing activities was $209.0 million in the six months ended June 30, 2019 and consisted primarily of proceeds from issuance of the Notes and proceeds from issuance of common stock in connection with the exercise of stock options by employees. This was partially offset by purchases of capped calls, debt issuance costs, and repurchase of our common stock. The net proceeds of the Notes was approximately $221.0 million, after deducting initial purchaser debt issuance costs paid or payable by us, from issuance of the Notes, as described in Note 8 to the Condensed Consolidated Financial Statements. Net cash provided by financing activities was $24.3 million in the six months ended June 30, 2018. This was due primarily to proceeds from the issuance of common stock in connection with the exercise of stock options by employees, partially offset by repurchase of our common stock.</w:t>
      </w:r>
    </w:p>
    <w:p>
      <w:pPr>
        <w:spacing w:after="0" w:line="75"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June 30, 2019, we had an accumulated deficit of approximately $230.4 million.</w:t>
      </w:r>
    </w:p>
    <w:p>
      <w:pPr>
        <w:spacing w:after="0" w:line="71"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Our principal source of liquidity is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engage in off-balance sheet financing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Risks</w:t>
      </w:r>
    </w:p>
    <w:p>
      <w:pPr>
        <w:spacing w:after="0" w:line="114"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Our Israeli operations have currency rate fluctuation risk associated with the exchange rate movement of the U.S. dollar against the New Israeli Shekel (“NIS”). During the three months ended June 30, 2019, the U.S. dollar appreciated by approximately 1% as compared to the NIS while the exchange rate remained flat during the six months ended June 30, 2019. During the three and six months ended June 30, 2019, expenses generated by our Israeli operations totaled approximately $16.0 million and $30.5 million.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Collection Risks</w:t>
      </w:r>
    </w:p>
    <w:p>
      <w:pPr>
        <w:spacing w:after="0" w:line="114"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the six months ended June 30, 2019, our allowance for doubtful accounts increased by $0.6 million to approximately $2.9 million. During the year ended December 31, 2018, our allowance for doubtful accounts increased by $1.0 million to approximately $2.3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420"/>
          </w:cols>
          <w:pgMar w:left="240" w:top="555" w:right="239" w:bottom="1440" w:gutter="0" w:footer="0" w:header="0"/>
        </w:sectPr>
      </w:pPr>
    </w:p>
    <w:bookmarkStart w:id="47" w:name="page48"/>
    <w:bookmarkEnd w:id="47"/>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Our investments consist of cash and cash equivalents. Therefore, changes in the market’s interest rates do not affect in any material respect the value of the investments as recorded by us.</w:t>
      </w:r>
    </w:p>
    <w:p>
      <w:pPr>
        <w:spacing w:after="0" w:line="5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In March 2019, we issued $230.0 million in aggregate principal amount of the Notes, as discussed in Note 8 to the Condensed Consolidated Financial Statements. As the Notes have a fixed annual interest rate, we have no financial and economic interest exposure associated with changes in interest rates. However, the fair value of the Notes changes when the market price of our stock fluctuates or interest rates change.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114"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420"/>
          </w:cols>
          <w:pgMar w:left="240" w:top="555"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14"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June 30, 2019. Based on that evaluation, the Chief Executive Officer and Chief Financial Officer concluded that our disclosure controls and procedures were effective as of June 30, 2019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14"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quarter ended June 30, 2019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of the Effectiveness of Internal Control</w:t>
      </w:r>
    </w:p>
    <w:p>
      <w:pPr>
        <w:spacing w:after="0" w:line="114"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317"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our favor have invalidated the majority of [24]7 patents that were asserted in the patent cases. Trial for our intellectual property and other claims asserted against [24]7 in the original litigation is currently set for October 1, 2019. We believe the claims filed by [24]7 are entirely without merit and intend to defend them vigorously.</w:t>
      </w:r>
    </w:p>
    <w:p>
      <w:pPr>
        <w:spacing w:after="0" w:line="7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55"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80"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420"/>
          </w:cols>
          <w:pgMar w:left="240" w:top="551" w:right="239" w:bottom="1440" w:gutter="0" w:footer="0" w:header="0"/>
        </w:sectPr>
      </w:pPr>
    </w:p>
    <w:bookmarkStart w:id="49" w:name="page50"/>
    <w:bookmarkEnd w:id="49"/>
    <w:p>
      <w:pPr>
        <w:spacing w:after="0" w:line="278" w:lineRule="auto"/>
        <w:rPr>
          <w:sz w:val="20"/>
          <w:szCs w:val="20"/>
          <w:color w:val="auto"/>
        </w:rPr>
      </w:pPr>
      <w:r>
        <w:rPr>
          <w:rFonts w:ascii="Times New Roman" w:cs="Times New Roman" w:eastAsia="Times New Roman" w:hAnsi="Times New Roman"/>
          <w:sz w:val="17"/>
          <w:szCs w:val="17"/>
          <w:color w:val="auto"/>
        </w:rPr>
        <w:t>claims. Regardless of the outcome, litigation can have an adverse impact on us because of defense and settlement costs, diversion of management resources and other factors.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4" w:lineRule="exact"/>
        <w:rPr>
          <w:sz w:val="20"/>
          <w:szCs w:val="20"/>
          <w:color w:val="auto"/>
        </w:rPr>
      </w:pPr>
    </w:p>
    <w:p>
      <w:pPr>
        <w:ind w:firstLine="610"/>
        <w:spacing w:after="0" w:line="259" w:lineRule="auto"/>
        <w:rPr>
          <w:sz w:val="20"/>
          <w:szCs w:val="20"/>
          <w:color w:val="auto"/>
        </w:rPr>
      </w:pPr>
      <w:r>
        <w:rPr>
          <w:rFonts w:ascii="Times New Roman" w:cs="Times New Roman" w:eastAsia="Times New Roman" w:hAnsi="Times New Roman"/>
          <w:sz w:val="17"/>
          <w:szCs w:val="17"/>
          <w:color w:val="auto"/>
        </w:rPr>
        <w:t>Our operations and financial results are subject to various risks and uncertainties, including those described in Part I, Item 1A. “Risk Factors” in our Annual Report on Form 10-K for the year ended December 31, 2018, filed on February 25, 2019,</w:t>
      </w:r>
    </w:p>
    <w:p>
      <w:pPr>
        <w:spacing w:after="0" w:line="259" w:lineRule="auto"/>
        <w:rPr>
          <w:sz w:val="20"/>
          <w:szCs w:val="20"/>
          <w:color w:val="auto"/>
        </w:rPr>
      </w:pPr>
      <w:r>
        <w:rPr>
          <w:rFonts w:ascii="Times New Roman" w:cs="Times New Roman" w:eastAsia="Times New Roman" w:hAnsi="Times New Roman"/>
          <w:sz w:val="17"/>
          <w:szCs w:val="17"/>
          <w:color w:val="auto"/>
        </w:rPr>
        <w:t>which could adversely affect our business, financial condition, results of operations, cash flows, and the trading price of our common stock. Other than as set forth below, there have been no material changes to the risk factors described in our most recent Annual Report on Form 10-K.</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Notes</w:t>
      </w:r>
    </w:p>
    <w:p>
      <w:pPr>
        <w:spacing w:after="0" w:line="2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Servicing our future debt may require a significant amount of cash, and we may not have sufficient cash flow from our business to pay our indebtedness.</w:t>
      </w:r>
    </w:p>
    <w:p>
      <w:pPr>
        <w:spacing w:after="0" w:line="215" w:lineRule="exact"/>
        <w:rPr>
          <w:sz w:val="20"/>
          <w:szCs w:val="20"/>
          <w:color w:val="auto"/>
        </w:rPr>
      </w:pPr>
    </w:p>
    <w:p>
      <w:pPr>
        <w:jc w:val="both"/>
        <w:ind w:left="80" w:firstLine="521"/>
        <w:spacing w:after="0" w:line="253"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our Notes or any additional future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current or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77"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may not have the ability to raise the funds necessary to settle conversions of the Notes in cash or to repurchase the Notes upon a fundamental change, and any future debt may contain limitations on our ability to pay cash upon conversion or repurchase of the Notes.</w:t>
      </w:r>
    </w:p>
    <w:p>
      <w:pPr>
        <w:spacing w:after="0" w:line="153"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Holders of the Notes have the right to require us to repurchase all or a portion of their Notes upon the occurrence of a fundamental change before the maturity date at a fundamental change repurchase price equal to 100% of the principal amount of the Notes to be repurchased, plus accrued and unpaid interest, if any. In addition, upon conversion of the Notes, unless we elect to deliver solely shares of our common stock to settle such conversion (other than paying cash in lieu of delivering any fractional share), we are required to make cash payments in respect of the Notes being converted. However, we may not have enough available cash or be able to obtain financing at the time we are required to make repurchases of Notes surrendered therefor or pay cash with respect to Notes being converted. In addition, our ability to repurchase Notes or to pay cash upon conversions of Notes may be limited by law, regulatory authority, or any agreements governing our future indebtedness. Our failure to repurchase Notes at a time when the repurchase is required by the indenture or to pay any cash upon conversions of Notes as required by the indenture would constitute a default under the indenture. A default under the indenture or the fundamental change itself could also lead to a default under agreements governing any future indebtedness. If the payment of the related indebtedness were to be accelerated after any applicable notice or grace periods, we may not have sufficient funds to repay the indebtedness and repurchase the Notes or to pay cash upon conversions of Notes.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conditional conversion feature of the Notes, if triggered, may adversely affect our financial condition and operating results.</w:t>
      </w:r>
    </w:p>
    <w:p>
      <w:pPr>
        <w:spacing w:after="0" w:line="215"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420"/>
          </w:cols>
          <w:pgMar w:left="240" w:top="555"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i w:val="1"/>
          <w:iCs w:val="1"/>
          <w:color w:val="auto"/>
        </w:rPr>
        <w:t>The accounting method for convertible debt securities that may be settled in cash, such as the Notes, could have a material effect on our reported financial results.</w:t>
      </w:r>
    </w:p>
    <w:p>
      <w:pPr>
        <w:spacing w:after="0" w:line="211"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 xml:space="preserve">Under Accounting Standards Codification 470-20, </w:t>
      </w:r>
      <w:r>
        <w:rPr>
          <w:rFonts w:ascii="Times New Roman" w:cs="Times New Roman" w:eastAsia="Times New Roman" w:hAnsi="Times New Roman"/>
          <w:sz w:val="17"/>
          <w:szCs w:val="17"/>
          <w:i w:val="1"/>
          <w:iCs w:val="1"/>
          <w:color w:val="auto"/>
        </w:rPr>
        <w:t>Debt with Conversion and Other Options</w:t>
      </w:r>
      <w:r>
        <w:rPr>
          <w:rFonts w:ascii="Times New Roman" w:cs="Times New Roman" w:eastAsia="Times New Roman" w:hAnsi="Times New Roman"/>
          <w:sz w:val="17"/>
          <w:szCs w:val="17"/>
          <w:color w:val="auto"/>
        </w:rPr>
        <w:t>, or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net of issuance costs, is required to be included in the additional paid-in capital section of stockholders’ equity on our condensed consolidated balance sheet at the issuance date and the value of the equity component is treated as original issue discount for purposes of accounting for the liability component of the Notes. As a result, we are required to record a greater amount of non-cash interest expense in current periods presented as a result of the amortization of the discounted carrying value of the Notes to their face amount over the term of the Notes. We will report larger net losses (or lower net income) in our financial results because ASC 470-20 requires interest to include both the current period’s amortization of the debt discount and the instrument’s non-convertible coupon interest rate, which could adversely affect our reported or future financial results, the trading price of our common stock and the trading price of the Notes.</w:t>
      </w:r>
    </w:p>
    <w:p>
      <w:pPr>
        <w:spacing w:after="0" w:line="183"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In addition, under certain circumstances, convertible debt instruments (such as the Notes) that may be settled entirely or partly in cash may be accounted for utilizing the treasury stock method, the effect of which is that the shares issuable upon conversion of such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Notes, then our diluted earnings per share would be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capped call transactions may affect the value of the Notes and our common stock.</w:t>
      </w:r>
    </w:p>
    <w:p>
      <w:pPr>
        <w:spacing w:after="0" w:line="215"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In connection with the transaction in which we issued the Notes, we entered into capped call transactions with certain option counterparties. The capped call transactions are expected generally to reduce the potential dilution to our common stock upon any conversion of Notes and/or offset any cash payments we are required to make in excess of the principal amount of the converted Notes, as the case may be, upon any conversion of Notes, with such reduction and/or offset subject to a cap.</w:t>
      </w:r>
    </w:p>
    <w:p>
      <w:pPr>
        <w:spacing w:after="0" w:line="168"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The option counterparties or their respective affiliates are expected to modify their hedge positions by entering into or unwinding various derivatives with respect to our common stock and/or purchasing or selling our common stock, the Notes or other of our securities or instruments (if any), in secondary market transactions prior to the maturity of the Notes (and are likely to do so during any observation period related to a conversion of Notes occurring on or after November 1, 2023 or following any earlier conversion or any repurchase of Notes by us on any fundamental change repurchase date or otherwise). This activity could also cause or avoid an increase or a decrease in the market price of our common stock or the Notes, which could affect a holder’s ability to convert the Notes and, to the extent the activity occurs during any observation period related to a conversion of Notes, it could affect the amount and value of the consideration that a holder will receive upon conversion of such Notes.</w:t>
      </w:r>
    </w:p>
    <w:p>
      <w:pPr>
        <w:spacing w:after="0" w:line="178"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The potential effect, if any, of these transactions and activities on the market price of our common stock or the Notes will depend in part on market conditions and cannot be ascertained at this time. Any of these activities could adversely affect the value of our common stock and the value of the Notes (and as a result, the amount and value of the consideration that a holder would receive upon the conversion of any Notes) and, under certain circumstances, a holder’s ability to convert his or her Notes.</w:t>
      </w:r>
    </w:p>
    <w:p>
      <w:pPr>
        <w:spacing w:after="0" w:line="173"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We do not make any representation or prediction as to the direction or magnitude of any potential effect that the transactions described above may have on the price of our common stock or the Notes. In addition, we do not make any representation that the option counterparties or their respective affiliates will engage in these transactions or that these transactions, once commenced, will not be discontinued without notice.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counterparty risk with respect to the capped calls.</w:t>
      </w:r>
    </w:p>
    <w:p>
      <w:pPr>
        <w:spacing w:after="0" w:line="215"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The option counterparties to the capped call transactions are financial institutions, and we are subject to the risk that any or all of them may default under the capped calls. Our exposure to the credit risk of the option counterparties is not secured by any collateral. Global economic conditions have in the recent past resulted in, and may again result in, the actual or perceived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depends on many factors but, generally, an increase in our exposure will be correlated to an increase in the market price and in the volatility of our common stock. In addition, upon a default by an option counterparty,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420"/>
          </w:cols>
          <w:pgMar w:left="240" w:top="551" w:right="239" w:bottom="1440" w:gutter="0" w:footer="0" w:header="0"/>
        </w:sectPr>
      </w:pPr>
    </w:p>
    <w:bookmarkStart w:id="51" w:name="page52"/>
    <w:bookmarkEnd w:id="51"/>
    <w:p>
      <w:pPr>
        <w:spacing w:after="0" w:line="278" w:lineRule="auto"/>
        <w:rPr>
          <w:sz w:val="20"/>
          <w:szCs w:val="20"/>
          <w:color w:val="auto"/>
        </w:rPr>
      </w:pPr>
      <w:r>
        <w:rPr>
          <w:rFonts w:ascii="Times New Roman" w:cs="Times New Roman" w:eastAsia="Times New Roman" w:hAnsi="Times New Roman"/>
          <w:sz w:val="17"/>
          <w:szCs w:val="17"/>
          <w:color w:val="auto"/>
        </w:rPr>
        <w:t>we may suffer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Unregistered Sales of Equity Securities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unregistered sales of equity securities by the issuer during the three months ended June 30, 2019.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of Equity Securities by the Issuer</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repurchases of equity securities by the issuer during the three months ended June 30, 2019.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420"/>
          </w:cols>
          <w:pgMar w:left="240" w:top="555"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exhibits are filed as part of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10.1</w:t>
            </w:r>
          </w:p>
        </w:tc>
        <w:tc>
          <w:tcPr>
            <w:tcW w:w="5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spacing w:after="0"/>
              <w:rPr>
                <w:rFonts w:ascii="Times New Roman" w:cs="Times New Roman" w:eastAsia="Times New Roman" w:hAnsi="Times New Roman"/>
                <w:sz w:val="17"/>
                <w:szCs w:val="17"/>
                <w:color w:val="0000FF"/>
                <w:w w:val="99"/>
              </w:rPr>
            </w:pPr>
            <w:hyperlink r:id="rId29">
              <w:r>
                <w:rPr>
                  <w:rFonts w:ascii="Times New Roman" w:cs="Times New Roman" w:eastAsia="Times New Roman" w:hAnsi="Times New Roman"/>
                  <w:sz w:val="17"/>
                  <w:szCs w:val="17"/>
                  <w:color w:val="0000FF"/>
                  <w:w w:val="99"/>
                </w:rPr>
                <w:t>LivePerson, Inc. 2019</w:t>
              </w:r>
            </w:hyperlink>
          </w:p>
        </w:tc>
        <w:tc>
          <w:tcPr>
            <w:tcW w:w="8380" w:type="dxa"/>
            <w:vAlign w:val="bottom"/>
            <w:gridSpan w:val="3"/>
          </w:tcPr>
          <w:p>
            <w:pPr>
              <w:ind w:left="20"/>
              <w:spacing w:after="0"/>
              <w:rPr>
                <w:rFonts w:ascii="Times New Roman" w:cs="Times New Roman" w:eastAsia="Times New Roman" w:hAnsi="Times New Roman"/>
                <w:sz w:val="17"/>
                <w:szCs w:val="17"/>
                <w:color w:val="0000FF"/>
              </w:rPr>
            </w:pPr>
            <w:hyperlink r:id="rId29">
              <w:r>
                <w:rPr>
                  <w:rFonts w:ascii="Times New Roman" w:cs="Times New Roman" w:eastAsia="Times New Roman" w:hAnsi="Times New Roman"/>
                  <w:sz w:val="17"/>
                  <w:szCs w:val="17"/>
                  <w:color w:val="0000FF"/>
                </w:rPr>
                <w:t>Stock Incentive Plan</w:t>
              </w:r>
            </w:hyperlink>
          </w:p>
        </w:tc>
      </w:tr>
      <w:tr>
        <w:trPr>
          <w:trHeight w:val="44"/>
        </w:trPr>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Borders>
              <w:top w:val="single" w:sz="8" w:color="0000FF"/>
            </w:tcBorders>
          </w:tcPr>
          <w:p>
            <w:pPr>
              <w:spacing w:after="0"/>
              <w:rPr>
                <w:sz w:val="3"/>
                <w:szCs w:val="3"/>
                <w:color w:val="auto"/>
              </w:rPr>
            </w:pPr>
          </w:p>
        </w:tc>
        <w:tc>
          <w:tcPr>
            <w:tcW w:w="1420" w:type="dxa"/>
            <w:vAlign w:val="bottom"/>
            <w:tcBorders>
              <w:top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6260" w:type="dxa"/>
            <w:vAlign w:val="bottom"/>
          </w:tcPr>
          <w:p>
            <w:pPr>
              <w:spacing w:after="0"/>
              <w:rPr>
                <w:sz w:val="3"/>
                <w:szCs w:val="3"/>
                <w:color w:val="auto"/>
              </w:rPr>
            </w:pPr>
          </w:p>
        </w:tc>
      </w:tr>
      <w:tr>
        <w:trPr>
          <w:trHeight w:val="305"/>
        </w:trPr>
        <w:tc>
          <w:tcPr>
            <w:tcW w:w="94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520" w:type="dxa"/>
            <w:vAlign w:val="bottom"/>
            <w:shd w:val="clear" w:color="auto" w:fill="CCFFCC"/>
          </w:tcPr>
          <w:p>
            <w:pPr>
              <w:spacing w:after="0"/>
              <w:rPr>
                <w:sz w:val="24"/>
                <w:szCs w:val="24"/>
                <w:color w:val="auto"/>
              </w:rPr>
            </w:pPr>
          </w:p>
        </w:tc>
        <w:tc>
          <w:tcPr>
            <w:tcW w:w="142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260" w:type="dxa"/>
            <w:vAlign w:val="bottom"/>
            <w:shd w:val="clear" w:color="auto" w:fill="CCFFCC"/>
          </w:tcPr>
          <w:p>
            <w:pPr>
              <w:spacing w:after="0"/>
              <w:rPr>
                <w:sz w:val="24"/>
                <w:szCs w:val="24"/>
                <w:color w:val="auto"/>
              </w:rPr>
            </w:pPr>
          </w:p>
        </w:tc>
      </w:tr>
      <w:tr>
        <w:trPr>
          <w:trHeight w:val="191"/>
        </w:trPr>
        <w:tc>
          <w:tcPr>
            <w:tcW w:w="940" w:type="dxa"/>
            <w:vAlign w:val="bottom"/>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rPr>
              <w:t>10.2</w:t>
            </w:r>
          </w:p>
        </w:tc>
        <w:tc>
          <w:tcPr>
            <w:tcW w:w="580" w:type="dxa"/>
            <w:vAlign w:val="bottom"/>
          </w:tcPr>
          <w:p>
            <w:pPr>
              <w:jc w:val="right"/>
              <w:ind w:right="175"/>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spacing w:after="0" w:line="191" w:lineRule="exact"/>
              <w:rPr>
                <w:rFonts w:ascii="Times New Roman" w:cs="Times New Roman" w:eastAsia="Times New Roman" w:hAnsi="Times New Roman"/>
                <w:sz w:val="17"/>
                <w:szCs w:val="17"/>
                <w:color w:val="0000FF"/>
                <w:w w:val="99"/>
              </w:rPr>
            </w:pPr>
            <w:hyperlink r:id="rId29">
              <w:r>
                <w:rPr>
                  <w:rFonts w:ascii="Times New Roman" w:cs="Times New Roman" w:eastAsia="Times New Roman" w:hAnsi="Times New Roman"/>
                  <w:sz w:val="17"/>
                  <w:szCs w:val="17"/>
                  <w:color w:val="0000FF"/>
                  <w:w w:val="99"/>
                </w:rPr>
                <w:t>LivePerson, Inc. 2019</w:t>
              </w:r>
            </w:hyperlink>
          </w:p>
        </w:tc>
        <w:tc>
          <w:tcPr>
            <w:tcW w:w="8380" w:type="dxa"/>
            <w:vAlign w:val="bottom"/>
            <w:gridSpan w:val="3"/>
          </w:tcPr>
          <w:p>
            <w:pPr>
              <w:ind w:left="20"/>
              <w:spacing w:after="0" w:line="191" w:lineRule="exact"/>
              <w:rPr>
                <w:rFonts w:ascii="Times New Roman" w:cs="Times New Roman" w:eastAsia="Times New Roman" w:hAnsi="Times New Roman"/>
                <w:sz w:val="17"/>
                <w:szCs w:val="17"/>
                <w:color w:val="0000FF"/>
              </w:rPr>
            </w:pPr>
            <w:hyperlink r:id="rId29">
              <w:r>
                <w:rPr>
                  <w:rFonts w:ascii="Times New Roman" w:cs="Times New Roman" w:eastAsia="Times New Roman" w:hAnsi="Times New Roman"/>
                  <w:sz w:val="17"/>
                  <w:szCs w:val="17"/>
                  <w:color w:val="0000FF"/>
                </w:rPr>
                <w:t>Employee Stock Purchase Plan</w:t>
              </w:r>
            </w:hyperlink>
          </w:p>
        </w:tc>
      </w:tr>
      <w:tr>
        <w:trPr>
          <w:trHeight w:val="44"/>
        </w:trPr>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Borders>
              <w:top w:val="single" w:sz="8" w:color="0000FF"/>
            </w:tcBorders>
          </w:tcPr>
          <w:p>
            <w:pPr>
              <w:spacing w:after="0"/>
              <w:rPr>
                <w:sz w:val="3"/>
                <w:szCs w:val="3"/>
                <w:color w:val="auto"/>
              </w:rPr>
            </w:pPr>
          </w:p>
        </w:tc>
        <w:tc>
          <w:tcPr>
            <w:tcW w:w="142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6260" w:type="dxa"/>
            <w:vAlign w:val="bottom"/>
          </w:tcPr>
          <w:p>
            <w:pPr>
              <w:spacing w:after="0"/>
              <w:rPr>
                <w:sz w:val="3"/>
                <w:szCs w:val="3"/>
                <w:color w:val="auto"/>
              </w:rPr>
            </w:pPr>
          </w:p>
        </w:tc>
      </w:tr>
      <w:tr>
        <w:trPr>
          <w:trHeight w:val="318"/>
        </w:trPr>
        <w:tc>
          <w:tcPr>
            <w:tcW w:w="94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520" w:type="dxa"/>
            <w:vAlign w:val="bottom"/>
            <w:shd w:val="clear" w:color="auto" w:fill="CCFFCC"/>
          </w:tcPr>
          <w:p>
            <w:pPr>
              <w:spacing w:after="0"/>
              <w:rPr>
                <w:sz w:val="24"/>
                <w:szCs w:val="24"/>
                <w:color w:val="auto"/>
              </w:rPr>
            </w:pPr>
          </w:p>
        </w:tc>
        <w:tc>
          <w:tcPr>
            <w:tcW w:w="142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260" w:type="dxa"/>
            <w:vAlign w:val="bottom"/>
            <w:shd w:val="clear" w:color="auto" w:fill="CCFFCC"/>
          </w:tcPr>
          <w:p>
            <w:pPr>
              <w:spacing w:after="0"/>
              <w:rPr>
                <w:sz w:val="24"/>
                <w:szCs w:val="24"/>
                <w:color w:val="auto"/>
              </w:rPr>
            </w:pPr>
          </w:p>
        </w:tc>
      </w:tr>
    </w:tbl>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11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31.1</w:t>
            </w:r>
          </w:p>
        </w:tc>
        <w:tc>
          <w:tcPr>
            <w:tcW w:w="9600" w:type="dxa"/>
            <w:vAlign w:val="bottom"/>
            <w:tcBorders>
              <w:bottom w:val="single" w:sz="8" w:color="0000FF"/>
            </w:tcBorders>
          </w:tcPr>
          <w:p>
            <w:pPr>
              <w:spacing w:after="0" w:line="191" w:lineRule="exact"/>
              <w:rPr>
                <w:rFonts w:ascii="Times New Roman" w:cs="Times New Roman" w:eastAsia="Times New Roman" w:hAnsi="Times New Roman"/>
                <w:sz w:val="17"/>
                <w:szCs w:val="17"/>
                <w:color w:val="0000FF"/>
                <w:w w:val="99"/>
              </w:rPr>
            </w:pPr>
            <w:hyperlink w:anchor="page55">
              <w:r>
                <w:rPr>
                  <w:rFonts w:ascii="Times New Roman" w:cs="Times New Roman" w:eastAsia="Times New Roman" w:hAnsi="Times New Roman"/>
                  <w:sz w:val="17"/>
                  <w:szCs w:val="17"/>
                  <w:color w:val="0000FF"/>
                  <w:w w:val="99"/>
                </w:rPr>
                <w:t>Certification by Chief Executive Officer pursuant to Exchange Act Rule 13a-14(a), as adopted pursuant to Section 302 of the Sarbanes-Oxley</w:t>
              </w:r>
            </w:hyperlink>
          </w:p>
        </w:tc>
      </w:tr>
    </w:tbl>
    <w:p>
      <w:pPr>
        <w:ind w:left="1520" w:hanging="349"/>
        <w:spacing w:after="0"/>
        <w:tabs>
          <w:tab w:leader="none" w:pos="1520" w:val="left"/>
        </w:tabs>
        <w:numPr>
          <w:ilvl w:val="0"/>
          <w:numId w:val="24"/>
        </w:numPr>
        <w:rPr>
          <w:rFonts w:ascii="Times New Roman" w:cs="Times New Roman" w:eastAsia="Times New Roman" w:hAnsi="Times New Roman"/>
          <w:sz w:val="17"/>
          <w:szCs w:val="17"/>
          <w:u w:val="single" w:color="auto"/>
          <w:color w:val="0000FF"/>
        </w:rPr>
      </w:pPr>
      <w:hyperlink w:anchor="page55">
        <w:r>
          <w:rPr>
            <w:rFonts w:ascii="Times New Roman" w:cs="Times New Roman" w:eastAsia="Times New Roman" w:hAnsi="Times New Roman"/>
            <w:sz w:val="17"/>
            <w:szCs w:val="17"/>
            <w:u w:val="single" w:color="auto"/>
            <w:color w:val="0000FF"/>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54875" cy="177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54875" cy="177800"/>
                    </a:xfrm>
                    <a:prstGeom prst="rect">
                      <a:avLst/>
                    </a:prstGeom>
                    <a:noFill/>
                  </pic:spPr>
                </pic:pic>
              </a:graphicData>
            </a:graphic>
          </wp:anchor>
        </w:drawing>
      </w:r>
    </w:p>
    <w:p>
      <w:pPr>
        <w:spacing w:after="0" w:line="286"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11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31.2</w:t>
            </w:r>
          </w:p>
        </w:tc>
        <w:tc>
          <w:tcPr>
            <w:tcW w:w="9840" w:type="dxa"/>
            <w:vAlign w:val="bottom"/>
            <w:tcBorders>
              <w:bottom w:val="single" w:sz="8" w:color="0000FF"/>
            </w:tcBorders>
          </w:tcPr>
          <w:p>
            <w:pPr>
              <w:spacing w:after="0"/>
              <w:rPr>
                <w:rFonts w:ascii="Times New Roman" w:cs="Times New Roman" w:eastAsia="Times New Roman" w:hAnsi="Times New Roman"/>
                <w:sz w:val="17"/>
                <w:szCs w:val="17"/>
                <w:color w:val="0000FF"/>
                <w:w w:val="99"/>
              </w:rPr>
            </w:pPr>
            <w:hyperlink w:anchor="page56">
              <w:r>
                <w:rPr>
                  <w:rFonts w:ascii="Times New Roman" w:cs="Times New Roman" w:eastAsia="Times New Roman" w:hAnsi="Times New Roman"/>
                  <w:sz w:val="17"/>
                  <w:szCs w:val="17"/>
                  <w:color w:val="0000FF"/>
                  <w:w w:val="99"/>
                </w:rPr>
                <w:t>Certification by Chief Financial Officer pursuant to Exchange Act Rule 13a-14(a), as adopted pursuant to Section 302 of the Sarbanes-Oxley Act</w:t>
              </w:r>
            </w:hyperlink>
          </w:p>
        </w:tc>
      </w:tr>
    </w:tbl>
    <w:p>
      <w:pPr>
        <w:ind w:left="1520" w:hanging="349"/>
        <w:spacing w:after="0"/>
        <w:tabs>
          <w:tab w:leader="none" w:pos="1520" w:val="left"/>
        </w:tabs>
        <w:numPr>
          <w:ilvl w:val="0"/>
          <w:numId w:val="25"/>
        </w:numPr>
        <w:rPr>
          <w:rFonts w:ascii="Times New Roman" w:cs="Times New Roman" w:eastAsia="Times New Roman" w:hAnsi="Times New Roman"/>
          <w:sz w:val="17"/>
          <w:szCs w:val="17"/>
          <w:u w:val="single" w:color="auto"/>
          <w:color w:val="0000FF"/>
        </w:rPr>
      </w:pPr>
      <w:hyperlink w:anchor="page56">
        <w:r>
          <w:rPr>
            <w:rFonts w:ascii="Times New Roman" w:cs="Times New Roman" w:eastAsia="Times New Roman" w:hAnsi="Times New Roman"/>
            <w:sz w:val="17"/>
            <w:szCs w:val="17"/>
            <w:u w:val="single" w:color="auto"/>
            <w:color w:val="0000FF"/>
          </w:rPr>
          <w:t>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54875" cy="193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54875" cy="193675"/>
                    </a:xfrm>
                    <a:prstGeom prst="rect">
                      <a:avLst/>
                    </a:prstGeom>
                    <a:noFill/>
                  </pic:spPr>
                </pic:pic>
              </a:graphicData>
            </a:graphic>
          </wp:anchor>
        </w:drawing>
      </w:r>
    </w:p>
    <w:p>
      <w:pPr>
        <w:spacing w:after="0" w:line="312"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11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32.1</w:t>
            </w:r>
          </w:p>
        </w:tc>
        <w:tc>
          <w:tcPr>
            <w:tcW w:w="9640" w:type="dxa"/>
            <w:vAlign w:val="bottom"/>
            <w:tcBorders>
              <w:bottom w:val="single" w:sz="8" w:color="0000FF"/>
            </w:tcBorders>
          </w:tcPr>
          <w:p>
            <w:pPr>
              <w:spacing w:after="0"/>
              <w:rPr>
                <w:rFonts w:ascii="Times New Roman" w:cs="Times New Roman" w:eastAsia="Times New Roman" w:hAnsi="Times New Roman"/>
                <w:sz w:val="17"/>
                <w:szCs w:val="17"/>
                <w:color w:val="0000FF"/>
                <w:w w:val="99"/>
              </w:rPr>
            </w:pPr>
            <w:hyperlink w:anchor="page57">
              <w:r>
                <w:rPr>
                  <w:rFonts w:ascii="Times New Roman" w:cs="Times New Roman" w:eastAsia="Times New Roman" w:hAnsi="Times New Roman"/>
                  <w:sz w:val="17"/>
                  <w:szCs w:val="17"/>
                  <w:color w:val="0000FF"/>
                  <w:w w:val="99"/>
                </w:rPr>
                <w:t>Certification by Chief Executive Officer pursuant to 18 U.S.C. Section 1350, as adopted pursuant to Section 906 of the Sarbanes-Oxley Act of</w:t>
              </w:r>
            </w:hyperlink>
          </w:p>
        </w:tc>
      </w:tr>
    </w:tbl>
    <w:p>
      <w:pPr>
        <w:ind w:left="1520" w:hanging="349"/>
        <w:spacing w:after="0"/>
        <w:tabs>
          <w:tab w:leader="none" w:pos="1520" w:val="left"/>
        </w:tabs>
        <w:numPr>
          <w:ilvl w:val="0"/>
          <w:numId w:val="26"/>
        </w:numPr>
        <w:rPr>
          <w:rFonts w:ascii="Times New Roman" w:cs="Times New Roman" w:eastAsia="Times New Roman" w:hAnsi="Times New Roman"/>
          <w:sz w:val="17"/>
          <w:szCs w:val="17"/>
          <w:u w:val="single" w:color="auto"/>
          <w:color w:val="0000FF"/>
        </w:rPr>
      </w:pPr>
      <w:hyperlink w:anchor="page57">
        <w:r>
          <w:rPr>
            <w:rFonts w:ascii="Times New Roman" w:cs="Times New Roman" w:eastAsia="Times New Roman" w:hAnsi="Times New Roman"/>
            <w:sz w:val="17"/>
            <w:szCs w:val="17"/>
            <w:u w:val="single" w:color="auto"/>
            <w:color w:val="0000FF"/>
          </w:rPr>
          <w:t>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54875" cy="193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54875" cy="193675"/>
                    </a:xfrm>
                    <a:prstGeom prst="rect">
                      <a:avLst/>
                    </a:prstGeom>
                    <a:noFill/>
                  </pic:spPr>
                </pic:pic>
              </a:graphicData>
            </a:graphic>
          </wp:anchor>
        </w:drawing>
      </w:r>
    </w:p>
    <w:p>
      <w:pPr>
        <w:spacing w:after="0" w:line="312"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11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32.2</w:t>
            </w:r>
          </w:p>
        </w:tc>
        <w:tc>
          <w:tcPr>
            <w:tcW w:w="9600" w:type="dxa"/>
            <w:vAlign w:val="bottom"/>
            <w:tcBorders>
              <w:bottom w:val="single" w:sz="8" w:color="0000FF"/>
            </w:tcBorders>
          </w:tcPr>
          <w:p>
            <w:pPr>
              <w:spacing w:after="0"/>
              <w:rPr>
                <w:rFonts w:ascii="Times New Roman" w:cs="Times New Roman" w:eastAsia="Times New Roman" w:hAnsi="Times New Roman"/>
                <w:sz w:val="17"/>
                <w:szCs w:val="17"/>
                <w:color w:val="0000FF"/>
                <w:w w:val="99"/>
              </w:rPr>
            </w:pPr>
            <w:hyperlink w:anchor="page58">
              <w:r>
                <w:rPr>
                  <w:rFonts w:ascii="Times New Roman" w:cs="Times New Roman" w:eastAsia="Times New Roman" w:hAnsi="Times New Roman"/>
                  <w:sz w:val="17"/>
                  <w:szCs w:val="17"/>
                  <w:color w:val="0000FF"/>
                  <w:w w:val="99"/>
                </w:rPr>
                <w:t>Certification by Chief Financial Officer pursuant to 18 U.S.C. Section 1350, as adopted pursuant to Section 906 of the Sarbanes-Oxley Act of</w:t>
              </w:r>
            </w:hyperlink>
          </w:p>
        </w:tc>
      </w:tr>
    </w:tbl>
    <w:p>
      <w:pPr>
        <w:ind w:left="1520" w:hanging="349"/>
        <w:spacing w:after="0"/>
        <w:tabs>
          <w:tab w:leader="none" w:pos="1520" w:val="left"/>
        </w:tabs>
        <w:numPr>
          <w:ilvl w:val="0"/>
          <w:numId w:val="27"/>
        </w:numPr>
        <w:rPr>
          <w:rFonts w:ascii="Times New Roman" w:cs="Times New Roman" w:eastAsia="Times New Roman" w:hAnsi="Times New Roman"/>
          <w:sz w:val="17"/>
          <w:szCs w:val="17"/>
          <w:u w:val="single" w:color="auto"/>
          <w:color w:val="0000FF"/>
        </w:rPr>
      </w:pPr>
      <w:hyperlink w:anchor="page58">
        <w:r>
          <w:rPr>
            <w:rFonts w:ascii="Times New Roman" w:cs="Times New Roman" w:eastAsia="Times New Roman" w:hAnsi="Times New Roman"/>
            <w:sz w:val="17"/>
            <w:szCs w:val="17"/>
            <w:u w:val="single" w:color="auto"/>
            <w:color w:val="0000FF"/>
          </w:rPr>
          <w:t>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54875" cy="193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54875" cy="193675"/>
                    </a:xfrm>
                    <a:prstGeom prst="rect">
                      <a:avLst/>
                    </a:prstGeom>
                    <a:noFill/>
                  </pic:spPr>
                </pic:pic>
              </a:graphicData>
            </a:graphic>
          </wp:anchor>
        </w:drawing>
      </w:r>
    </w:p>
    <w:p>
      <w:pPr>
        <w:spacing w:after="0" w:line="326"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1018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9"/>
              </w:rPr>
              <w:t>XBRL Instance Document -- The instance document does not appear in the Interactive Data File because its XBRL tags are embedded within the</w:t>
            </w:r>
          </w:p>
        </w:tc>
      </w:tr>
    </w:tbl>
    <w:p>
      <w:pPr>
        <w:ind w:left="1520" w:hanging="349"/>
        <w:spacing w:after="0"/>
        <w:tabs>
          <w:tab w:leader="none" w:pos="15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54875" cy="193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54875" cy="19367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101.SCH</w:t>
            </w: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6"/>
        </w:trPr>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305"/>
        </w:trPr>
        <w:tc>
          <w:tcPr>
            <w:tcW w:w="220" w:type="dxa"/>
            <w:vAlign w:val="bottom"/>
            <w:shd w:val="clear" w:color="auto" w:fill="CCFFCC"/>
          </w:tcPr>
          <w:p>
            <w:pPr>
              <w:spacing w:after="0"/>
              <w:rPr>
                <w:sz w:val="24"/>
                <w:szCs w:val="24"/>
                <w:color w:val="auto"/>
              </w:rPr>
            </w:pPr>
          </w:p>
        </w:tc>
        <w:tc>
          <w:tcPr>
            <w:tcW w:w="8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0040" w:type="dxa"/>
            <w:vAlign w:val="bottom"/>
            <w:shd w:val="clear" w:color="auto" w:fill="CCFFCC"/>
          </w:tcPr>
          <w:p>
            <w:pPr>
              <w:spacing w:after="0"/>
              <w:rPr>
                <w:sz w:val="24"/>
                <w:szCs w:val="24"/>
                <w:color w:val="auto"/>
              </w:rPr>
            </w:pPr>
          </w:p>
        </w:tc>
      </w:tr>
      <w:tr>
        <w:trPr>
          <w:trHeight w:val="228"/>
        </w:trPr>
        <w:tc>
          <w:tcPr>
            <w:tcW w:w="22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101.CAL</w:t>
            </w: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6"/>
        </w:trPr>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305"/>
        </w:trPr>
        <w:tc>
          <w:tcPr>
            <w:tcW w:w="220" w:type="dxa"/>
            <w:vAlign w:val="bottom"/>
            <w:shd w:val="clear" w:color="auto" w:fill="CCFFCC"/>
          </w:tcPr>
          <w:p>
            <w:pPr>
              <w:spacing w:after="0"/>
              <w:rPr>
                <w:sz w:val="24"/>
                <w:szCs w:val="24"/>
                <w:color w:val="auto"/>
              </w:rPr>
            </w:pPr>
          </w:p>
        </w:tc>
        <w:tc>
          <w:tcPr>
            <w:tcW w:w="8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0040" w:type="dxa"/>
            <w:vAlign w:val="bottom"/>
            <w:shd w:val="clear" w:color="auto" w:fill="CCFFCC"/>
          </w:tcPr>
          <w:p>
            <w:pPr>
              <w:spacing w:after="0"/>
              <w:rPr>
                <w:sz w:val="24"/>
                <w:szCs w:val="24"/>
                <w:color w:val="auto"/>
              </w:rPr>
            </w:pPr>
          </w:p>
        </w:tc>
      </w:tr>
      <w:tr>
        <w:trPr>
          <w:trHeight w:val="228"/>
        </w:trPr>
        <w:tc>
          <w:tcPr>
            <w:tcW w:w="22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101.DEF</w:t>
            </w: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6"/>
        </w:trPr>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305"/>
        </w:trPr>
        <w:tc>
          <w:tcPr>
            <w:tcW w:w="220" w:type="dxa"/>
            <w:vAlign w:val="bottom"/>
            <w:shd w:val="clear" w:color="auto" w:fill="CCFFCC"/>
          </w:tcPr>
          <w:p>
            <w:pPr>
              <w:spacing w:after="0"/>
              <w:rPr>
                <w:sz w:val="24"/>
                <w:szCs w:val="24"/>
                <w:color w:val="auto"/>
              </w:rPr>
            </w:pPr>
          </w:p>
        </w:tc>
        <w:tc>
          <w:tcPr>
            <w:tcW w:w="8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0040" w:type="dxa"/>
            <w:vAlign w:val="bottom"/>
            <w:shd w:val="clear" w:color="auto" w:fill="CCFFCC"/>
          </w:tcPr>
          <w:p>
            <w:pPr>
              <w:spacing w:after="0"/>
              <w:rPr>
                <w:sz w:val="24"/>
                <w:szCs w:val="24"/>
                <w:color w:val="auto"/>
              </w:rPr>
            </w:pPr>
          </w:p>
        </w:tc>
      </w:tr>
      <w:tr>
        <w:trPr>
          <w:trHeight w:val="228"/>
        </w:trPr>
        <w:tc>
          <w:tcPr>
            <w:tcW w:w="22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101.LAB</w:t>
            </w: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6"/>
        </w:trPr>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305"/>
        </w:trPr>
        <w:tc>
          <w:tcPr>
            <w:tcW w:w="220" w:type="dxa"/>
            <w:vAlign w:val="bottom"/>
            <w:shd w:val="clear" w:color="auto" w:fill="CCFFCC"/>
          </w:tcPr>
          <w:p>
            <w:pPr>
              <w:spacing w:after="0"/>
              <w:rPr>
                <w:sz w:val="24"/>
                <w:szCs w:val="24"/>
                <w:color w:val="auto"/>
              </w:rPr>
            </w:pPr>
          </w:p>
        </w:tc>
        <w:tc>
          <w:tcPr>
            <w:tcW w:w="8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0040" w:type="dxa"/>
            <w:vAlign w:val="bottom"/>
            <w:shd w:val="clear" w:color="auto" w:fill="CCFFCC"/>
          </w:tcPr>
          <w:p>
            <w:pPr>
              <w:spacing w:after="0"/>
              <w:rPr>
                <w:sz w:val="24"/>
                <w:szCs w:val="24"/>
                <w:color w:val="auto"/>
              </w:rPr>
            </w:pPr>
          </w:p>
        </w:tc>
      </w:tr>
      <w:tr>
        <w:trPr>
          <w:trHeight w:val="228"/>
        </w:trPr>
        <w:tc>
          <w:tcPr>
            <w:tcW w:w="220" w:type="dxa"/>
            <w:vAlign w:val="bottom"/>
          </w:tcPr>
          <w:p>
            <w:pPr>
              <w:spacing w:after="0"/>
              <w:rPr>
                <w:sz w:val="19"/>
                <w:szCs w:val="19"/>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101.PRE</w:t>
            </w: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330"/>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Filed herewith</w:t>
            </w:r>
          </w:p>
        </w:tc>
        <w:tc>
          <w:tcPr>
            <w:tcW w:w="10040" w:type="dxa"/>
            <w:vAlign w:val="bottom"/>
          </w:tcPr>
          <w:p>
            <w:pPr>
              <w:spacing w:after="0"/>
              <w:rPr>
                <w:sz w:val="24"/>
                <w:szCs w:val="24"/>
                <w:color w:val="auto"/>
              </w:rPr>
            </w:pPr>
          </w:p>
        </w:tc>
      </w:tr>
      <w:tr>
        <w:trPr>
          <w:trHeight w:val="30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Furnished herewith</w:t>
            </w:r>
          </w:p>
        </w:tc>
      </w:tr>
    </w:tbl>
    <w:p>
      <w:pPr>
        <w:spacing w:after="0" w:line="8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420"/>
          </w:cols>
          <w:pgMar w:left="240" w:top="551" w:right="239" w:bottom="1440" w:gutter="0" w:footer="0" w:header="0"/>
        </w:sectPr>
      </w:pPr>
    </w:p>
    <w:bookmarkStart w:id="53" w:name="page54"/>
    <w:bookmarkEnd w:id="53"/>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4" w:lineRule="exact"/>
        <w:rPr>
          <w:sz w:val="20"/>
          <w:szCs w:val="20"/>
          <w:color w:val="auto"/>
        </w:rPr>
      </w:pPr>
    </w:p>
    <w:p>
      <w:pPr>
        <w:ind w:right="40" w:firstLine="610"/>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20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LIVEPERSON, INC.</w:t>
      </w:r>
    </w:p>
    <w:p>
      <w:pPr>
        <w:spacing w:after="0" w:line="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(Registrant)</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August 2, 2019</w:t>
            </w:r>
          </w:p>
        </w:tc>
        <w:tc>
          <w:tcPr>
            <w:tcW w:w="218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By:</w:t>
            </w:r>
          </w:p>
        </w:tc>
        <w:tc>
          <w:tcPr>
            <w:tcW w:w="3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ROBERT P. LOCASCIO</w:t>
            </w:r>
          </w:p>
        </w:tc>
      </w:tr>
      <w:tr>
        <w:trPr>
          <w:trHeight w:val="26"/>
        </w:trPr>
        <w:tc>
          <w:tcPr>
            <w:tcW w:w="5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21"/>
        </w:trPr>
        <w:tc>
          <w:tcPr>
            <w:tcW w:w="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18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Name:</w:t>
            </w:r>
          </w:p>
        </w:tc>
        <w:tc>
          <w:tcPr>
            <w:tcW w:w="3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P. LoCascio</w:t>
            </w:r>
          </w:p>
        </w:tc>
      </w:tr>
      <w:tr>
        <w:trPr>
          <w:trHeight w:val="254"/>
        </w:trPr>
        <w:tc>
          <w:tcPr>
            <w:tcW w:w="5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18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Title:</w:t>
            </w:r>
          </w:p>
        </w:tc>
        <w:tc>
          <w:tcPr>
            <w:tcW w:w="360" w:type="dxa"/>
            <w:vAlign w:val="bottom"/>
          </w:tcPr>
          <w:p>
            <w:pPr>
              <w:spacing w:after="0"/>
              <w:rPr>
                <w:sz w:val="22"/>
                <w:szCs w:val="22"/>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r>
      <w:tr>
        <w:trPr>
          <w:trHeight w:val="50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August 2, 2019</w:t>
            </w:r>
          </w:p>
        </w:tc>
        <w:tc>
          <w:tcPr>
            <w:tcW w:w="218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CHRISTOPHER E. GREINER</w:t>
            </w:r>
          </w:p>
        </w:tc>
      </w:tr>
      <w:tr>
        <w:trPr>
          <w:trHeight w:val="26"/>
        </w:trPr>
        <w:tc>
          <w:tcPr>
            <w:tcW w:w="5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21"/>
        </w:trPr>
        <w:tc>
          <w:tcPr>
            <w:tcW w:w="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18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Name:</w:t>
            </w:r>
          </w:p>
        </w:tc>
        <w:tc>
          <w:tcPr>
            <w:tcW w:w="3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Christopher E. Greiner</w:t>
            </w:r>
          </w:p>
        </w:tc>
      </w:tr>
      <w:tr>
        <w:trPr>
          <w:trHeight w:val="254"/>
        </w:trPr>
        <w:tc>
          <w:tcPr>
            <w:tcW w:w="5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18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Title:</w:t>
            </w:r>
          </w:p>
        </w:tc>
        <w:tc>
          <w:tcPr>
            <w:tcW w:w="360" w:type="dxa"/>
            <w:vAlign w:val="bottom"/>
          </w:tcPr>
          <w:p>
            <w:pPr>
              <w:spacing w:after="0"/>
              <w:rPr>
                <w:sz w:val="22"/>
                <w:szCs w:val="22"/>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(principal financial and accounting officer)</w:t>
            </w:r>
          </w:p>
        </w:tc>
      </w:tr>
      <w:tr>
        <w:trPr>
          <w:trHeight w:val="559"/>
        </w:trPr>
        <w:tc>
          <w:tcPr>
            <w:tcW w:w="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53</w:t>
            </w:r>
          </w:p>
        </w:tc>
        <w:tc>
          <w:tcPr>
            <w:tcW w:w="5260" w:type="dxa"/>
            <w:vAlign w:val="bottom"/>
          </w:tcPr>
          <w:p>
            <w:pPr>
              <w:spacing w:after="0"/>
              <w:rPr>
                <w:sz w:val="24"/>
                <w:szCs w:val="24"/>
                <w:color w:val="auto"/>
              </w:rPr>
            </w:pPr>
          </w:p>
        </w:tc>
      </w:tr>
    </w:tbl>
    <w:p>
      <w:pPr>
        <w:sectPr>
          <w:pgSz w:w="11900" w:h="16838" w:orient="portrait"/>
          <w:cols w:equalWidth="0" w:num="1">
            <w:col w:w="11200"/>
          </w:cols>
          <w:pgMar w:left="240" w:top="551" w:right="4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31.1</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P. LoCascio, certify that:</w:t>
      </w:r>
    </w:p>
    <w:p>
      <w:pPr>
        <w:spacing w:after="0" w:line="160" w:lineRule="exact"/>
        <w:rPr>
          <w:sz w:val="20"/>
          <w:szCs w:val="20"/>
          <w:color w:val="auto"/>
        </w:rPr>
      </w:pPr>
    </w:p>
    <w:p>
      <w:pPr>
        <w:ind w:left="300" w:hanging="298"/>
        <w:spacing w:after="0"/>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LivePerson, Inc.;</w:t>
      </w:r>
    </w:p>
    <w:p>
      <w:pPr>
        <w:spacing w:after="0" w:line="160" w:lineRule="exact"/>
        <w:rPr>
          <w:rFonts w:ascii="Times New Roman" w:cs="Times New Roman" w:eastAsia="Times New Roman" w:hAnsi="Times New Roman"/>
          <w:sz w:val="17"/>
          <w:szCs w:val="17"/>
          <w:color w:val="auto"/>
        </w:rPr>
      </w:pPr>
    </w:p>
    <w:p>
      <w:pPr>
        <w:ind w:left="300" w:right="60" w:hanging="298"/>
        <w:spacing w:after="0" w:line="278" w:lineRule="auto"/>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Times New Roman" w:cs="Times New Roman" w:eastAsia="Times New Roman" w:hAnsi="Times New Roman"/>
          <w:sz w:val="17"/>
          <w:szCs w:val="17"/>
          <w:color w:val="auto"/>
        </w:rPr>
      </w:pPr>
    </w:p>
    <w:p>
      <w:pPr>
        <w:ind w:left="300" w:right="600" w:hanging="298"/>
        <w:spacing w:after="0" w:line="278" w:lineRule="auto"/>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7"/>
          <w:szCs w:val="17"/>
          <w:color w:val="auto"/>
        </w:rPr>
      </w:pPr>
    </w:p>
    <w:p>
      <w:pPr>
        <w:ind w:left="300" w:right="260" w:hanging="298"/>
        <w:spacing w:after="0" w:line="264" w:lineRule="auto"/>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sz w:val="20"/>
          <w:szCs w:val="20"/>
          <w:color w:val="auto"/>
        </w:rPr>
      </w:pPr>
    </w:p>
    <w:p>
      <w:pPr>
        <w:jc w:val="both"/>
        <w:ind w:left="300" w:right="120" w:hanging="298"/>
        <w:spacing w:after="0" w:line="264"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7"/>
          <w:szCs w:val="17"/>
          <w:color w:val="auto"/>
        </w:rPr>
      </w:pPr>
    </w:p>
    <w:p>
      <w:pPr>
        <w:ind w:left="300" w:right="180" w:hanging="298"/>
        <w:spacing w:after="0" w:line="264"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300" w:right="620" w:hanging="298"/>
        <w:spacing w:after="0" w:line="278"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Times New Roman" w:cs="Times New Roman" w:eastAsia="Times New Roman" w:hAnsi="Times New Roman"/>
          <w:sz w:val="17"/>
          <w:szCs w:val="17"/>
          <w:color w:val="auto"/>
        </w:rPr>
      </w:pPr>
    </w:p>
    <w:p>
      <w:pPr>
        <w:ind w:left="300" w:right="260" w:hanging="298"/>
        <w:spacing w:after="0" w:line="264"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sz w:val="20"/>
          <w:szCs w:val="20"/>
          <w:color w:val="auto"/>
        </w:rPr>
      </w:pPr>
    </w:p>
    <w:p>
      <w:pPr>
        <w:ind w:left="300" w:right="180" w:hanging="298"/>
        <w:spacing w:after="0" w:line="278" w:lineRule="auto"/>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sz w:val="20"/>
          <w:szCs w:val="20"/>
          <w:color w:val="auto"/>
        </w:rPr>
      </w:pPr>
    </w:p>
    <w:p>
      <w:pPr>
        <w:ind w:left="300" w:right="120" w:hanging="298"/>
        <w:spacing w:after="0" w:line="278" w:lineRule="auto"/>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7"/>
          <w:szCs w:val="17"/>
          <w:color w:val="auto"/>
        </w:rPr>
      </w:pPr>
    </w:p>
    <w:p>
      <w:pPr>
        <w:ind w:left="300" w:right="400" w:hanging="298"/>
        <w:spacing w:after="0" w:line="278" w:lineRule="auto"/>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August 2, 2019</w:t>
            </w:r>
          </w:p>
        </w:tc>
        <w:tc>
          <w:tcPr>
            <w:tcW w:w="25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ROBERT P. LOCASCIO</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520" w:type="dxa"/>
            <w:vAlign w:val="bottom"/>
            <w:vMerge w:val="restart"/>
          </w:tcPr>
          <w:p>
            <w:pPr>
              <w:ind w:left="1740"/>
              <w:spacing w:after="0"/>
              <w:rPr>
                <w:sz w:val="20"/>
                <w:szCs w:val="20"/>
                <w:color w:val="auto"/>
              </w:rPr>
            </w:pPr>
            <w:r>
              <w:rPr>
                <w:rFonts w:ascii="Times New Roman" w:cs="Times New Roman" w:eastAsia="Times New Roman" w:hAnsi="Times New Roman"/>
                <w:sz w:val="17"/>
                <w:szCs w:val="17"/>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520" w:type="dxa"/>
            <w:vAlign w:val="bottom"/>
            <w:vMerge w:val="continue"/>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P. LoCascio</w:t>
            </w:r>
          </w:p>
        </w:tc>
        <w:tc>
          <w:tcPr>
            <w:tcW w:w="0" w:type="dxa"/>
            <w:vAlign w:val="bottom"/>
          </w:tcPr>
          <w:p>
            <w:pPr>
              <w:spacing w:after="0"/>
              <w:rPr>
                <w:sz w:val="1"/>
                <w:szCs w:val="1"/>
                <w:color w:val="auto"/>
              </w:rPr>
            </w:pPr>
          </w:p>
        </w:tc>
      </w:tr>
      <w:tr>
        <w:trPr>
          <w:trHeight w:val="254"/>
        </w:trPr>
        <w:tc>
          <w:tcPr>
            <w:tcW w:w="6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5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3"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31.2</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E. Greiner, certify that:</w:t>
      </w:r>
    </w:p>
    <w:p>
      <w:pPr>
        <w:spacing w:after="0" w:line="160" w:lineRule="exact"/>
        <w:rPr>
          <w:sz w:val="20"/>
          <w:szCs w:val="20"/>
          <w:color w:val="auto"/>
        </w:rPr>
      </w:pPr>
    </w:p>
    <w:p>
      <w:pPr>
        <w:ind w:left="300" w:hanging="298"/>
        <w:spacing w:after="0"/>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LivePerson, Inc.;</w:t>
      </w:r>
    </w:p>
    <w:p>
      <w:pPr>
        <w:spacing w:after="0" w:line="160" w:lineRule="exact"/>
        <w:rPr>
          <w:rFonts w:ascii="Times New Roman" w:cs="Times New Roman" w:eastAsia="Times New Roman" w:hAnsi="Times New Roman"/>
          <w:sz w:val="17"/>
          <w:szCs w:val="17"/>
          <w:color w:val="auto"/>
        </w:rPr>
      </w:pPr>
    </w:p>
    <w:p>
      <w:pPr>
        <w:ind w:left="300" w:right="60" w:hanging="298"/>
        <w:spacing w:after="0" w:line="278"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Times New Roman" w:cs="Times New Roman" w:eastAsia="Times New Roman" w:hAnsi="Times New Roman"/>
          <w:sz w:val="17"/>
          <w:szCs w:val="17"/>
          <w:color w:val="auto"/>
        </w:rPr>
      </w:pPr>
    </w:p>
    <w:p>
      <w:pPr>
        <w:ind w:left="300" w:right="600" w:hanging="298"/>
        <w:spacing w:after="0" w:line="278"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7"/>
          <w:szCs w:val="17"/>
          <w:color w:val="auto"/>
        </w:rPr>
      </w:pPr>
    </w:p>
    <w:p>
      <w:pPr>
        <w:ind w:left="300" w:right="260" w:hanging="298"/>
        <w:spacing w:after="0" w:line="264"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sz w:val="20"/>
          <w:szCs w:val="20"/>
          <w:color w:val="auto"/>
        </w:rPr>
      </w:pPr>
    </w:p>
    <w:p>
      <w:pPr>
        <w:jc w:val="both"/>
        <w:ind w:left="300" w:right="120" w:hanging="298"/>
        <w:spacing w:after="0" w:line="264" w:lineRule="auto"/>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7"/>
          <w:szCs w:val="17"/>
          <w:color w:val="auto"/>
        </w:rPr>
      </w:pPr>
    </w:p>
    <w:p>
      <w:pPr>
        <w:ind w:left="300" w:right="180" w:hanging="298"/>
        <w:spacing w:after="0" w:line="264" w:lineRule="auto"/>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300" w:right="620" w:hanging="298"/>
        <w:spacing w:after="0" w:line="278" w:lineRule="auto"/>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Times New Roman" w:cs="Times New Roman" w:eastAsia="Times New Roman" w:hAnsi="Times New Roman"/>
          <w:sz w:val="17"/>
          <w:szCs w:val="17"/>
          <w:color w:val="auto"/>
        </w:rPr>
      </w:pPr>
    </w:p>
    <w:p>
      <w:pPr>
        <w:ind w:left="300" w:right="260" w:hanging="298"/>
        <w:spacing w:after="0" w:line="264" w:lineRule="auto"/>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sz w:val="20"/>
          <w:szCs w:val="20"/>
          <w:color w:val="auto"/>
        </w:rPr>
      </w:pPr>
    </w:p>
    <w:p>
      <w:pPr>
        <w:ind w:left="300" w:right="180" w:hanging="298"/>
        <w:spacing w:after="0" w:line="278" w:lineRule="auto"/>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sz w:val="20"/>
          <w:szCs w:val="20"/>
          <w:color w:val="auto"/>
        </w:rPr>
      </w:pPr>
    </w:p>
    <w:p>
      <w:pPr>
        <w:ind w:left="300" w:right="120" w:hanging="298"/>
        <w:spacing w:after="0" w:line="278" w:lineRule="auto"/>
        <w:tabs>
          <w:tab w:leader="none" w:pos="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7"/>
          <w:szCs w:val="17"/>
          <w:color w:val="auto"/>
        </w:rPr>
      </w:pPr>
    </w:p>
    <w:p>
      <w:pPr>
        <w:ind w:left="300" w:right="400" w:hanging="298"/>
        <w:spacing w:after="0" w:line="278" w:lineRule="auto"/>
        <w:tabs>
          <w:tab w:leader="none" w:pos="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August 2, 2019</w:t>
            </w:r>
          </w:p>
        </w:tc>
        <w:tc>
          <w:tcPr>
            <w:tcW w:w="238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By:</w:t>
            </w: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CHRISTOPHER E. GREINER</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380" w:type="dxa"/>
            <w:vAlign w:val="bottom"/>
            <w:vMerge w:val="restart"/>
          </w:tcPr>
          <w:p>
            <w:pPr>
              <w:ind w:left="1620"/>
              <w:spacing w:after="0"/>
              <w:rPr>
                <w:sz w:val="20"/>
                <w:szCs w:val="20"/>
                <w:color w:val="auto"/>
              </w:rPr>
            </w:pPr>
            <w:r>
              <w:rPr>
                <w:rFonts w:ascii="Times New Roman" w:cs="Times New Roman" w:eastAsia="Times New Roman" w:hAnsi="Times New Roman"/>
                <w:sz w:val="17"/>
                <w:szCs w:val="17"/>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Christopher E. Greiner</w:t>
            </w:r>
          </w:p>
        </w:tc>
        <w:tc>
          <w:tcPr>
            <w:tcW w:w="0" w:type="dxa"/>
            <w:vAlign w:val="bottom"/>
          </w:tcPr>
          <w:p>
            <w:pPr>
              <w:spacing w:after="0"/>
              <w:rPr>
                <w:sz w:val="1"/>
                <w:szCs w:val="1"/>
                <w:color w:val="auto"/>
              </w:rPr>
            </w:pPr>
          </w:p>
        </w:tc>
      </w:tr>
      <w:tr>
        <w:trPr>
          <w:trHeight w:val="254"/>
        </w:trPr>
        <w:tc>
          <w:tcPr>
            <w:tcW w:w="6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38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Title:</w:t>
            </w: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3"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9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color w:val="auto"/>
        </w:rPr>
        <w:t>I, Robert P. LoCascio, Chief Executive Officer of LivePerson, Inc. (the “Company”), certify, pursuant to 18 U.S.C. Section 1350, as adopted pursuant to Section 906 of the Sarbanes-Oxley Act of 2002, that:</w:t>
      </w:r>
    </w:p>
    <w:p>
      <w:pPr>
        <w:spacing w:after="0" w:line="106" w:lineRule="exact"/>
        <w:rPr>
          <w:sz w:val="20"/>
          <w:szCs w:val="20"/>
          <w:color w:val="auto"/>
        </w:rPr>
      </w:pPr>
    </w:p>
    <w:p>
      <w:pPr>
        <w:ind w:left="620" w:right="20" w:hanging="313"/>
        <w:spacing w:after="0" w:line="278"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June 30, 2019, as filed with the Securities and Exchange Commission (the “Report”), fully complies with the requirements of Section 13(a) or 15(d) of the Securities Exchange Act of 1934; and</w:t>
      </w:r>
    </w:p>
    <w:p>
      <w:pPr>
        <w:spacing w:after="0" w:line="106"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219"/>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August 2, 2019</w:t>
            </w:r>
          </w:p>
        </w:tc>
        <w:tc>
          <w:tcPr>
            <w:tcW w:w="25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ROBERT P. LOCASCIO</w:t>
            </w: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20" w:type="dxa"/>
            <w:vAlign w:val="bottom"/>
            <w:vMerge w:val="restart"/>
          </w:tcPr>
          <w:p>
            <w:pPr>
              <w:ind w:left="1760"/>
              <w:spacing w:after="0"/>
              <w:rPr>
                <w:sz w:val="20"/>
                <w:szCs w:val="20"/>
                <w:color w:val="auto"/>
              </w:rPr>
            </w:pPr>
            <w:r>
              <w:rPr>
                <w:rFonts w:ascii="Times New Roman" w:cs="Times New Roman" w:eastAsia="Times New Roman" w:hAnsi="Times New Roman"/>
                <w:sz w:val="17"/>
                <w:szCs w:val="17"/>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520" w:type="dxa"/>
            <w:vAlign w:val="bottom"/>
            <w:vMerge w:val="continue"/>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P. LoCascio</w:t>
            </w:r>
          </w:p>
        </w:tc>
        <w:tc>
          <w:tcPr>
            <w:tcW w:w="0" w:type="dxa"/>
            <w:vAlign w:val="bottom"/>
          </w:tcPr>
          <w:p>
            <w:pPr>
              <w:spacing w:after="0"/>
              <w:rPr>
                <w:sz w:val="1"/>
                <w:szCs w:val="1"/>
                <w:color w:val="auto"/>
              </w:rPr>
            </w:pPr>
          </w:p>
        </w:tc>
      </w:tr>
      <w:tr>
        <w:trPr>
          <w:trHeight w:val="254"/>
        </w:trPr>
        <w:tc>
          <w:tcPr>
            <w:tcW w:w="5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5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3"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9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color w:val="auto"/>
        </w:rPr>
        <w:t>I, Christopher E. Greiner, Chief Financial Officer of LivePerson, Inc. (the “Company”), certify, pursuant to 18 U.S.C. Section 1350, as adopted pursuant to Section 906 of the Sarbanes-Oxley Act of 2002, that:</w:t>
      </w:r>
    </w:p>
    <w:p>
      <w:pPr>
        <w:spacing w:after="0" w:line="106" w:lineRule="exact"/>
        <w:rPr>
          <w:sz w:val="20"/>
          <w:szCs w:val="20"/>
          <w:color w:val="auto"/>
        </w:rPr>
      </w:pPr>
    </w:p>
    <w:p>
      <w:pPr>
        <w:ind w:left="620" w:right="20" w:hanging="313"/>
        <w:spacing w:after="0" w:line="278"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June 30, 2019, as filed with the Securities and Exchange Commission (the “Report”), fully complies with the requirements of Section 13(a) or 15(d) of the Securities Exchange Act of 1934; and</w:t>
      </w:r>
    </w:p>
    <w:p>
      <w:pPr>
        <w:spacing w:after="0" w:line="106"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19"/>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August 2, 2019</w:t>
            </w:r>
          </w:p>
        </w:tc>
        <w:tc>
          <w:tcPr>
            <w:tcW w:w="252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 CHRISTOPHER E. GREINER</w:t>
            </w: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520" w:type="dxa"/>
            <w:vAlign w:val="bottom"/>
            <w:vMerge w:val="restart"/>
          </w:tcPr>
          <w:p>
            <w:pPr>
              <w:ind w:left="1780"/>
              <w:spacing w:after="0"/>
              <w:rPr>
                <w:sz w:val="20"/>
                <w:szCs w:val="20"/>
                <w:color w:val="auto"/>
              </w:rPr>
            </w:pPr>
            <w:r>
              <w:rPr>
                <w:rFonts w:ascii="Times New Roman" w:cs="Times New Roman" w:eastAsia="Times New Roman" w:hAnsi="Times New Roman"/>
                <w:sz w:val="17"/>
                <w:szCs w:val="17"/>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520" w:type="dxa"/>
            <w:vAlign w:val="bottom"/>
            <w:vMerge w:val="continue"/>
          </w:tcPr>
          <w:p>
            <w:pPr>
              <w:spacing w:after="0"/>
              <w:rPr>
                <w:sz w:val="19"/>
                <w:szCs w:val="19"/>
                <w:color w:val="auto"/>
              </w:rPr>
            </w:pPr>
          </w:p>
        </w:tc>
        <w:tc>
          <w:tcPr>
            <w:tcW w:w="4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Christopher E. Greiner</w:t>
            </w:r>
          </w:p>
        </w:tc>
        <w:tc>
          <w:tcPr>
            <w:tcW w:w="0" w:type="dxa"/>
            <w:vAlign w:val="bottom"/>
          </w:tcPr>
          <w:p>
            <w:pPr>
              <w:spacing w:after="0"/>
              <w:rPr>
                <w:sz w:val="1"/>
                <w:szCs w:val="1"/>
                <w:color w:val="auto"/>
              </w:rPr>
            </w:pPr>
          </w:p>
        </w:tc>
      </w:tr>
      <w:tr>
        <w:trPr>
          <w:trHeight w:val="254"/>
        </w:trPr>
        <w:tc>
          <w:tcPr>
            <w:tcW w:w="7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52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9"/>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29" Type="http://schemas.openxmlformats.org/officeDocument/2006/relationships/hyperlink" Target="http://www.sec.gov/Archives/edgar/data/1102993/000110299319000052/a2018proxy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2019-12-28T09:03:51Z</dcterms:created>
  <dcterms:modified xsi:type="dcterms:W3CDTF">2019-12-28T09:03:51Z</dcterms:modified>
</cp:coreProperties>
</file>