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LivePerson,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13-3861628</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530 7th Ave, Floor M1</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with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(212) 609-4200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LPSN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Rights to Purchase Series A Junior Participating</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The Merger Agreement</w:t>
      </w:r>
    </w:p>
    <w:p>
      <w:pPr>
        <w:spacing w:after="0" w:line="121"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On April 21, 2026,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entered into a Merger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LivePerson, SoundHound AI, Inc., a Delaware corporation (“</w:t>
      </w:r>
      <w:r>
        <w:rPr>
          <w:rFonts w:ascii="Times New Roman" w:cs="Times New Roman" w:eastAsia="Times New Roman" w:hAnsi="Times New Roman"/>
          <w:sz w:val="18"/>
          <w:szCs w:val="18"/>
          <w:u w:val="single" w:color="auto"/>
          <w:color w:val="auto"/>
        </w:rPr>
        <w:t>SoundHound</w:t>
      </w:r>
      <w:r>
        <w:rPr>
          <w:rFonts w:ascii="Times New Roman" w:cs="Times New Roman" w:eastAsia="Times New Roman" w:hAnsi="Times New Roman"/>
          <w:sz w:val="18"/>
          <w:szCs w:val="18"/>
          <w:color w:val="auto"/>
        </w:rPr>
        <w:t>”) and Lightspeed Merger Sub Inc., a Delaware corporation and an indirect wholly owned subsidiary of SoundHound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on the terms and subject to the conditions set forth in the Merger Agreement, Merger Sub will merge with and into LivePerson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LivePerson surviving the Merger as an indirect wholly owned subsidiary of SoundHound. All capitalized terms used in this summary of the Merger Agreement that are not otherwise defined herein have the meanings ascribed to such terms in the Merger Agreement.</w:t>
      </w:r>
    </w:p>
    <w:p>
      <w:pPr>
        <w:spacing w:after="0" w:line="187" w:lineRule="exact"/>
        <w:rPr>
          <w:sz w:val="20"/>
          <w:szCs w:val="20"/>
          <w:color w:val="auto"/>
        </w:rPr>
      </w:pPr>
    </w:p>
    <w:p>
      <w:pPr>
        <w:ind w:left="4" w:right="160"/>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date and time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common stock, par value $0.001 per share, of LivePerson (“</w:t>
      </w:r>
      <w:r>
        <w:rPr>
          <w:rFonts w:ascii="Times New Roman" w:cs="Times New Roman" w:eastAsia="Times New Roman" w:hAnsi="Times New Roman"/>
          <w:sz w:val="18"/>
          <w:szCs w:val="18"/>
          <w:u w:val="single" w:color="auto"/>
          <w:color w:val="auto"/>
        </w:rPr>
        <w:t>LivePerson Common Stock</w:t>
      </w:r>
      <w:r>
        <w:rPr>
          <w:rFonts w:ascii="Times New Roman" w:cs="Times New Roman" w:eastAsia="Times New Roman" w:hAnsi="Times New Roman"/>
          <w:sz w:val="18"/>
          <w:szCs w:val="18"/>
          <w:color w:val="auto"/>
        </w:rPr>
        <w:t>”) issued and outstanding immediately prior to the Effective Time (other than certain excluded shares) will be automatically converted into the right to receive a number of shares of Class A common stock of SoundHound, par value $0.0001 per share (“</w:t>
      </w:r>
      <w:r>
        <w:rPr>
          <w:rFonts w:ascii="Times New Roman" w:cs="Times New Roman" w:eastAsia="Times New Roman" w:hAnsi="Times New Roman"/>
          <w:sz w:val="18"/>
          <w:szCs w:val="18"/>
          <w:u w:val="single" w:color="auto"/>
          <w:color w:val="auto"/>
        </w:rPr>
        <w:t>SoundHound Common Stock</w:t>
      </w:r>
      <w:r>
        <w:rPr>
          <w:rFonts w:ascii="Times New Roman" w:cs="Times New Roman" w:eastAsia="Times New Roman" w:hAnsi="Times New Roman"/>
          <w:sz w:val="18"/>
          <w:szCs w:val="18"/>
          <w:color w:val="auto"/>
        </w:rPr>
        <w:t>”)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Effective Time (such number of shares, the “</w:t>
      </w:r>
      <w:r>
        <w:rPr>
          <w:rFonts w:ascii="Times New Roman" w:cs="Times New Roman" w:eastAsia="Times New Roman" w:hAnsi="Times New Roman"/>
          <w:sz w:val="18"/>
          <w:szCs w:val="18"/>
          <w:u w:val="single" w:color="auto"/>
          <w:color w:val="auto"/>
        </w:rPr>
        <w:t>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Diluted Common 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It is intended that the Merger be treated as a transaction in which gain or loss is recognized for U.S. federal income tax purposes.</w:t>
      </w:r>
    </w:p>
    <w:p>
      <w:pPr>
        <w:spacing w:after="0" w:line="19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aggregate amount of consideration payable by SoundHound to holders of LivePerson Common Stock in connection with the Merger pursuant to the terms of the Merger Agreement will be a number of shares of SoundHound Common Stock equal to the quotient of (a) the Aggregate Consideration Amount (as defined below), divided by (b) the SoundHound Closing Stock Price (the “</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refers to an amount equal to (a) $42,784,532.64, minus (b) the LivePerson Shortfall Cash (as defined below), plus (c) the aggregate dollar amount of the exercise prices of all In-the-Money Options (as defined below) (other than options assumed by SoundHound and converted into an option to acquire shares of SoundHound Common Stock, in accordance with the terms of the Merger Agreement).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Shortfall Cash</w:t>
      </w:r>
      <w:r>
        <w:rPr>
          <w:rFonts w:ascii="Times New Roman" w:cs="Times New Roman" w:eastAsia="Times New Roman" w:hAnsi="Times New Roman"/>
          <w:sz w:val="18"/>
          <w:szCs w:val="18"/>
          <w:color w:val="auto"/>
        </w:rPr>
        <w:t>” refers to an amount equal to (x) $74,000,000 (or, solely for purposes of the Merger Agreement, $71,000,000 if the Closing occurs in July), minus (y) the aggregate principal amount of LivePerson’s 0% convertible notes due 2026 (the “</w:t>
      </w:r>
      <w:r>
        <w:rPr>
          <w:rFonts w:ascii="Times New Roman" w:cs="Times New Roman" w:eastAsia="Times New Roman" w:hAnsi="Times New Roman"/>
          <w:sz w:val="18"/>
          <w:szCs w:val="18"/>
          <w:u w:val="single" w:color="auto"/>
          <w:color w:val="auto"/>
        </w:rPr>
        <w:t>2026 Convertible Notes</w:t>
      </w:r>
      <w:r>
        <w:rPr>
          <w:rFonts w:ascii="Times New Roman" w:cs="Times New Roman" w:eastAsia="Times New Roman" w:hAnsi="Times New Roman"/>
          <w:sz w:val="18"/>
          <w:szCs w:val="18"/>
          <w:color w:val="auto"/>
        </w:rPr>
        <w:t>”) repurchased by LivePerson between April 1, 2026 and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figure resulting from clause (x) minus clause (y), the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Minimum Cash</w:t>
      </w:r>
      <w:r>
        <w:rPr>
          <w:rFonts w:ascii="Times New Roman" w:cs="Times New Roman" w:eastAsia="Times New Roman" w:hAnsi="Times New Roman"/>
          <w:sz w:val="18"/>
          <w:szCs w:val="18"/>
          <w:color w:val="auto"/>
        </w:rPr>
        <w:t>”), minus (z) the cash and cash equivalents on LivePerson’s balance sheet as of 12:01 a.m. Pacific Time on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(net of certain LivePerson transaction expenses as of the Closing) (the foregoing clause (z), the “</w:t>
      </w:r>
      <w:r>
        <w:rPr>
          <w:rFonts w:ascii="Times New Roman" w:cs="Times New Roman" w:eastAsia="Times New Roman" w:hAnsi="Times New Roman"/>
          <w:sz w:val="18"/>
          <w:szCs w:val="18"/>
          <w:u w:val="single" w:color="auto"/>
          <w:color w:val="auto"/>
        </w:rPr>
        <w:t>LivePerson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Balance</w:t>
      </w:r>
      <w:r>
        <w:rPr>
          <w:rFonts w:ascii="Times New Roman" w:cs="Times New Roman" w:eastAsia="Times New Roman" w:hAnsi="Times New Roman"/>
          <w:sz w:val="18"/>
          <w:szCs w:val="18"/>
          <w:color w:val="auto"/>
        </w:rPr>
        <w:t>”); provided that, if a negative number results from such calculation, “LivePerson Shortfall Cash” will be $0. The “</w:t>
      </w:r>
      <w:r>
        <w:rPr>
          <w:rFonts w:ascii="Times New Roman" w:cs="Times New Roman" w:eastAsia="Times New Roman" w:hAnsi="Times New Roman"/>
          <w:sz w:val="18"/>
          <w:szCs w:val="18"/>
          <w:u w:val="single" w:color="auto"/>
          <w:color w:val="auto"/>
        </w:rPr>
        <w:t>SoundHound Closing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refers to the price per share of SoundHound Common Stock derived from the average of the daily volume weighted average prices of a share of SoundHound Common Stock on the Nasdaq on each of the ten (10) consecutive trading days ending on (and including) the trading day that is three</w:t>
      </w:r>
    </w:p>
    <w:p>
      <w:pPr>
        <w:spacing w:after="0" w:line="4" w:lineRule="exact"/>
        <w:rPr>
          <w:sz w:val="20"/>
          <w:szCs w:val="20"/>
          <w:color w:val="auto"/>
        </w:rPr>
      </w:pPr>
    </w:p>
    <w:p>
      <w:pPr>
        <w:ind w:left="264" w:hanging="264"/>
        <w:spacing w:after="0"/>
        <w:tabs>
          <w:tab w:leader="none" w:pos="26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days prior to the Closing Date, rounded down to the nearest penny, as reported by Bloomberg; provided that, in the event such price per share</w:t>
      </w:r>
    </w:p>
    <w:p>
      <w:pPr>
        <w:spacing w:after="0" w:line="20" w:lineRule="exact"/>
        <w:rPr>
          <w:rFonts w:ascii="Times New Roman" w:cs="Times New Roman" w:eastAsia="Times New Roman" w:hAnsi="Times New Roman"/>
          <w:sz w:val="17"/>
          <w:szCs w:val="17"/>
          <w:color w:val="auto"/>
        </w:rPr>
      </w:pPr>
    </w:p>
    <w:p>
      <w:pPr>
        <w:ind w:left="4"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exceeds $12 per share, “SoundHound Closing Stock Price” will be $12 per share or (II) falls below $7 per share, “SoundHound Closing Stock Price” will be $7 per share.</w:t>
      </w:r>
    </w:p>
    <w:p>
      <w:pPr>
        <w:spacing w:after="0" w:line="18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at the Effective Time, (i) each option to purchase shares of LivePerson Common Stock (a “</w:t>
      </w:r>
      <w:r>
        <w:rPr>
          <w:rFonts w:ascii="Times New Roman" w:cs="Times New Roman" w:eastAsia="Times New Roman" w:hAnsi="Times New Roman"/>
          <w:sz w:val="18"/>
          <w:szCs w:val="18"/>
          <w:u w:val="single" w:color="auto"/>
          <w:color w:val="auto"/>
        </w:rPr>
        <w:t>LivePerson Option</w:t>
      </w:r>
      <w:r>
        <w:rPr>
          <w:rFonts w:ascii="Times New Roman" w:cs="Times New Roman" w:eastAsia="Times New Roman" w:hAnsi="Times New Roman"/>
          <w:sz w:val="18"/>
          <w:szCs w:val="18"/>
          <w:color w:val="auto"/>
        </w:rPr>
        <w:t>”) with a per-share exercise price less than the product of the Per Share Merger Consideration multiplied by the SoundHound Closing Stock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and held by any individual who is not an “employee” of SoundHound within the meaning of Form S-8 as of immediately after the Effective Time will be entitled to receive the Per Share Merger Consideration applicable to the number of shares covered by such LivePerson Option, net of the applicable exercise price and less applicable tax withholdings; (ii) each LivePerson Option that is not an In-the-Money Option will be cancelled for no consideration; (iii) restricted stock units with respect to shares of LivePerson Common Stock (the “</w:t>
      </w:r>
      <w:r>
        <w:rPr>
          <w:rFonts w:ascii="Times New Roman" w:cs="Times New Roman" w:eastAsia="Times New Roman" w:hAnsi="Times New Roman"/>
          <w:sz w:val="18"/>
          <w:szCs w:val="18"/>
          <w:u w:val="single" w:color="auto"/>
          <w:color w:val="auto"/>
        </w:rPr>
        <w:t>LivePerson RSUs</w:t>
      </w:r>
      <w:r>
        <w:rPr>
          <w:rFonts w:ascii="Times New Roman" w:cs="Times New Roman" w:eastAsia="Times New Roman" w:hAnsi="Times New Roman"/>
          <w:sz w:val="18"/>
          <w:szCs w:val="18"/>
          <w:color w:val="auto"/>
        </w:rPr>
        <w:t>”) held by non-employee directors of LivePerson and each LivePerson RSU that has vested but not yet settled will be entitled to receive the Per Share Merger Consideration in respect of each LivePerson RSU, less applicable tax withholdings; (iv) all other In-the-Money Options and LivePerson RSUs will be assumed by SoundHound and converted into corresponding awards denominated in shares of SoundHound Common Stock in accordance with the terms set forth in the Merger Agreement and (v) all warrants to purchase shares of LivePerson Common Stock will be cancelled for no consideration. The Merger Agreement also provides that in the event the treatment, as set forth in (i)–(iv) above, of any LivePerson Options or LivePerson RSUs held by persons outside of the United States would be administratively burdensome to SoundHound, SoundHound may either cash out such equity awards or convert them into cash-based awards that continue to vest on the same schedule.</w:t>
      </w:r>
    </w:p>
    <w:p>
      <w:pPr>
        <w:sectPr>
          <w:pgSz w:w="11900" w:h="16838" w:orient="portrait"/>
          <w:cols w:equalWidth="0" w:num="1">
            <w:col w:w="11004"/>
          </w:cols>
          <w:pgMar w:left="436" w:top="293" w:right="459" w:bottom="1440" w:gutter="0" w:footer="0" w:header="0"/>
        </w:sectPr>
      </w:pPr>
    </w:p>
    <w:bookmarkStart w:id="2" w:name="page3"/>
    <w:bookmarkEnd w:id="2"/>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Under the terms of the Merger Agreement, completion of the Merger is subject to customary closing conditions, including, among others (a) the adoption of the Merger Agreement by the stockholders of LivePerson; (b) the absence of any law, order or other legal impediment prohibiting the consummation of the Merger; (c) the receipt of approvals under certain applicable foreign direct investment laws; (d) the approval for listing the shares of SoundHound Common Stock issuable to the stockholders of LivePerson pursuant to the Merger Agreement on the Nasdaq; (e) the effectiveness of SoundHound’s registration statement on Form S-4; (f) the accuracy of the parties’ respective representations and warranties in the Merger Agreement, subject to specified materiality qualifications; (g) the performance or compliance by SoundHound and LivePerson with the covenants in the Merger Agreement in all material respects; (h) the absence of a material adverse effect on LivePerson (as defined in the Merger Agreement); and (i) the consummation of the Notes Restructuring Transactions (as defined below).</w:t>
      </w:r>
    </w:p>
    <w:p>
      <w:pPr>
        <w:spacing w:after="0" w:line="19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and covenants made by each of SoundHound, Merger Sub and LivePerson, including, among others, covenants by LivePerson regarding the conduct of its business during the pendency of the transactions contemplated by the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Both SoundHound and LivePerson may terminate the Merger Agreement under specified circumstances, including (a) if the Merger is not completed by October 21, 2026 (which date may be extended to December 5, 2026 if certain regulatory approvals have not been obtained); (b) if LivePerson fails to obtain stockholder approval; (c) if the board of directors of LivePerson (the “</w:t>
      </w:r>
      <w:r>
        <w:rPr>
          <w:rFonts w:ascii="Times New Roman" w:cs="Times New Roman" w:eastAsia="Times New Roman" w:hAnsi="Times New Roman"/>
          <w:sz w:val="18"/>
          <w:szCs w:val="18"/>
          <w:u w:val="single" w:color="auto"/>
          <w:color w:val="auto"/>
        </w:rPr>
        <w:t>LivePerson Board</w:t>
      </w:r>
      <w:r>
        <w:rPr>
          <w:rFonts w:ascii="Times New Roman" w:cs="Times New Roman" w:eastAsia="Times New Roman" w:hAnsi="Times New Roman"/>
          <w:sz w:val="18"/>
          <w:szCs w:val="18"/>
          <w:color w:val="auto"/>
        </w:rPr>
        <w:t>”) makes an adverse recommendation change with respect to the Merger or commits a material breach of its non-solicitation obligations; (d) if the LivePerson Board terminates to accept a superior acquisition proposal; or (e) if the Notes Restructuring Transactions are terminated for any reason. The Merger Agreement further provides that LivePerson is required to pay SoundHound a termination fee of $5,000,000, plus SoundHound’s transaction expenses, if the Merger Agreement is terminated under certain specified circumstances, including if the LivePerson Board changes or withdraws its recommendation of the Merger, terminates the Merger Agreement to enter into an agreement with respect to a superior acquisition proposal or if the Notes Restructuring Transactions terminate for any reason or otherwise fail to consummate by the Outside Date (as defined in the Merger Agreement), except where such termination or failure to consummate primarily resulted from SoundHound’s material breach of the Notes Restructuring Agreement; provided that where a termination fee is payable in connection with the failure to consummate, or termination of, the Note Restructuring Transactions, the obligation to reimburse SoundHound’s transaction expenses will be capped at $3,750,000.</w:t>
      </w:r>
    </w:p>
    <w:p>
      <w:pPr>
        <w:spacing w:after="0" w:line="1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Merger Agreement and the consummation of the transactions contemplated thereby, including the Merger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have been unanimously approved by the LivePerson Board, and the LivePerson Board has resolved to recommend to the stockholders of LivePerson to adopt the Merger Agreement, subject to its terms and conditions.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Merger Agreement is attached hereto as Exhibit 2.1 and is incorporated herein by reference. The foregoing description does not purport to be complete and is subject to and qualified in its entirety by reference to the Merger Agreement. The Merger Agreement has been attached to provide investors with information regarding its terms. It is not intended to provide any other factual information about SoundHound, Merger Sub or LivePerson. In particular, the assertions embodied in the representations and warranties contained in the Merger Agreement are qualified by information in a confidential disclosure letter provided by LivePerson to SoundHound in connection with the signing of the Merger Agreement and in filings of the parties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confidential disclosure letter contains information that modifies, qualifies and creates exceptions to the representations and warranties and certain covenants set forth in the Merger Agreement. Moreover, the representations and warranties in the Merger Agreement were used for the purposes of allocating risk between SoundHound and LivePerson rather than establishing matters of fact. Accordingly, the representations and warranties in the Merger Agreement should not be relied on as characterization of the actual state of facts about SoundHound, Merger Sub or LivePerson.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Notes Restructuring Agreement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April 21, 2026, concurrently with the execution and delivery of the Merger Agreement, SoundHound entered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with LivePerson and each of the holders of LivePerson’s First Lien Convertible Secured Notes due 2029 (the “</w:t>
      </w:r>
      <w:r>
        <w:rPr>
          <w:rFonts w:ascii="Times New Roman" w:cs="Times New Roman" w:eastAsia="Times New Roman" w:hAnsi="Times New Roman"/>
          <w:sz w:val="18"/>
          <w:szCs w:val="18"/>
          <w:u w:val="single" w:color="auto"/>
          <w:color w:val="auto"/>
        </w:rPr>
        <w:t>First Lien Secured Notes</w:t>
      </w:r>
      <w:r>
        <w:rPr>
          <w:rFonts w:ascii="Times New Roman" w:cs="Times New Roman" w:eastAsia="Times New Roman" w:hAnsi="Times New Roman"/>
          <w:sz w:val="18"/>
          <w:szCs w:val="18"/>
          <w:color w:val="auto"/>
        </w:rPr>
        <w:t>”) and LivePerson’s Second Lien Senior Subordinated Secured Notes due 2029 (the “</w:t>
      </w:r>
      <w:r>
        <w:rPr>
          <w:rFonts w:ascii="Times New Roman" w:cs="Times New Roman" w:eastAsia="Times New Roman" w:hAnsi="Times New Roman"/>
          <w:sz w:val="18"/>
          <w:szCs w:val="18"/>
          <w:u w:val="single" w:color="auto"/>
          <w:color w:val="auto"/>
        </w:rPr>
        <w:t>Second Lien Secured Notes</w:t>
      </w:r>
      <w:r>
        <w:rPr>
          <w:rFonts w:ascii="Times New Roman" w:cs="Times New Roman" w:eastAsia="Times New Roman" w:hAnsi="Times New Roman"/>
          <w:sz w:val="18"/>
          <w:szCs w:val="18"/>
          <w:color w:val="auto"/>
        </w:rPr>
        <w:t>” and, together with the First Lien Secured Notes, the “</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pursuant to which and on the terms and subject to the conditions thereof, among other things, the holders of the Secured Notes have agreed to release and deem satisfied the Secured Notes for the consideration contemplated thereby (the transactions contemplated by the Notes Restructuring Agreement, “</w:t>
      </w: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97" w:right="459" w:bottom="1440" w:gutter="0" w:footer="0" w:header="0"/>
        </w:sectPr>
      </w:pPr>
    </w:p>
    <w:bookmarkStart w:id="3" w:name="page4"/>
    <w:bookmarkEnd w:id="3"/>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Upon consummation of the Notes Restructuring Transactions, on the terms and subject to the conditions set forth in the Notes Restructuring Agreement, each holder of First Lien Secured Notes has agreed to accept, in full and complete satisfaction of all obligations of LivePerson to such holder, (a) a number of shares of SoundHound Common Stock equal to the quotient of (i) $178,007,733.68 (the “</w:t>
      </w:r>
      <w:r>
        <w:rPr>
          <w:rFonts w:ascii="Times New Roman" w:cs="Times New Roman" w:eastAsia="Times New Roman" w:hAnsi="Times New Roman"/>
          <w:sz w:val="18"/>
          <w:szCs w:val="18"/>
          <w:u w:val="single" w:color="auto"/>
          <w:color w:val="auto"/>
        </w:rPr>
        <w:t>First Lien Holder Aggregate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divided by (ii) the SoundHound Closing Stock Price and (b) an amount in cash paid by LivePerson concurrently with Closing in the amount of (i) accrued and unpaid interest on the First Lien Secured Notes held by such holder, plus (ii) 65% of any LivePerson Excess Cash.</w:t>
      </w:r>
    </w:p>
    <w:p>
      <w:pPr>
        <w:spacing w:after="0" w:line="183"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Second Lien Secured Notes has agreed to accept, in full and complete satisfaction of all obligations of LivePerson to such holder, such holder’s pro rata portion of (a) a number of shares of SoundHound Common Stock equal to the quotient of (i) $83,207,733.68 (the “</w:t>
      </w:r>
      <w:r>
        <w:rPr>
          <w:rFonts w:ascii="Times New Roman" w:cs="Times New Roman" w:eastAsia="Times New Roman" w:hAnsi="Times New Roman"/>
          <w:sz w:val="18"/>
          <w:szCs w:val="18"/>
          <w:u w:val="single" w:color="auto"/>
          <w:color w:val="auto"/>
        </w:rPr>
        <w:t>Second Lien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divided by (ii) the SoundHound Closing 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spacing w:after="0" w:line="187"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LivePerson Excess Cash</w:t>
      </w:r>
      <w:r>
        <w:rPr>
          <w:rFonts w:ascii="Times New Roman" w:cs="Times New Roman" w:eastAsia="Times New Roman" w:hAnsi="Times New Roman"/>
          <w:sz w:val="18"/>
          <w:szCs w:val="18"/>
          <w:color w:val="auto"/>
        </w:rPr>
        <w:t>” refers to the difference of (a) the LivePerson Cash Balance, minus (b) the LivePerson Minimum Cash; provided that, if a negative number results from such calculation, “LivePerson Excess Cash” shall be $0.</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shares of SoundHound Common Stock to be issued in connection with the Notes Restructuring Transactions are expected to be issued in reliance on the exemption from registration pursuant to Section 4(a)(2) of the Securities Act of 1933, as amended (the “Securities Act”).</w:t>
      </w:r>
    </w:p>
    <w:p>
      <w:pPr>
        <w:spacing w:after="0" w:line="162" w:lineRule="exact"/>
        <w:rPr>
          <w:sz w:val="20"/>
          <w:szCs w:val="20"/>
          <w:color w:val="auto"/>
        </w:rPr>
      </w:pPr>
    </w:p>
    <w:p>
      <w:pPr>
        <w:ind w:left="4" w:right="260"/>
        <w:spacing w:after="0" w:line="276" w:lineRule="auto"/>
        <w:rPr>
          <w:sz w:val="20"/>
          <w:szCs w:val="20"/>
          <w:color w:val="auto"/>
        </w:rPr>
      </w:pPr>
      <w:r>
        <w:rPr>
          <w:rFonts w:ascii="Times New Roman" w:cs="Times New Roman" w:eastAsia="Times New Roman" w:hAnsi="Times New Roman"/>
          <w:sz w:val="17"/>
          <w:szCs w:val="17"/>
          <w:color w:val="auto"/>
        </w:rPr>
        <w:t>The Notes Restructuring Agreement provides SoundHound the option to elect, at any time before the close of business two business days prior to the Closing Date, to substitute an amount of cash in lieu of all or a portion of the stock consideration paid to the holders of Secured Notes, provided that</w:t>
      </w:r>
    </w:p>
    <w:p>
      <w:pPr>
        <w:spacing w:after="0" w:line="1" w:lineRule="exact"/>
        <w:rPr>
          <w:sz w:val="20"/>
          <w:szCs w:val="20"/>
          <w:color w:val="auto"/>
        </w:rPr>
      </w:pPr>
    </w:p>
    <w:p>
      <w:pPr>
        <w:ind w:left="4" w:right="80" w:hanging="4"/>
        <w:spacing w:after="0" w:line="253"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Secured Notes receives the same proportion of its consideration in cash and shares of SoundHound Common Stock; (b) regardless of the SoundHound Closing Stock Price, the proportion of consideration satisfied in cash shall be calculated assuming the stock consideration is worth the First Lien Holder Aggregate Consideration Amount and the Second Lien Holder Aggregate Consideration Amount, respectively and (c) in the event SoundHound Closing Stock Price is greater than $12 per share, SoundHound shall not be entitled to substitute cash for more than 50% of the stock consideration.</w:t>
      </w:r>
    </w:p>
    <w:p>
      <w:pPr>
        <w:spacing w:after="0" w:line="187"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Under the terms of the Notes Restructuring Agreement, completion of the Notes Restructuring Transactions is subject to customary closing conditions, including (a) the absence of any order or other legal impediment prohibiting the consummation of the Notes Restructuring Transactions; (b) the closing conditions under the Merger Agreement being satisfied or waived (other than the consummation of the Notes Restructuring Transactions); (c) the requisite securities law filings having been made; (d) the approval for listing the shares of SoundHound Common Stock issuable to the holder of the Secured Notes pursuant to the Notes Restructuring Agreement on the Nasdaq; (e) the accuracy of the parties’ respective representations and warranties in the Notes Restructuring Agreement, subject to specified materiality qualifications; (f) the performance or compliance by SoundHound, LivePerson and the holders of Secured Notes with the covenants in the Notes Restructuring Agreement in all material respects; (g) the delivery of all required payments under the Notes Restructuring Agreement; (h) the entry into a registration rights agreement in respect of the shares of SoundHound Common Stock issuable to the holders of the Secured Notes; and (i) the substantially contemporaneous consummation of the Notes Restructuring Transactions by the holders of the First Lien Secured Notes and the holders of the Second Lien Secured Notes.</w:t>
      </w:r>
    </w:p>
    <w:p>
      <w:pPr>
        <w:spacing w:after="0" w:line="194"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holders of Secured Notes are required, among other things, not to solicit alternative business combination or note restructuring transactions and not to engage in discussions or negotiations regarding an alternative business combination or note restructuring transaction.</w:t>
      </w:r>
    </w:p>
    <w:p>
      <w:pPr>
        <w:spacing w:after="0" w:line="183"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(as defined in the Merger Agreement). The holders of the First Lien Secured Notes are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SoundHound.</w:t>
      </w:r>
    </w:p>
    <w:p>
      <w:pPr>
        <w:sectPr>
          <w:pgSz w:w="11900" w:h="16838" w:orient="portrait"/>
          <w:cols w:equalWidth="0" w:num="1">
            <w:col w:w="10984"/>
          </w:cols>
          <w:pgMar w:left="436" w:top="297" w:right="479" w:bottom="1440" w:gutter="0" w:footer="0" w:header="0"/>
        </w:sectPr>
      </w:pPr>
    </w:p>
    <w:bookmarkStart w:id="4" w:name="page5"/>
    <w:bookmarkEnd w:id="4"/>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Notes Restructuring Agreement is attached hereto as Exhibit 10.1 and is incorporated herein by reference. The foregoing description does not purport to be complete and is subject to and qualified in its entirety by reference to the Notes Restructuring Agreement.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21, 2026, prior to the execution of the Merger Agreement, the LivePerson Board adopted an amendment to LivePerson’s Fourth Amended and Restated By-Laws (the “</w:t>
      </w:r>
      <w:r>
        <w:rPr>
          <w:rFonts w:ascii="Times New Roman" w:cs="Times New Roman" w:eastAsia="Times New Roman" w:hAnsi="Times New Roman"/>
          <w:sz w:val="18"/>
          <w:szCs w:val="18"/>
          <w:u w:val="single" w:color="auto"/>
          <w:color w:val="auto"/>
        </w:rPr>
        <w:t>By-Laws Amendment</w:t>
      </w:r>
      <w:r>
        <w:rPr>
          <w:rFonts w:ascii="Times New Roman" w:cs="Times New Roman" w:eastAsia="Times New Roman" w:hAnsi="Times New Roman"/>
          <w:sz w:val="18"/>
          <w:szCs w:val="18"/>
          <w:color w:val="auto"/>
        </w:rPr>
        <w:t>”). The By-Laws Amendment adds a new Article X, which provides that, unless LivePerson otherwise consents to an alternative forum in writing, (i) the Court of Chancery of the State of Delaware is designated as the sole and exclusive forum for certain specified legal actions involving LivePerson and (ii) the federal district courts of the United States of America, to the fullest extent permitted by law, are designated as the sole and exclusive forum for the resolution of any complaint asserting a cause of action arising under the Securities Act of 1933, as amended.</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By-Laws Amendment is qualified in its entirety by the full text of the By-Laws Amendment, a copy of which is attached hereto as Exhibit 3.1 and is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April 21, 2026, LivePerson and SoundHound issued a joint press release announcing execution of the Merger Agreement and the Notes Restructuring Agreement. A copy of the press release is furnished as Exhibit 99.1 to this Current Report on Form 8-K and is incorporated herein by reference.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in this report furnished pursuant to Item 7.01, including Exhibit 99.1 attached hereto, shall not be deemed “filed” for the purposes of Section 18 of the Securities Exchange Act of 1934, as amended (the “Exchange Act”), or otherwise subject to the liabilities of that section. It may only be incorporated by reference in another filing under the Exchange Act or the Securities Act, if such subsequent filing specifically references such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statements about SoundHound, LivePerson, the proposed transactions described herein and other matters that are forward-looking statements within the meaning of Section 27A of the Securities Act of 1933, as amended,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 (ii) 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 (c) the inability to obtain required regulatory approvals for the Merger; (d) the timing of obtaining such approvals and the risk that such approvals may result in the imposition of conditions that could adversely affect the combined company or the expected benefits of the proposed transactions; (e) the risk that a condition to closing of the proposed transactions may not be satisfied on a timely basis or at all; (f) the possible occurrence of an event, change or other circumstance that would give rise to the termination of the Merger Agreement; (g) the risk of stockholder litigation in connection with the Merger, including resulting expense or delay in closing of the proposed transactions; (h) the failure of the proposed transactions to close for any other reason; (i) the diversion of the attention of SoundHound and LivePerson management from ongoing business operations; (j) unexpected costs, liabilities, charges or expenses resulting from the proposed transactions; (k) the risk that the integration of SoundHound and LivePerson will be more difficult, time-consuming or expensive than anticipated; (l) the risk of customer loss or other business disruption in connection with the proposed transactions, or of the loss of key employees; (m) the fact that unforeseen liabilities of SoundHound or LivePerson may exist; (n) changes in applicable laws or regulations and extensive and evolving government regulations that impact SoundHound’s or LivePerson’s operations and business; (o) investigations, claims, disputes, enforcement actions, litigation and/or other regulatory or legal proceedings, including with respect to AI technology; (p) risks that SoundHound may not be able to manage strains associated with its growth; (q) dependence on key personnel; (r) stock price volatility; (s) SoundHound’s and LivePerson’s ability to protect their intellectual property and litigation risks; (t) the risk that LivePerson’s usage patterns, customer renewals, customer outcomes and similar metrics differ from expectations; (u) the risk of cybersecurity incidents or breaches impacting LivePerson’s business; (v) the risks related to the use and regulation of artificial intelligence and machine learning; (w) general economic, financial, legal, political and business conditions; and (x) other risks inherent in SoundHound’s and LivePerson’s businesses.</w:t>
      </w:r>
    </w:p>
    <w:p>
      <w:pPr>
        <w:sectPr>
          <w:pgSz w:w="11900" w:h="16838" w:orient="portrait"/>
          <w:cols w:equalWidth="0" w:num="1">
            <w:col w:w="11000"/>
          </w:cols>
          <w:pgMar w:left="440" w:top="297" w:right="459" w:bottom="1440" w:gutter="0" w:footer="0" w:header="0"/>
        </w:sectPr>
      </w:pPr>
    </w:p>
    <w:bookmarkStart w:id="5" w:name="page6"/>
    <w:bookmarkEnd w:id="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All such factors are difficult to predict, are beyond SoundHound’s and LivePerson’s control, and are subject to additional risks and uncertainties, including those detailed in SoundHound’s annual report on Form 10-K for the year ended December 31, 2025 and those detailed in LivePerson’s annual report on Form 10-K for the year ended December 31, 2025. These risks, as well as other risks related to the proposed transaction, will be included in the Form S-4 and proxy statement/prospectus (each as defined below) that SoundHound and LivePerson intend to file with the SEC in connection with the proposed transaction. Forward-looking statements are based on the estimates and opinions of management at the time the statements are made. Neither SoundHound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SoundHound intends to file with the SEC a registration statement on Form S-4 (the “Form S-4”) that will include a proxy statement of LivePerson and that will also constitute a prospectus of SoundHound with respect to the shares of SoundHound common stock to be issued in the proposed transaction (the “proxy statement/prospectus”). The definitive proxy statement/prospectus (if and when available) will be filed with the SEC by, and mailed to shareholders of, LivePerson. Each of SoundHound and LivePerson may also file other relevant documents with the SEC regarding the proposed transaction.</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SoundHound or LivePerson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and LivePerson, free of charge on the SEC’s website at www.sec.gov. Copies of the documents filed with, or furnished to, the SEC by SoundHound will be available free of charge on SoundHound’s website</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SoundHound’s or LivePerson’s website is not incorporated by reference into this communication.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https://www.sec.gov/ix?doc=/Archives/edgar/data/1102993/000110299325000159/lpsn-20250917.htm; in the Form 3 and Form 4 statements of beneficial ownership and statements of changes in beneficial ownership filed with the SEC by LivePerson’s directors and executive officers; and in other documents filed by LivePerson with the SEC.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ectPr>
          <w:pgSz w:w="11900" w:h="16838" w:orient="portrait"/>
          <w:cols w:equalWidth="0" w:num="1">
            <w:col w:w="11020"/>
          </w:cols>
          <w:pgMar w:left="440" w:top="297"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8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5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9680" w:type="dxa"/>
            <w:vAlign w:val="bottom"/>
            <w:gridSpan w:val="7"/>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6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Merger Agreement, dated as of April 21, 2026, by and among SoundHound AI, Inc., Lightspeed Merger Sub Inc. and LivePerson, Inc.</w:t>
              </w:r>
            </w:hyperlink>
          </w:p>
        </w:tc>
      </w:tr>
      <w:tr>
        <w:trPr>
          <w:trHeight w:val="196"/>
        </w:trPr>
        <w:tc>
          <w:tcPr>
            <w:tcW w:w="880" w:type="dxa"/>
            <w:vAlign w:val="bottom"/>
          </w:tcPr>
          <w:p>
            <w:pPr>
              <w:spacing w:after="0"/>
              <w:rPr>
                <w:sz w:val="17"/>
                <w:szCs w:val="17"/>
                <w:color w:val="auto"/>
              </w:rPr>
            </w:pPr>
          </w:p>
        </w:tc>
        <w:tc>
          <w:tcPr>
            <w:tcW w:w="8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(incorporated by reference to Exhibit 2.1 to Current Report on Form 8-K filed by SoundHound AI, Inc. on April 21, 2026).</w:t>
              </w:r>
            </w:hyperlink>
          </w:p>
        </w:tc>
        <w:tc>
          <w:tcPr>
            <w:tcW w:w="820" w:type="dxa"/>
            <w:vAlign w:val="bottom"/>
            <w:gridSpan w:val="4"/>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Amendment to LivePerson Inc.’s Fourth Amended and Restated By-Laws.</w:t>
            </w:r>
          </w:p>
        </w:tc>
      </w:tr>
      <w:tr>
        <w:trPr>
          <w:trHeight w:val="20"/>
        </w:trPr>
        <w:tc>
          <w:tcPr>
            <w:tcW w:w="88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Restructuring Agreement, dated as of April 21, 2026, by and among SoundHound AI, Inc., LivePerson, Inc. and each holder of</w:t>
            </w:r>
          </w:p>
        </w:tc>
      </w:tr>
      <w:tr>
        <w:trPr>
          <w:trHeight w:val="196"/>
        </w:trPr>
        <w:tc>
          <w:tcPr>
            <w:tcW w:w="880" w:type="dxa"/>
            <w:vAlign w:val="bottom"/>
          </w:tcPr>
          <w:p>
            <w:pPr>
              <w:spacing w:after="0"/>
              <w:rPr>
                <w:sz w:val="17"/>
                <w:szCs w:val="17"/>
                <w:color w:val="auto"/>
              </w:rPr>
            </w:pPr>
          </w:p>
        </w:tc>
        <w:tc>
          <w:tcPr>
            <w:tcW w:w="9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LivePerson’s First Lien Convertible Senior Notes due 2029 and Second Lien Senior Subordinated Secured Notes due 2029.</w:t>
            </w:r>
          </w:p>
        </w:tc>
        <w:tc>
          <w:tcPr>
            <w:tcW w:w="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80" w:type="dxa"/>
            <w:vAlign w:val="bottom"/>
            <w:gridSpan w:val="2"/>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5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Joint Press Release of SoundHound AI, Inc. and LivePerson, Inc., dated April 21, 2026. (incorporated by reference to Exhibit 99.1 to</w:t>
              </w:r>
            </w:hyperlink>
          </w:p>
        </w:tc>
        <w:tc>
          <w:tcPr>
            <w:tcW w:w="10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680" w:type="dxa"/>
            <w:vAlign w:val="bottom"/>
            <w:gridSpan w:val="7"/>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Current Report on Form 8-K filed by SoundHound AI, Inc. on April 21, 2026).</w:t>
              </w:r>
            </w:hyperlink>
          </w:p>
        </w:tc>
      </w:tr>
      <w:tr>
        <w:trPr>
          <w:trHeight w:val="20"/>
        </w:trPr>
        <w:tc>
          <w:tcPr>
            <w:tcW w:w="880" w:type="dxa"/>
            <w:vAlign w:val="bottom"/>
          </w:tcPr>
          <w:p>
            <w:pPr>
              <w:spacing w:after="0" w:line="20" w:lineRule="exact"/>
              <w:rPr>
                <w:sz w:val="1"/>
                <w:szCs w:val="1"/>
                <w:color w:val="auto"/>
              </w:rPr>
            </w:pPr>
          </w:p>
        </w:tc>
        <w:tc>
          <w:tcPr>
            <w:tcW w:w="5680" w:type="dxa"/>
            <w:vAlign w:val="bottom"/>
            <w:gridSpan w:val="2"/>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224" w:right="260"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and (a)(6) of Regulation S-K. LivePerson hereby undertakes to furnish supplemental copies of any of the omitted schedules and exhibits upon request by the SEC.</w:t>
      </w:r>
    </w:p>
    <w:p>
      <w:pPr>
        <w:sectPr>
          <w:pgSz w:w="11900" w:h="16838" w:orient="portrait"/>
          <w:cols w:equalWidth="0" w:num="1">
            <w:col w:w="10564"/>
          </w:cols>
          <w:pgMar w:left="436" w:top="293" w:right="899" w:bottom="1440" w:gutter="0" w:footer="0" w:header="0"/>
        </w:sectPr>
      </w:pPr>
    </w:p>
    <w:bookmarkStart w:id="7" w:name="page8"/>
    <w:bookmarkEnd w:id="7"/>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John Collins</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ectPr>
          <w:pgSz w:w="11900" w:h="16838" w:orient="portrait"/>
          <w:cols w:equalWidth="0" w:num="1">
            <w:col w:w="10700"/>
          </w:cols>
          <w:pgMar w:left="440" w:top="293" w:right="7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April 21, 2026</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Fourth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LivePerson,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made effective as of the date first above written in accordance with Article IX of the By-Laws, and hereby amends the By-Laws by inserting the following new Article X at the end thereof: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if the Court of Chancery of the State of Delaware does not have jurisdiction, any other state or federal court located within the State of Delaware with jurisdiction) shall, to the fullest extent permitted by law, be the sole and exclusive forum for (i) any derivative action, suit or proceeding brought on behalf of the Corporation, (ii) any action, suit or proceeding asserting a claim for or based on a breach of a fiduciary duty owed by any current or former director, officer, stockholder, employee or agent of the Corporation to the Corporation or to the Corporation’s stockholders, including a claim alleging the aiding and abetting of such a breach of fiduciary duty, (iii) any action, suit or proceeding asserting a claim against the Corporation or any current or former director or officer or other employee of the Corporation arising pursuant to any provision of the General Corporation Law of Delaware or the Certificate of Incorporation or these By-Laws (as either may be amended from time to time), (iv) any action, suit or proceeding asserting a claim related to or involving the Corporation that is governed by the internal affairs doctrine, or (v) any action, suit or proceeding asserting an “internal corporate claim” as that term is defined in Section 115 of the General Corporation Law of Delaware.</w:t>
      </w:r>
    </w:p>
    <w:p>
      <w:pPr>
        <w:spacing w:after="0" w:line="194"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against the Corporation or any officer or director of the Corporation.</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capital stock of the Corporation shall be deemed to have notice of and consented to the provisions of this Article X.</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amended or modified by this Amendment, the provisions of the By-Laws shall remain in full force and effect.</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RESTRUCTURING AGREEMENT</w:t>
      </w:r>
    </w:p>
    <w:p>
      <w:pPr>
        <w:spacing w:after="0" w:line="225" w:lineRule="exact"/>
        <w:rPr>
          <w:sz w:val="20"/>
          <w:szCs w:val="20"/>
          <w:color w:val="auto"/>
        </w:rPr>
      </w:pPr>
    </w:p>
    <w:p>
      <w:pPr>
        <w:jc w:val="both"/>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NOTES RESTRUCTURING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April 21, 2026, by and among LivePerson, Inc.,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SoundHound AI, Inc., a Delaware corporation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xml:space="preserve">”), and the several holders of the Secured Notes (as defined below)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Issuer, the Acquiror, and each Holder are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before the date hereof, the Issuer issued $200.0 million in aggregate principal amount of its First Lien Convertible Secured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2029 (the “</w:t>
      </w:r>
      <w:r>
        <w:rPr>
          <w:rFonts w:ascii="Times New Roman" w:cs="Times New Roman" w:eastAsia="Times New Roman" w:hAnsi="Times New Roman"/>
          <w:sz w:val="18"/>
          <w:szCs w:val="18"/>
          <w:b w:val="1"/>
          <w:bCs w:val="1"/>
          <w:i w:val="1"/>
          <w:iCs w:val="1"/>
          <w:color w:val="auto"/>
        </w:rPr>
        <w:t>First Lien Secured Notes</w:t>
      </w:r>
      <w:r>
        <w:rPr>
          <w:rFonts w:ascii="Times New Roman" w:cs="Times New Roman" w:eastAsia="Times New Roman" w:hAnsi="Times New Roman"/>
          <w:sz w:val="18"/>
          <w:szCs w:val="18"/>
          <w:color w:val="auto"/>
        </w:rPr>
        <w:t>”), and following payments of interest in kind, $221,877,243.00 principal amount of First Lien Secured Notes are outstanding as of the date hereof;</w:t>
      </w:r>
    </w:p>
    <w:p>
      <w:pPr>
        <w:spacing w:after="0" w:line="171"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12, 2025, the Issuer issued $115.0 million in aggregate principal amount of its 10.0% Second Lien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Subordinated Secured Notes due 2029 (the “</w:t>
      </w:r>
      <w:r>
        <w:rPr>
          <w:rFonts w:ascii="Times New Roman" w:cs="Times New Roman" w:eastAsia="Times New Roman" w:hAnsi="Times New Roman"/>
          <w:sz w:val="18"/>
          <w:szCs w:val="18"/>
          <w:b w:val="1"/>
          <w:bCs w:val="1"/>
          <w:i w:val="1"/>
          <w:iCs w:val="1"/>
          <w:color w:val="auto"/>
        </w:rPr>
        <w:t>Second Lien Secured Notes</w:t>
      </w:r>
      <w:r>
        <w:rPr>
          <w:rFonts w:ascii="Times New Roman" w:cs="Times New Roman" w:eastAsia="Times New Roman" w:hAnsi="Times New Roman"/>
          <w:sz w:val="18"/>
          <w:szCs w:val="18"/>
          <w:color w:val="auto"/>
        </w:rPr>
        <w:t>,” and together with the First Lien Secured Notes, the “</w:t>
      </w:r>
      <w:r>
        <w:rPr>
          <w:rFonts w:ascii="Times New Roman" w:cs="Times New Roman" w:eastAsia="Times New Roman" w:hAnsi="Times New Roman"/>
          <w:sz w:val="18"/>
          <w:szCs w:val="18"/>
          <w:b w:val="1"/>
          <w:bCs w:val="1"/>
          <w:i w:val="1"/>
          <w:iCs w:val="1"/>
          <w:color w:val="auto"/>
        </w:rPr>
        <w:t>Secured Notes</w:t>
      </w:r>
      <w:r>
        <w:rPr>
          <w:rFonts w:ascii="Times New Roman" w:cs="Times New Roman" w:eastAsia="Times New Roman" w:hAnsi="Times New Roman"/>
          <w:sz w:val="18"/>
          <w:szCs w:val="18"/>
          <w:color w:val="auto"/>
        </w:rPr>
        <w:t>”), and following a payment of interest in kind, $120,845,834.00 principal amount of Second Lien Secured Notes are outstanding as of the date 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Holders hold, in aggregate, one hundred percent (100%) of the outstanding Secured Notes;</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Acquiror, the Issuer and Lightspeed Merger Sub Inc., a Delaware corporation and an indirect wholly owned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Acquiror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have entered into that certain Merger Agreement (as amended, supplemented or modified from time to time in accordance with the terms thereof,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dated as of the date hereof, pursuant to which, upon the terms and subject to the satisfaction or waiver of the conditions set forth in the Merger Agreement, among other things, at the Effective Time (as defined in the Merger Agreement), Merger Sub shall merge with and into the Issuer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the separate corporate existence of Merger Sub shall cease and the Issuer shall continue as the surviving corporation of the Merger and an indirect, wholly owned subsidiary of the Acquiror;</w:t>
      </w:r>
    </w:p>
    <w:p>
      <w:pPr>
        <w:spacing w:after="0" w:line="182"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and contingent on the consummation of the transactions contemplated by the Merger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the Acquiror wishes to offer, and the Holders wish to accept, the Consideration (as defined below) on the terms hereof;</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agree as follows:</w:t>
      </w:r>
    </w:p>
    <w:p>
      <w:pPr>
        <w:sectPr>
          <w:pgSz w:w="11900" w:h="16838" w:orient="portrait"/>
          <w:cols w:equalWidth="0" w:num="1">
            <w:col w:w="11020"/>
          </w:cols>
          <w:pgMar w:left="320" w:top="117" w:right="559" w:bottom="1440" w:gutter="0" w:footer="0" w:header="0"/>
        </w:sectPr>
      </w:pPr>
    </w:p>
    <w:bookmarkStart w:id="10" w:name="page11"/>
    <w:bookmarkEnd w:id="10"/>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Convertible Notes</w:t>
      </w:r>
      <w:r>
        <w:rPr>
          <w:rFonts w:ascii="Times New Roman" w:cs="Times New Roman" w:eastAsia="Times New Roman" w:hAnsi="Times New Roman"/>
          <w:sz w:val="18"/>
          <w:szCs w:val="18"/>
          <w:color w:val="auto"/>
        </w:rPr>
        <w:t>” means the 0% convertible notes due 2026 issued by the Issuer.</w:t>
      </w:r>
    </w:p>
    <w:p>
      <w:pPr>
        <w:spacing w:after="0" w:line="117" w:lineRule="exact"/>
        <w:rPr>
          <w:sz w:val="20"/>
          <w:szCs w:val="20"/>
          <w:color w:val="auto"/>
        </w:rPr>
      </w:pPr>
    </w:p>
    <w:p>
      <w:pPr>
        <w:ind w:left="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Notes Discount Capture</w:t>
      </w:r>
      <w:r>
        <w:rPr>
          <w:rFonts w:ascii="Times New Roman" w:cs="Times New Roman" w:eastAsia="Times New Roman" w:hAnsi="Times New Roman"/>
          <w:sz w:val="18"/>
          <w:szCs w:val="18"/>
          <w:color w:val="auto"/>
        </w:rPr>
        <w:t xml:space="preserve">” means, solely as to any 2026 Convertible Notes repurchased and retired by the Issuer between April 1, 2026 and the Closing, the difference between (a) the principal amount of such 2026 Convertible 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amount of cash paid to repurchase such 2026 Convertible Notes.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Cash Election</w:t>
      </w:r>
      <w:r>
        <w:rPr>
          <w:rFonts w:ascii="Times New Roman" w:cs="Times New Roman" w:eastAsia="Times New Roman" w:hAnsi="Times New Roman"/>
          <w:sz w:val="18"/>
          <w:szCs w:val="18"/>
          <w:color w:val="auto"/>
        </w:rPr>
        <w:t>” has the meaning set forth in Section 2.01.</w:t>
      </w:r>
    </w:p>
    <w:p>
      <w:pPr>
        <w:spacing w:after="0" w:line="117" w:lineRule="exact"/>
        <w:rPr>
          <w:sz w:val="20"/>
          <w:szCs w:val="20"/>
          <w:color w:val="auto"/>
        </w:rPr>
      </w:pPr>
    </w:p>
    <w:p>
      <w:pPr>
        <w:ind w:left="440"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Closing VWAP</w:t>
      </w:r>
      <w:r>
        <w:rPr>
          <w:rFonts w:ascii="Times New Roman" w:cs="Times New Roman" w:eastAsia="Times New Roman" w:hAnsi="Times New Roman"/>
          <w:sz w:val="18"/>
          <w:szCs w:val="18"/>
          <w:color w:val="auto"/>
        </w:rPr>
        <w:t>” means the price per share of a share of Acquiror Common Stock derived from the average daily volume weighted average prices of a share of Acquiror Common Stock on the Nasdaq on each of the ten (10) consecutive Trading Days ending on (and including) the Trading Day that is three (3) Trading Days prior to the Closing Date, rounded down to the nearest penny, as reported by Bloomberg.</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Common Stock</w:t>
      </w:r>
      <w:r>
        <w:rPr>
          <w:rFonts w:ascii="Times New Roman" w:cs="Times New Roman" w:eastAsia="Times New Roman" w:hAnsi="Times New Roman"/>
          <w:sz w:val="18"/>
          <w:szCs w:val="18"/>
          <w:color w:val="auto"/>
        </w:rPr>
        <w:t>” means the shares of Class A common stock, par value $0.0001 per share, of the Acquiror (NASDAQ:SOUN).</w:t>
      </w:r>
    </w:p>
    <w:p>
      <w:pPr>
        <w:spacing w:after="0" w:line="117" w:lineRule="exact"/>
        <w:rPr>
          <w:sz w:val="20"/>
          <w:szCs w:val="20"/>
          <w:color w:val="auto"/>
        </w:rPr>
      </w:pPr>
    </w:p>
    <w:p>
      <w:pPr>
        <w:ind w:left="440"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Securities</w:t>
      </w:r>
      <w:r>
        <w:rPr>
          <w:rFonts w:ascii="Times New Roman" w:cs="Times New Roman" w:eastAsia="Times New Roman" w:hAnsi="Times New Roman"/>
          <w:sz w:val="18"/>
          <w:szCs w:val="18"/>
          <w:color w:val="auto"/>
        </w:rPr>
        <w:t>” means the shares of Acquiror Common Stock or any other equity interests in, or securities of, Acquiror or any other rights or instruments (whether or not currently exercisable or convertible) that are derivative of, exchangeable for or convertible into any securities of Acquiror.</w:t>
      </w:r>
    </w:p>
    <w:p>
      <w:pPr>
        <w:spacing w:after="0" w:line="63" w:lineRule="exact"/>
        <w:rPr>
          <w:sz w:val="20"/>
          <w:szCs w:val="20"/>
          <w:color w:val="auto"/>
        </w:rPr>
      </w:pPr>
    </w:p>
    <w:p>
      <w:pPr>
        <w:jc w:val="both"/>
        <w:ind w:left="44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Stock Price</w:t>
      </w:r>
      <w:r>
        <w:rPr>
          <w:rFonts w:ascii="Times New Roman" w:cs="Times New Roman" w:eastAsia="Times New Roman" w:hAnsi="Times New Roman"/>
          <w:sz w:val="18"/>
          <w:szCs w:val="18"/>
          <w:color w:val="auto"/>
        </w:rPr>
        <w:t>” means the Acquiror Closing VWAP, provided, that (a) if the Acquiror Closing VWAP is greater than $12 per share, the Acquiror Stock Price will be $12 per share, and (b) if the Acquiror Closing VWAP is less than $7 per share, the Acquiror Stock Price will be $7 per share.</w:t>
      </w:r>
    </w:p>
    <w:p>
      <w:pPr>
        <w:spacing w:after="0" w:line="63" w:lineRule="exact"/>
        <w:rPr>
          <w:sz w:val="20"/>
          <w:szCs w:val="20"/>
          <w:color w:val="auto"/>
        </w:rPr>
      </w:pPr>
    </w:p>
    <w:p>
      <w:pPr>
        <w:ind w:left="44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with respect to any person or entity, any other person or entity acting as a “group” (as that term is used in</w:t>
      </w:r>
    </w:p>
    <w:p>
      <w:pPr>
        <w:spacing w:after="0" w:line="31" w:lineRule="exact"/>
        <w:rPr>
          <w:sz w:val="20"/>
          <w:szCs w:val="20"/>
          <w:color w:val="auto"/>
        </w:rPr>
      </w:pPr>
    </w:p>
    <w:p>
      <w:pPr>
        <w:jc w:val="both"/>
        <w:ind w:left="440" w:right="60"/>
        <w:spacing w:after="0" w:line="255" w:lineRule="auto"/>
        <w:rPr>
          <w:sz w:val="20"/>
          <w:szCs w:val="20"/>
          <w:color w:val="auto"/>
        </w:rPr>
      </w:pPr>
      <w:r>
        <w:rPr>
          <w:rFonts w:ascii="Times New Roman" w:cs="Times New Roman" w:eastAsia="Times New Roman" w:hAnsi="Times New Roman"/>
          <w:sz w:val="18"/>
          <w:szCs w:val="18"/>
          <w:color w:val="auto"/>
        </w:rPr>
        <w:t>Section 13(d) of the Exchange Act) together with such person or entity, and any other persons or entities, to the extent such persons’ or entities’ beneficial ownership (as defined in Rule 13d-3 under the Exchange Act) of the common stock of the Issuer or the Acquiror would be aggregated with such person’s or entity’s for purposes of Section 13(d) of the Exchange Act;</w:t>
      </w:r>
    </w:p>
    <w:p>
      <w:pPr>
        <w:spacing w:after="0" w:line="74" w:lineRule="exact"/>
        <w:rPr>
          <w:sz w:val="20"/>
          <w:szCs w:val="20"/>
          <w:color w:val="auto"/>
        </w:rPr>
      </w:pPr>
    </w:p>
    <w:p>
      <w:pPr>
        <w:ind w:left="44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a day on which banking institutions in New York, New York are authorized or required by law to be closed.</w:t>
      </w:r>
    </w:p>
    <w:p>
      <w:pPr>
        <w:spacing w:after="0" w:line="47"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immediately available funds denominated in US dollars.</w:t>
      </w:r>
    </w:p>
    <w:p>
      <w:pPr>
        <w:spacing w:after="0" w:line="162"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266"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transactions contemplated by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on which the Closing occurs.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Competing Proposal</w:t>
      </w:r>
      <w:r>
        <w:rPr>
          <w:rFonts w:ascii="Times New Roman" w:cs="Times New Roman" w:eastAsia="Times New Roman" w:hAnsi="Times New Roman"/>
          <w:sz w:val="18"/>
          <w:szCs w:val="18"/>
          <w:color w:val="auto"/>
        </w:rPr>
        <w:t xml:space="preserve">” means any offer, proposal or indication of interest from any Person or group of Persons as defined in Section 13(d)(3) of the Exchange Act (other than the Acquiror or any of its subsidiaries) at any time relating to any transaction or series of related transactions (other than the Merger or the transactions contemplated by this Agreement) involving: (a) any acquisition or purchase by any person, directly or indirectly, of more than fifteen percent (15%) of any class of outstanding voting or equity securities of the Issuer (whether by voting power or number of shares), or any tender offer (including a self-tender offer) or exchange offer that, if consummated, would result in any person beneficially owning more than fifteen percent (15%) of any class of outstanding voting or equity securities of the Issuer (whether by voting power or number of shares); (b) any merger, consolidation, share exchange, business combination, joint venture, recapitalization, reorganization or other similar transaction involving the Issuer and a Person pursuant to which the stockholders of the Issuer immediately preceding such transaction hold less than eighty five percent (85%) of the equity interests in the surviving, resulting or ultimate parent entity of such transaction (whether by voting power or number of shares); (c) any sale, lease, exchange, transfer or other disposition to a person of more than fifteen percent (15%) of the consolidated assets of the Issuer and its subsidiaries (measured by the fair market value thereof); or (d) any transaction involving the Secured Notes (including any debt restructuring transactions or payments to be made in respect of the Secured Notes in connection with any Company Acquisition Proposal (as defined in the Merger Agreement)) other than Transfers of the Secured Notes or any interest therein effected in accordance with Section 8.09;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foregoing clause (d) shall not apply to customary Liens attributable to securities or notes held by a bank, prime-broker, or broker dealer on behalf of a Holder.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has the meaning set forth in Section 2.01.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has the meaning set forth in Section 2.05.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has the meaning set forth in Section 2.05.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has the meaning set forth in Section 2.02.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Agent</w:t>
      </w:r>
      <w:r>
        <w:rPr>
          <w:rFonts w:ascii="Times New Roman" w:cs="Times New Roman" w:eastAsia="Times New Roman" w:hAnsi="Times New Roman"/>
          <w:sz w:val="18"/>
          <w:szCs w:val="18"/>
          <w:color w:val="auto"/>
        </w:rPr>
        <w:t>” means U.S. Bank Trust Company, National Association, solely in its capacity as trustee and collateral agent under the First Lien Notes Documents.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Holder Aggregate Stock Consideration Amount</w:t>
      </w:r>
      <w:r>
        <w:rPr>
          <w:rFonts w:ascii="Times New Roman" w:cs="Times New Roman" w:eastAsia="Times New Roman" w:hAnsi="Times New Roman"/>
          <w:sz w:val="18"/>
          <w:szCs w:val="18"/>
          <w:color w:val="auto"/>
        </w:rPr>
        <w:t>” means $178,007,733.68.</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760" w:top="266" w:right="559" w:bottom="1440" w:gutter="0" w:footer="0" w:header="0"/>
        </w:sectPr>
      </w:pPr>
    </w:p>
    <w:bookmarkStart w:id="12" w:name="page13"/>
    <w:bookmarkEnd w:id="12"/>
    <w:p>
      <w:pPr>
        <w:ind w:right="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First Lien Holder Shares</w:t>
      </w:r>
      <w:r>
        <w:rPr>
          <w:rFonts w:ascii="Times New Roman" w:cs="Times New Roman" w:eastAsia="Times New Roman" w:hAnsi="Times New Roman"/>
          <w:sz w:val="18"/>
          <w:szCs w:val="18"/>
          <w:color w:val="auto"/>
        </w:rPr>
        <w:t xml:space="preserve">” means the number of shares of Acquiror Common Stock (rounded down to the nearest whole share) equal to the quotient of (a) the First Lien Holder Aggregate Stock Consideration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Acquiror Stock Price.</w:t>
      </w:r>
    </w:p>
    <w:p>
      <w:pPr>
        <w:spacing w:after="0" w:line="4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Documents</w:t>
      </w:r>
      <w:r>
        <w:rPr>
          <w:rFonts w:ascii="Times New Roman" w:cs="Times New Roman" w:eastAsia="Times New Roman" w:hAnsi="Times New Roman"/>
          <w:sz w:val="18"/>
          <w:szCs w:val="18"/>
          <w:color w:val="auto"/>
        </w:rPr>
        <w:t>” means the First Lien Notes Indenture and all other agreements, instruments, and documented executed and delivered by the Issuer in connection therewith.</w:t>
      </w:r>
    </w:p>
    <w:p>
      <w:pPr>
        <w:spacing w:after="0" w:line="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w:t>
      </w:r>
      <w:r>
        <w:rPr>
          <w:rFonts w:ascii="Times New Roman" w:cs="Times New Roman" w:eastAsia="Times New Roman" w:hAnsi="Times New Roman"/>
          <w:sz w:val="18"/>
          <w:szCs w:val="18"/>
          <w:color w:val="auto"/>
        </w:rPr>
        <w:t>” means that certain Indenture, dated as of June 3, 2024, by and among the Issuer, certain subsidiary guarantors, and U.S. Bank Trust Company, National Association, as trustee and collateral agent, relating to the First Lien Secured Notes.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Secured Notes</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means actual fraud under Delaware law.</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any arbitrator, court, or tribunal of competent jurisdiction.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Shares</w:t>
      </w:r>
      <w:r>
        <w:rPr>
          <w:rFonts w:ascii="Times New Roman" w:cs="Times New Roman" w:eastAsia="Times New Roman" w:hAnsi="Times New Roman"/>
          <w:sz w:val="18"/>
          <w:szCs w:val="18"/>
          <w:color w:val="auto"/>
        </w:rPr>
        <w:t xml:space="preserve">” means, with respect to each Holder, the sum of (a) the First Lien Holder Shares attributable to such Holder based on the “Percentage of First Lien Holder Shares” set forth across from such Holder’s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Second Lien Holder Shares attributable to such Holder based on the “Percentage of Second Lien Holder Shares” set forth across from such Holder’s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 Counsel Fees</w:t>
      </w:r>
      <w:r>
        <w:rPr>
          <w:rFonts w:ascii="Times New Roman" w:cs="Times New Roman" w:eastAsia="Times New Roman" w:hAnsi="Times New Roman"/>
          <w:sz w:val="18"/>
          <w:szCs w:val="18"/>
          <w:color w:val="auto"/>
        </w:rPr>
        <w:t>” has the meaning set forth in Section 8.15.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has the meaning set forth in Section 7.03.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Issuer Cash Balance</w:t>
      </w:r>
      <w:r>
        <w:rPr>
          <w:rFonts w:ascii="Times New Roman" w:cs="Times New Roman" w:eastAsia="Times New Roman" w:hAnsi="Times New Roman"/>
          <w:sz w:val="17"/>
          <w:szCs w:val="17"/>
          <w:color w:val="auto"/>
        </w:rPr>
        <w:t>” means the amount of cash and cash equivalents in the final Estimated Closing Statement; provided that, for the avoidance of doubt, the Issuer Cash Balance will give pro forma effect (i.e., as a deduction) for all amounts payable by the Issuer that remain unpaid in connection with the transactions contemplated by this Agreement, the Merger Agreement, and any similar or alternative transactions involving the Issuer,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Issuer Transaction Expenses, (ii) unpaid amounts used or to be used to repurchase and</w:t>
      </w:r>
    </w:p>
    <w:p>
      <w:pPr>
        <w:spacing w:after="0" w:line="1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760" w:top="266" w:right="559" w:bottom="1440" w:gutter="0" w:footer="0" w:header="0"/>
        </w:sectPr>
      </w:pPr>
    </w:p>
    <w:bookmarkStart w:id="13" w:name="page14"/>
    <w:bookmarkEnd w:id="13"/>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retire or extinguish 2026 Convertible Notes between April 1, 2026, and the Closing Date, if any, and (iii) the amounts to be remitted to the Holders of First Lien Secured Notes by the Issuer under Section 2.01(b)(i) and to the Holders of Second Lien Secured Notes by the Issuer under Section 2.01(c)(i);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the foregoing, the fees and expenses payable by the Issuer pursuant to Section 9.2(a) and Section 9.2(b) of the Merger Agreement shall be excluded from “Issuer Cash Balance” hereunder.</w:t>
      </w:r>
    </w:p>
    <w:p>
      <w:pPr>
        <w:spacing w:after="0" w:line="6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Excess Cash</w:t>
      </w:r>
      <w:r>
        <w:rPr>
          <w:rFonts w:ascii="Times New Roman" w:cs="Times New Roman" w:eastAsia="Times New Roman" w:hAnsi="Times New Roman"/>
          <w:sz w:val="18"/>
          <w:szCs w:val="18"/>
          <w:color w:val="auto"/>
        </w:rPr>
        <w:t xml:space="preserve">” means an amount in cash equal to (a) the Issuer Cash Balance,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Issuer Minimum Cash;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 negative number results from such calculation, “Issuer Excess Cash” shall be zero (0).</w:t>
      </w:r>
    </w:p>
    <w:p>
      <w:pPr>
        <w:spacing w:after="0" w:line="4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amount of cash, if any, paid by the Issuer (or payable by the Issuer on the Closing Date) to repurchase and retire or extinguish the outstanding 2026 Convertible Notes between April 1, 2026 and the Closing Date (including on the Closing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 the 2026 Notes Discount Capture.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Securities</w:t>
      </w:r>
      <w:r>
        <w:rPr>
          <w:rFonts w:ascii="Times New Roman" w:cs="Times New Roman" w:eastAsia="Times New Roman" w:hAnsi="Times New Roman"/>
          <w:sz w:val="18"/>
          <w:szCs w:val="18"/>
          <w:color w:val="auto"/>
        </w:rPr>
        <w:t>” has the meaning set forth in Section 4.03(e).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Transaction Expenses</w:t>
      </w:r>
      <w:r>
        <w:rPr>
          <w:rFonts w:ascii="Times New Roman" w:cs="Times New Roman" w:eastAsia="Times New Roman" w:hAnsi="Times New Roman"/>
          <w:sz w:val="18"/>
          <w:szCs w:val="18"/>
          <w:color w:val="auto"/>
        </w:rPr>
        <w:t>” means all fees and expenses incurred by or on behalf of the Issuer or by any other Person for which the Issuer is responsible in connection with or related to the negotiation, preparation, execution and performance of this Agreement, the Merger Agreement and the transactions contemplated hereby and thereby and any similar or alternative transaction involving the Issuer,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Merger Agreement and by such other similar or alternative transactions, as applicable.</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encumbrance, lien, claim, restriction, option, title defect or charge or other encumbrance of any kind other than restrictions under the Securities Act.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 Documents</w:t>
      </w:r>
      <w:r>
        <w:rPr>
          <w:rFonts w:ascii="Times New Roman" w:cs="Times New Roman" w:eastAsia="Times New Roman" w:hAnsi="Times New Roman"/>
          <w:sz w:val="18"/>
          <w:szCs w:val="18"/>
          <w:color w:val="auto"/>
        </w:rPr>
        <w:t>” means, collectively, the First Lien Notes Documents and the Second Lien Notes Documents and all other agreements, instruments, and documents executed and delivered by the Issuer in connection therewith.</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has the meaning set forth in the Preamble.</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760" w:top="270" w:right="559" w:bottom="1440" w:gutter="0" w:footer="0" w:header="0"/>
        </w:sectPr>
      </w:pPr>
    </w:p>
    <w:bookmarkStart w:id="14" w:name="page15"/>
    <w:bookmarkEnd w:id="14"/>
    <w:p>
      <w:pPr>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trust, unincorporated organization, Governmental Authority, or other entity.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Fund</w:t>
      </w:r>
      <w:r>
        <w:rPr>
          <w:rFonts w:ascii="Times New Roman" w:cs="Times New Roman" w:eastAsia="Times New Roman" w:hAnsi="Times New Roman"/>
          <w:sz w:val="18"/>
          <w:szCs w:val="18"/>
          <w:color w:val="auto"/>
        </w:rPr>
        <w:t>” has the meaning set forth in Section 4.03(e).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has the meaning set forth in Section 3.01(a).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has the meaning set forth in Section 3.01(a).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has the meaning set forth in Section 3.01(a).</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Noteholders</w:t>
      </w:r>
      <w:r>
        <w:rPr>
          <w:rFonts w:ascii="Times New Roman" w:cs="Times New Roman" w:eastAsia="Times New Roman" w:hAnsi="Times New Roman"/>
          <w:sz w:val="18"/>
          <w:szCs w:val="18"/>
          <w:color w:val="auto"/>
        </w:rPr>
        <w:t>” means, collectively, the holders of the First Lien Secured Notes and the holders of at least a majority in principal amount outstanding of the Second Lien Secured Notes, each as of the date of determination.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Collateral Agent</w:t>
      </w:r>
      <w:r>
        <w:rPr>
          <w:rFonts w:ascii="Times New Roman" w:cs="Times New Roman" w:eastAsia="Times New Roman" w:hAnsi="Times New Roman"/>
          <w:sz w:val="18"/>
          <w:szCs w:val="18"/>
          <w:color w:val="auto"/>
        </w:rPr>
        <w:t>” means U.S. Bank Trust Company, National Association, solely in its capacity as trustee and collateral agent under the Second Lien Notes Documents.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Holder Aggregate Stock Consideration Amount</w:t>
      </w:r>
      <w:r>
        <w:rPr>
          <w:rFonts w:ascii="Times New Roman" w:cs="Times New Roman" w:eastAsia="Times New Roman" w:hAnsi="Times New Roman"/>
          <w:sz w:val="18"/>
          <w:szCs w:val="18"/>
          <w:color w:val="auto"/>
        </w:rPr>
        <w:t>” means $83,207,733.68.</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Holder Shares</w:t>
      </w:r>
      <w:r>
        <w:rPr>
          <w:rFonts w:ascii="Times New Roman" w:cs="Times New Roman" w:eastAsia="Times New Roman" w:hAnsi="Times New Roman"/>
          <w:sz w:val="18"/>
          <w:szCs w:val="18"/>
          <w:color w:val="auto"/>
        </w:rPr>
        <w:t xml:space="preserve">” means the number of shares of Acquiror Common Stock (rounded down to the nearest whole share) equal to the quotient of (a) the Second Lien Holder Aggregate Stock Consideration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Acquiror Stock Price.</w:t>
      </w:r>
    </w:p>
    <w:p>
      <w:pPr>
        <w:spacing w:after="0" w:line="4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Documents</w:t>
      </w:r>
      <w:r>
        <w:rPr>
          <w:rFonts w:ascii="Times New Roman" w:cs="Times New Roman" w:eastAsia="Times New Roman" w:hAnsi="Times New Roman"/>
          <w:sz w:val="18"/>
          <w:szCs w:val="18"/>
          <w:color w:val="auto"/>
        </w:rPr>
        <w:t>” means the Second Lien Notes Indenture and all other agreements, instruments, and documented executed and delivered by the Issuer in connection therewith.</w:t>
      </w:r>
    </w:p>
    <w:p>
      <w:pPr>
        <w:spacing w:after="0" w:line="47" w:lineRule="exact"/>
        <w:rPr>
          <w:sz w:val="20"/>
          <w:szCs w:val="20"/>
          <w:color w:val="auto"/>
        </w:rPr>
      </w:pPr>
    </w:p>
    <w:p>
      <w:pPr>
        <w:jc w:val="both"/>
        <w:ind w:right="4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Second Lien Notes Indenture</w:t>
      </w:r>
      <w:r>
        <w:rPr>
          <w:rFonts w:ascii="Times New Roman" w:cs="Times New Roman" w:eastAsia="Times New Roman" w:hAnsi="Times New Roman"/>
          <w:sz w:val="17"/>
          <w:szCs w:val="17"/>
          <w:color w:val="auto"/>
        </w:rPr>
        <w:t>” means that certain Indenture, dated as of September 12, 2025, by and among the Issuer, certain subsidiary guarantors, and U.S. Bank Trust Company, National Association, as trustee and collateral agent, relating to the Second Lien Secured Notes.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Secured Notes</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Notes</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Position</w:t>
      </w:r>
      <w:r>
        <w:rPr>
          <w:rFonts w:ascii="Times New Roman" w:cs="Times New Roman" w:eastAsia="Times New Roman" w:hAnsi="Times New Roman"/>
          <w:sz w:val="18"/>
          <w:szCs w:val="18"/>
          <w:color w:val="auto"/>
        </w:rPr>
        <w:t>” has the meaning set forth in Section 8.10.</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0"/>
          </w:cols>
          <w:pgMar w:left="760" w:top="266" w:right="679" w:bottom="1440" w:gutter="0" w:footer="0" w:header="0"/>
        </w:sectPr>
      </w:pPr>
    </w:p>
    <w:bookmarkStart w:id="15" w:name="page16"/>
    <w:bookmarkEnd w:id="15"/>
    <w:p>
      <w:pPr>
        <w:jc w:val="both"/>
        <w:ind w:left="440"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shall mean all “short sales” as defined in Rule 200 of Regulation SHO under the Exchange Act, and all types of direct and indirect stock pledges, forward sale contracts, options, puts, calls, swaps, and similar arrangements (including on a total return basis), and sales and other transactions through non-U.S. broker-dealers or foreign regulated brokers.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shares of Acquiror Common Stock are traded on The Nasdaq Stock Market LLC.</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has the meaning set forth in Section 8.09.</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II.</w:t>
      </w:r>
      <w:r>
        <w:rPr>
          <w:sz w:val="20"/>
          <w:szCs w:val="20"/>
          <w:color w:val="auto"/>
        </w:rPr>
        <w:tab/>
      </w:r>
      <w:r>
        <w:rPr>
          <w:rFonts w:ascii="Times New Roman" w:cs="Times New Roman" w:eastAsia="Times New Roman" w:hAnsi="Times New Roman"/>
          <w:sz w:val="18"/>
          <w:szCs w:val="18"/>
          <w:b w:val="1"/>
          <w:bCs w:val="1"/>
          <w:color w:val="auto"/>
        </w:rPr>
        <w:t>SATISFACTION OF SECURED NOTES</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Section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Restructuring of Secured Notes. </w:t>
      </w:r>
      <w:r>
        <w:rPr>
          <w:rFonts w:ascii="Times New Roman" w:cs="Times New Roman" w:eastAsia="Times New Roman" w:hAnsi="Times New Roman"/>
          <w:sz w:val="18"/>
          <w:szCs w:val="18"/>
          <w:color w:val="auto"/>
        </w:rPr>
        <w:t>Subject to the terms and conditions of this Agreement, each Holder hereby severally and not jointly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accept the following in full and complete satisfaction of all obligations of the Issuer to such Holder under the Secured Notes and the Notes Documents (collectively, the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80" w:right="20" w:hanging="540"/>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Shares owed to such Holder, provided that, no Holder shall be entitled to any fractional shares and the number of Holder Shares to which such Holder is entitled shall be rounded down to the nearest whole share;</w:t>
      </w:r>
    </w:p>
    <w:p>
      <w:pPr>
        <w:spacing w:after="0" w:line="67" w:lineRule="exact"/>
        <w:rPr>
          <w:rFonts w:ascii="Times New Roman" w:cs="Times New Roman" w:eastAsia="Times New Roman" w:hAnsi="Times New Roman"/>
          <w:sz w:val="18"/>
          <w:szCs w:val="18"/>
          <w:color w:val="auto"/>
        </w:rPr>
      </w:pPr>
    </w:p>
    <w:p>
      <w:pPr>
        <w:ind w:left="980" w:right="40" w:hanging="540"/>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of one or more First Lien Secured Notes, Cash paid by the Issuer concurrently with Closing in the amount of the sum of (i) accrued and unpaid interest on the First Lien Secured Notes held by such Holder, (provided that, for the avoidance of doubt, any such Cash amount shall exclude the aggregate amount of any PIK Interest (as defined in the First Lien Notes Indenture) on the First Lien Secured Notes) and (ii) 65% of the Issuer Excess Cash, if any; and</w:t>
      </w:r>
    </w:p>
    <w:p>
      <w:pPr>
        <w:spacing w:after="0" w:line="85" w:lineRule="exact"/>
        <w:rPr>
          <w:rFonts w:ascii="Times New Roman" w:cs="Times New Roman" w:eastAsia="Times New Roman" w:hAnsi="Times New Roman"/>
          <w:sz w:val="18"/>
          <w:szCs w:val="18"/>
          <w:color w:val="auto"/>
        </w:rPr>
      </w:pPr>
    </w:p>
    <w:p>
      <w:pPr>
        <w:ind w:left="980" w:hanging="540"/>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Holder of one or more Second Lien Secured Notes, such Holder’s pro rata portion of the sum of (i) the 2026 Notes Discount Capture,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35% of the Issuer Excess Cash, if any, attributable to such Holder (for the avoidance of doubt, solely on account of Second Lien Secured Notes held by such Holder).</w:t>
      </w:r>
    </w:p>
    <w:p>
      <w:pPr>
        <w:spacing w:after="0" w:line="1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2.02  Estimated Closing Statement. </w:t>
      </w:r>
      <w:r>
        <w:rPr>
          <w:rFonts w:ascii="Times New Roman" w:cs="Times New Roman" w:eastAsia="Times New Roman" w:hAnsi="Times New Roman"/>
          <w:sz w:val="18"/>
          <w:szCs w:val="18"/>
          <w:color w:val="auto"/>
        </w:rPr>
        <w:t>No earlier than twenty (20) Business Days nor later than fifteen (15) Business Days prior to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Issuer shall deliver to the Acquiror a statement (the “</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certified by the Chief Financial Officer of the Issuer, setting forth (a) a good faith estimated unaudited balance sheet of the Issuer and (b) the Issuer’s good faith estimate of the Issuer Cash Balance, in each case, as of 12:01 a.m. Pacific Time on the Closing Date. The Issuer shall deliver supporting calculations and documentation of such calculations (including with respect to any deductions contemplated by the definition of Issuer Cash Balance and reflected in such calculations), in detail reasonably acceptable to the Acquiror, concurrently with the delivery of such Estimated Closing Statement. The Issuer shall consult in good faith with the Acquiror and its representatives with respect to the preparation of, and with respect to any updates reasonably requested by the Acquiror or its representatives to, the Estimated Closing Statement until the date that is five (5) Business Days prior to the Closing Date. Subject to such good faith consultation by the Issuer and any updates to the Estimated Closing Statement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266" w:right="559" w:bottom="1440" w:gutter="0" w:footer="0" w:header="0"/>
        </w:sectPr>
      </w:pPr>
    </w:p>
    <w:bookmarkStart w:id="16" w:name="page17"/>
    <w:bookmarkEnd w:id="16"/>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resulting therefrom, the Issuer Cash Balance set forth in the Estimated Closing Statement as of such fifth (5th) Business Day prior to the Closing Date shall be deemed the final Issuer Cash Balance for purposes of calculating the Issuer Excess Cash.</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Acquiror Cash Election. </w:t>
      </w:r>
      <w:r>
        <w:rPr>
          <w:rFonts w:ascii="Times New Roman" w:cs="Times New Roman" w:eastAsia="Times New Roman" w:hAnsi="Times New Roman"/>
          <w:sz w:val="18"/>
          <w:szCs w:val="18"/>
          <w:color w:val="auto"/>
        </w:rPr>
        <w:t>Notwithstanding anything to the contrary in this Agreement, the Acquiror shall have the option to elect,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the close of business two (2) Business Days prior to the Closing Date, to substitute an amount of Cash in lieu of all or a portion of the Holder Shares otherwise deliverable to each Holder pursuant to Section 2.01(a) (the “</w:t>
      </w:r>
      <w:r>
        <w:rPr>
          <w:rFonts w:ascii="Times New Roman" w:cs="Times New Roman" w:eastAsia="Times New Roman" w:hAnsi="Times New Roman"/>
          <w:sz w:val="18"/>
          <w:szCs w:val="18"/>
          <w:b w:val="1"/>
          <w:bCs w:val="1"/>
          <w:i w:val="1"/>
          <w:iCs w:val="1"/>
          <w:color w:val="auto"/>
        </w:rPr>
        <w:t>Acquiror Cash Election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Acquiror Cash Election shall be subject to the following terms: (a) every Holder shall receive the same proportion of its respective Consideration in Cash and in Holder Shares;</w:t>
      </w:r>
    </w:p>
    <w:p>
      <w:pPr>
        <w:spacing w:after="0" w:line="3"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the Acquiror Stock Price, the proportion of the Consideration satisfied in Cash shall be calculated assuming the First Lien Holder</w:t>
      </w:r>
    </w:p>
    <w:p>
      <w:pPr>
        <w:spacing w:after="0" w:line="9" w:lineRule="exact"/>
        <w:rPr>
          <w:rFonts w:ascii="Times New Roman" w:cs="Times New Roman" w:eastAsia="Times New Roman" w:hAnsi="Times New Roman"/>
          <w:sz w:val="18"/>
          <w:szCs w:val="18"/>
          <w:color w:val="auto"/>
        </w:rPr>
      </w:pPr>
    </w:p>
    <w:p>
      <w:pPr>
        <w:ind w:right="1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worth the First Lien Holder Aggregate Stock Consideration Amount and the Second Lien Holder Shares are worth the Second Lien Holder Aggregate Stock Consideration Amount; and (c) in the event the Acquiror Closing VWAP is greater than $12 per share, the Acquiror shall not be entitled to substitute Cash for more than fifty percent (50%) of such Holder Shares. By way of example, if the First Lien Holder Aggregate Stock Consideration Amount is $178,007,733.68, the Second Lien Holder Aggregate Stock Consideration Amount is $83,207,733.68, the Acquiror Closing VWAP is greater than $12 per share and the Acquiror elects to substitute Cash for fifty percent (50%) of the Holder Shares, the Acquiror will deliver $89,003,866.84 of Cash and fifty percent (50%) of the First Lien Holder Shares to the Holders of the First Lien Secured Notes and $41,603,866.84 of Cash and fifty percent (50%) of the Second Lien Holder Shares to the Holders of the Second Lien Secured Notes, in aggregate. In addition, if the amount of Holder Shares to be received by any Holder would exceed 9.9% of the outstanding shares of Acquiror Common Stock, then Acquiror shall substitute an amount of Cash in lieu of all Holder Shares to be issued in excess of 9.9% to such Holder pursuant to Section 2.01(a).</w:t>
      </w:r>
    </w:p>
    <w:p>
      <w:pPr>
        <w:spacing w:after="0" w:line="1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Issuance of Holder Shares. </w:t>
      </w:r>
      <w:r>
        <w:rPr>
          <w:rFonts w:ascii="Times New Roman" w:cs="Times New Roman" w:eastAsia="Times New Roman" w:hAnsi="Times New Roman"/>
          <w:sz w:val="18"/>
          <w:szCs w:val="18"/>
          <w:color w:val="auto"/>
        </w:rPr>
        <w:t>On the Closing Date, the Acquiror shall issue and deliver to each Holder its Holder Shares, which shall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of Closing be eligible for resale pursuant to an effective registration statement filed by the Acquiror with the SEC. Acquiror shall use commercially reasonable efforts to deliver the Holder Shares without a restrictive legend through a one-sided Deposit/Withdrawal at Custodian in accordance with the procedures of The Depository Trust Company, or, if necessary, Acquiror shall cooperate with the Holders to remove any restrictive legends promptly after effectiveness of the registration statement.</w:t>
      </w:r>
    </w:p>
    <w:p>
      <w:pPr>
        <w:spacing w:after="0" w:line="17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Surrender of Secured Notes. </w:t>
      </w:r>
      <w:r>
        <w:rPr>
          <w:rFonts w:ascii="Times New Roman" w:cs="Times New Roman" w:eastAsia="Times New Roman" w:hAnsi="Times New Roman"/>
          <w:sz w:val="18"/>
          <w:szCs w:val="18"/>
          <w:color w:val="auto"/>
        </w:rPr>
        <w:t>On or prior to the Closing Date, each Holder shall surrender and deliver, or cause its Depository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participant(s) to surrender and deliver, the Secured Notes held by such Holder to the trustee of the Secured Notes for cancellation through the one-sided withdrawal instructions pursuant to the Deposit/Withdrawal at Custodian system at DTC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in accordance with the procedures of DTC, and Issuer shall instruct the trustee of the Secured Notes to cancel such surrendered Secured Notes and deliver an instrument of cancellation reasonably satisfactory to the Issuer and the Acquiror, and the Issuer shall provide evidence of such surrender in form and substance satisfactory to the Acquiror.</w:t>
      </w:r>
    </w:p>
    <w:p>
      <w:pPr>
        <w:spacing w:after="0" w:line="1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Satisfaction in Full. </w:t>
      </w:r>
      <w:r>
        <w:rPr>
          <w:rFonts w:ascii="Times New Roman" w:cs="Times New Roman" w:eastAsia="Times New Roman" w:hAnsi="Times New Roman"/>
          <w:sz w:val="18"/>
          <w:szCs w:val="18"/>
          <w:color w:val="auto"/>
        </w:rPr>
        <w:t>Upon delivery of the Consideration to each Holder, all obligations of the Issuer to such Holder arising 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Secured Notes and</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320" w:top="270" w:right="619" w:bottom="1440" w:gutter="0" w:footer="0" w:header="0"/>
        </w:sectPr>
      </w:pPr>
    </w:p>
    <w:bookmarkStart w:id="17" w:name="page18"/>
    <w:bookmarkEnd w:id="17"/>
    <w:p>
      <w:pPr>
        <w:ind w:right="1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Documents, including all principal, premium, accrued interest, and any other amounts due thereunder, shall thereupon be fully, irrevocably and indefeasibly satisfied, discharged, and extinguished in full and the Secured Notes and all of the Note Documents will terminate and be of no further force and effect. Each Holder of Secured Notes waives rights to any notice required under such Holder’s Secured Notes and the Note Documents and any associated note purchase agreement. Each Secured Note shall be deemed amended to provide for the treatment set forth in this Agreement.</w:t>
      </w:r>
    </w:p>
    <w:p>
      <w:pPr>
        <w:spacing w:after="0" w:line="16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Section 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Closing. </w:t>
      </w:r>
      <w:r>
        <w:rPr>
          <w:rFonts w:ascii="Times New Roman" w:cs="Times New Roman" w:eastAsia="Times New Roman" w:hAnsi="Times New Roman"/>
          <w:sz w:val="18"/>
          <w:szCs w:val="18"/>
          <w:color w:val="auto"/>
        </w:rPr>
        <w:t>The Closing shall take place at the offices of Latham &amp; Watkins LLP, 505 Montgomery Street, Suite 2000, San Francisco,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94111 or at such other location or by remote electronic exchange of documents and signatures as the Parties may mutually agree, on the date that is the closing date of the transactions contemplated under the Merger Agreement, or at such other time and place as the Parties may mutually agree in writing.</w:t>
      </w:r>
    </w:p>
    <w:p>
      <w:pPr>
        <w:spacing w:after="0" w:line="3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III.</w:t>
      </w:r>
      <w:r>
        <w:rPr>
          <w:sz w:val="20"/>
          <w:szCs w:val="20"/>
          <w:color w:val="auto"/>
        </w:rPr>
        <w:tab/>
      </w:r>
      <w:r>
        <w:rPr>
          <w:rFonts w:ascii="Times New Roman" w:cs="Times New Roman" w:eastAsia="Times New Roman" w:hAnsi="Times New Roman"/>
          <w:sz w:val="18"/>
          <w:szCs w:val="18"/>
          <w:b w:val="1"/>
          <w:bCs w:val="1"/>
          <w:color w:val="auto"/>
        </w:rPr>
        <w:t>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Release by Parties.</w:t>
      </w:r>
    </w:p>
    <w:p>
      <w:pPr>
        <w:spacing w:after="0" w:line="135" w:lineRule="exact"/>
        <w:rPr>
          <w:sz w:val="20"/>
          <w:szCs w:val="20"/>
          <w:color w:val="auto"/>
        </w:rPr>
      </w:pPr>
    </w:p>
    <w:p>
      <w:pPr>
        <w:ind w:left="980" w:hanging="540"/>
        <w:spacing w:after="0" w:line="25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(including, for the avoidance of doubt, in the event the Closing occurs under the circumstances described in the proviso in Section 5.02(f)), each Party, on behalf of itself and its respective parents, subsidiaries, Affiliates, stockholders, members, managers, partners, limited partners, general partners, directors, officers, managed accounts, management companies, funds advisors, successors, assigns, heirs, executors, administrators, agents, representatives, attorneys, and any Person claiming by, through, or under any of them (collectively, the “</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hereby irrevocably and unconditionally releases, acquits, and forever discharges each other Party, and each of their respective past, present, and future parents, subsidiaries, Affiliates, stockholders, members, managers, partners, limited partners, general partners, directors, officers, employees, managed accounts, management companies, funds advisors, agents, representatives, attorneys, successors, assigns, heirs, executors and administrators (collectively,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from any and all claims, demands, actions, causes of action, suits, damages, liabilities, obligations, costs, expenses, and compensation of any kind or nature whatsoever, whether known or unknown, suspected or unsuspected, fixed or contingent, liquidated or unliquidated, matured or unmatured, at law or in equity, that such Releasing Parties ever had, now have, or may hereafter have against (i) the Acquiror and any of its Released Parties or (ii) any of the other Released Parties to the extent arising out of, relating to, or in connection with the transactions contemplated by this Agreement and the Merger Agreement, the Issuer, the Secured Notes, the Notes Documents, the 2026 Convertible Notes (including, for the avoidance of doubt, the transactions effected by the Issuer to exchange certain of the 2026 Convertible Notes for First Lien Secured Notes and Second Lien Secured Notes in, respectively, 2024 and 2025), any other debt securities or obligations issued by the Issuer or any transaction or matter related thereto (collectively,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Notwithstanding anything to the contrary in the foregoing, the releases set forth above do not release (a) any obligations arising on or after the Closing of any Party under this Agreement or the Merger Agreement, or any document, instrument, or agreement executed to implement the Merger or (b) any liability of a Party for Fraud by such Party.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270" w:right="559" w:bottom="1440" w:gutter="0" w:footer="0" w:header="0"/>
        </w:sectPr>
      </w:pPr>
    </w:p>
    <w:bookmarkStart w:id="18" w:name="page19"/>
    <w:bookmarkEnd w:id="18"/>
    <w:p>
      <w:pPr>
        <w:ind w:left="980" w:right="80" w:hanging="540"/>
        <w:spacing w:after="0" w:line="253"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ON BEHALF OF THE APPLICABLE RELEASING PARTIES, EXPRESSLY IRREVOCABLY WAIVES ALL RIGHTS AFFORDED BY ANY STATUTE OR COMMON LAW PRINCIPLES WHICH LIMITS THE EFFECT OF A RELEASE WITH RESPECT TO UNKNOWN CLAIMS, INCLUDING ALL RIGHTS UNDER SECTION 1542 OF THE CALIFORNIA CIVIL CODE,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PARTY, ON BEHALF OF THE APPLICABLE RELEASING, ACKNOWLEDGES THAT HE, SHE OR IT IS FAMILIAR WITH SECTION 1542 OF THE CALIFORNIA CIVIL CODE AND UNDERSTANDS THE SIGNIFICANCE OF THIS RELEASE OF UNKNOWN CLAIMS AND WAIVER OF ANY STATUTORY PROTECTION AGAINST A RELEASE OF UNKNOWN CLAIMS. EACH PARTY, ON BEHALF OF THE APPLICABLE RELEASING PARTIES, ACKNOWLEDGES AND AGREES THAT THIS WAIVER IS AN ESSENTIAL AND MATERIAL TERM OF THIS AGREEMENT.</w:t>
      </w:r>
    </w:p>
    <w:p>
      <w:pPr>
        <w:spacing w:after="0" w:line="1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Covenant Not to Sue. </w:t>
      </w:r>
      <w:r>
        <w:rPr>
          <w:rFonts w:ascii="Times New Roman" w:cs="Times New Roman" w:eastAsia="Times New Roman" w:hAnsi="Times New Roman"/>
          <w:sz w:val="18"/>
          <w:szCs w:val="18"/>
          <w:color w:val="auto"/>
        </w:rPr>
        <w:t>Each of the Releasing Parties covenants and agrees that it will not, and will cause each of its controlled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to, institute any action, suit, or proceeding against any Released Party with respect to any Released Claim.</w:t>
      </w:r>
    </w:p>
    <w:p>
      <w:pPr>
        <w:spacing w:after="0" w:line="3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IV.</w:t>
      </w:r>
      <w:r>
        <w:rPr>
          <w:sz w:val="20"/>
          <w:szCs w:val="20"/>
          <w:color w:val="auto"/>
        </w:rPr>
        <w:tab/>
      </w:r>
      <w:r>
        <w:rPr>
          <w:rFonts w:ascii="Times New Roman" w:cs="Times New Roman" w:eastAsia="Times New Roman" w:hAnsi="Times New Roman"/>
          <w:sz w:val="18"/>
          <w:szCs w:val="18"/>
          <w:b w:val="1"/>
          <w:bCs w:val="1"/>
          <w:color w:val="auto"/>
        </w:rPr>
        <w:t>REPRESENTATIONS AND WARRANTIES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Representations and Warranties of the Issuer. </w:t>
      </w:r>
      <w:r>
        <w:rPr>
          <w:rFonts w:ascii="Times New Roman" w:cs="Times New Roman" w:eastAsia="Times New Roman" w:hAnsi="Times New Roman"/>
          <w:sz w:val="18"/>
          <w:szCs w:val="18"/>
          <w:color w:val="auto"/>
        </w:rPr>
        <w:t>The Issuer hereby represents and warrants to the Holders and the Acquiror as follows:</w:t>
      </w:r>
    </w:p>
    <w:p>
      <w:pPr>
        <w:spacing w:after="0" w:line="131" w:lineRule="exact"/>
        <w:rPr>
          <w:sz w:val="20"/>
          <w:szCs w:val="20"/>
          <w:color w:val="auto"/>
        </w:rPr>
      </w:pPr>
    </w:p>
    <w:p>
      <w:pPr>
        <w:ind w:left="980" w:hanging="540"/>
        <w:spacing w:after="0" w:line="28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The Issuer is a corporation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w:t>
      </w:r>
    </w:p>
    <w:p>
      <w:pPr>
        <w:spacing w:after="0" w:line="60" w:lineRule="exact"/>
        <w:rPr>
          <w:rFonts w:ascii="Times New Roman" w:cs="Times New Roman" w:eastAsia="Times New Roman" w:hAnsi="Times New Roman"/>
          <w:sz w:val="18"/>
          <w:szCs w:val="18"/>
          <w:color w:val="auto"/>
        </w:rPr>
      </w:pPr>
    </w:p>
    <w:p>
      <w:pPr>
        <w:ind w:left="980" w:right="80" w:hanging="540"/>
        <w:spacing w:after="0" w:line="259"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The Issuer has full corporate power and authority to execute, deliver, and perform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execution, delivery, and performance of this Agreement by the Issuer have been duly authorized by all necessary corporate action. This Agreement constitutes the legal, valid, and binding obligation of the Issuer, enforceable against the Issuer in accordance with its terms, except as such enforceability may be limited by applicable bankruptcy, insolvency, reorganization, moratorium, or similar laws affecting creditors’ rights generally and by general principles of equity.</w:t>
      </w:r>
    </w:p>
    <w:p>
      <w:pPr>
        <w:spacing w:after="0" w:line="84" w:lineRule="exact"/>
        <w:rPr>
          <w:rFonts w:ascii="Times New Roman" w:cs="Times New Roman" w:eastAsia="Times New Roman" w:hAnsi="Times New Roman"/>
          <w:sz w:val="18"/>
          <w:szCs w:val="18"/>
          <w:color w:val="auto"/>
        </w:rPr>
      </w:pPr>
    </w:p>
    <w:p>
      <w:pPr>
        <w:ind w:left="980" w:right="120" w:hanging="540"/>
        <w:spacing w:after="0" w:line="26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Issuer do not and will not (i) violate or conflict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bylaws of the Issuer, (ii) violate any law, order, judgment, or decree applicable to the Issuer, or (iii) require any consent, approval, or authorization of, or filing with, any Governmental Authority that has not been obtained or made, subject to compliance with the applicable requirements of U.S. state and federal securities laws.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270" w:right="559" w:bottom="1440" w:gutter="0" w:footer="0" w:header="0"/>
        </w:sectPr>
      </w:pPr>
    </w:p>
    <w:bookmarkStart w:id="19" w:name="page20"/>
    <w:bookmarkEnd w:id="19"/>
    <w:p>
      <w:pPr>
        <w:ind w:left="980" w:right="40" w:hanging="540"/>
        <w:spacing w:after="0" w:line="26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 Filings. </w:t>
      </w:r>
      <w:r>
        <w:rPr>
          <w:rFonts w:ascii="Times New Roman" w:cs="Times New Roman" w:eastAsia="Times New Roman" w:hAnsi="Times New Roman"/>
          <w:sz w:val="18"/>
          <w:szCs w:val="18"/>
          <w:color w:val="auto"/>
        </w:rPr>
        <w:t>The Issuer has filed all reports, schedules, forms, statements, and other documents required to be filed by it with the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Exchange Act since January 1, 2024. As of their respective filing dates (or, if amended or superseded by a subsequent filing, as of the date of the last such amendment or superseding filing), such filings complied in all material respects with the requirements of the Exchange Act and the rules and regulations promulgated thereunder.</w:t>
      </w:r>
    </w:p>
    <w:p>
      <w:pPr>
        <w:spacing w:after="0" w:line="81" w:lineRule="exact"/>
        <w:rPr>
          <w:rFonts w:ascii="Times New Roman" w:cs="Times New Roman" w:eastAsia="Times New Roman" w:hAnsi="Times New Roman"/>
          <w:sz w:val="18"/>
          <w:szCs w:val="18"/>
          <w:color w:val="auto"/>
        </w:rPr>
      </w:pPr>
    </w:p>
    <w:p>
      <w:pPr>
        <w:ind w:left="980" w:right="100" w:hanging="540"/>
        <w:spacing w:after="0" w:line="28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The Issuer acknowledges and agrees that the Consideration constitutes fair consideration and reasonably equivalent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cancellation and release of the Secured Notes and the other obligations, rights and interests affected hereby.</w:t>
      </w:r>
    </w:p>
    <w:p>
      <w:pPr>
        <w:spacing w:after="0" w:line="15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Representations and Warranties of the Acquiror. </w:t>
      </w:r>
      <w:r>
        <w:rPr>
          <w:rFonts w:ascii="Times New Roman" w:cs="Times New Roman" w:eastAsia="Times New Roman" w:hAnsi="Times New Roman"/>
          <w:sz w:val="18"/>
          <w:szCs w:val="18"/>
          <w:color w:val="auto"/>
        </w:rPr>
        <w:t>The Acquiror hereby represents and warrants to the Holders and the Issuer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60" w:lineRule="exact"/>
        <w:rPr>
          <w:sz w:val="20"/>
          <w:szCs w:val="20"/>
          <w:color w:val="auto"/>
        </w:rPr>
      </w:pPr>
    </w:p>
    <w:p>
      <w:pPr>
        <w:ind w:left="980" w:right="20" w:hanging="540"/>
        <w:spacing w:after="0" w:line="28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The Acquiror is a corporation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w:t>
      </w:r>
    </w:p>
    <w:p>
      <w:pPr>
        <w:spacing w:after="0" w:line="60" w:lineRule="exact"/>
        <w:rPr>
          <w:rFonts w:ascii="Times New Roman" w:cs="Times New Roman" w:eastAsia="Times New Roman" w:hAnsi="Times New Roman"/>
          <w:sz w:val="18"/>
          <w:szCs w:val="18"/>
          <w:color w:val="auto"/>
        </w:rPr>
      </w:pPr>
    </w:p>
    <w:p>
      <w:pPr>
        <w:ind w:left="980" w:right="20" w:hanging="540"/>
        <w:spacing w:after="0" w:line="259"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The Acquiror has full corporate power and authority to execute, deliver, and perform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execution, delivery, and performance of this Agreement by the Acquiror have been duly authorized by all necessary corporate action. This Agreement constitutes the legal, valid, and binding obligation of the Acquiror, enforceable against the Acquiror in accordance with its terms, except as such enforceability may be limited by applicable bankruptcy, insolvency, reorganization, moratorium, or similar laws affecting creditors’ rights generally and by general principles of equity.</w:t>
      </w:r>
    </w:p>
    <w:p>
      <w:pPr>
        <w:spacing w:after="0" w:line="84" w:lineRule="exact"/>
        <w:rPr>
          <w:rFonts w:ascii="Times New Roman" w:cs="Times New Roman" w:eastAsia="Times New Roman" w:hAnsi="Times New Roman"/>
          <w:sz w:val="18"/>
          <w:szCs w:val="18"/>
          <w:color w:val="auto"/>
        </w:rPr>
      </w:pPr>
    </w:p>
    <w:p>
      <w:pPr>
        <w:ind w:left="980" w:right="120" w:hanging="540"/>
        <w:spacing w:after="0" w:line="26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Acquiror do not and will not (i) violate or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certificate of incorporation or bylaws of the Acquiror, (ii) violate any law, order, judgment, or decree applicable to the Acquiror, or (iii) require any consent, approval, or authorization of, or filing with, any Governmental Authority that has not been obtained or made, subject to compliance with the applicable requirements of applicable U.S. state or federal securities laws.</w:t>
      </w:r>
    </w:p>
    <w:p>
      <w:pPr>
        <w:spacing w:after="0" w:line="81" w:lineRule="exact"/>
        <w:rPr>
          <w:rFonts w:ascii="Times New Roman" w:cs="Times New Roman" w:eastAsia="Times New Roman" w:hAnsi="Times New Roman"/>
          <w:sz w:val="18"/>
          <w:szCs w:val="18"/>
          <w:color w:val="auto"/>
        </w:rPr>
      </w:pPr>
    </w:p>
    <w:p>
      <w:pPr>
        <w:ind w:left="980" w:hanging="540"/>
        <w:spacing w:after="0" w:line="254"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 Issuance of Holder Shares. </w:t>
      </w:r>
      <w:r>
        <w:rPr>
          <w:rFonts w:ascii="Times New Roman" w:cs="Times New Roman" w:eastAsia="Times New Roman" w:hAnsi="Times New Roman"/>
          <w:sz w:val="18"/>
          <w:szCs w:val="18"/>
          <w:color w:val="auto"/>
        </w:rPr>
        <w:t>The Holder Shares, when issued in accordance with this Agreement, will be duly authorized,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fully paid, and non-assessable, and will be free and clear of all Liens (other than restrictions arising under the Securities Act, other applicable securities laws or this Agreement). The issuance of the Holder Shares pursuant to this Agreement will not cause the Acquiror to exceed its authorized capital stock. The Acquiror Common Stock is registered under Section 12(b) of the Exchange Act and is listed on the Nasdaq, and the Acquiror has not received any notice of delisting. No judgment, order, ruling, regulation, decree, injunction, or award of any securities commission or similar securities regulatory authority or any other Governmental Authority, or of the Nasdaq, preventing or suspending trading in any securities of the Acquiror has been issued, and no proceedings for such purpose are, to the knowledge of the Acquiror, pending, contemplated or threatened. The transactions contemplated hereby do not require any vote of the equityholders of the Acquiror under applicable law, the rules and regulations of the Nasdaq or the governing documents of the Acquiror.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320" w:top="266" w:right="599" w:bottom="1440" w:gutter="0" w:footer="0" w:header="0"/>
        </w:sectPr>
      </w:pPr>
    </w:p>
    <w:bookmarkStart w:id="20" w:name="page21"/>
    <w:bookmarkEnd w:id="20"/>
    <w:p>
      <w:pPr>
        <w:ind w:left="980" w:right="260" w:hanging="540"/>
        <w:spacing w:after="0" w:line="259"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 Filings. </w:t>
      </w:r>
      <w:r>
        <w:rPr>
          <w:rFonts w:ascii="Times New Roman" w:cs="Times New Roman" w:eastAsia="Times New Roman" w:hAnsi="Times New Roman"/>
          <w:sz w:val="18"/>
          <w:szCs w:val="18"/>
          <w:color w:val="auto"/>
        </w:rPr>
        <w:t>The Acquiror has filed or furnished all reports, schedules, forms, statements, and other documents required to be filed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by it with the SEC pursuant to the Exchange Act since January 1, 2024. As of their respective filing dates (or, if amended or superseded by a subsequent filing, as of the date of the last such amendment or superseding filing), such filings complied in all material respects with the requirements of the Exchange Act or the Securities Act, as the case may be, and the rules and regulations promulgated thereunder.</w:t>
      </w:r>
    </w:p>
    <w:p>
      <w:pPr>
        <w:spacing w:after="0" w:line="84" w:lineRule="exact"/>
        <w:rPr>
          <w:rFonts w:ascii="Times New Roman" w:cs="Times New Roman" w:eastAsia="Times New Roman" w:hAnsi="Times New Roman"/>
          <w:sz w:val="18"/>
          <w:szCs w:val="18"/>
          <w:color w:val="auto"/>
        </w:rPr>
      </w:pPr>
    </w:p>
    <w:p>
      <w:pPr>
        <w:ind w:left="980" w:right="180" w:hanging="540"/>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The Acquiror acknowledges and agrees that the Consideration constitutes fair consideration and reasonably equivalent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cancellation and release of the Secured Notes and the other obligations, rights and interests affected hereby.</w:t>
      </w:r>
    </w:p>
    <w:p>
      <w:pPr>
        <w:spacing w:after="0" w:line="60" w:lineRule="exact"/>
        <w:rPr>
          <w:rFonts w:ascii="Times New Roman" w:cs="Times New Roman" w:eastAsia="Times New Roman" w:hAnsi="Times New Roman"/>
          <w:sz w:val="18"/>
          <w:szCs w:val="18"/>
          <w:color w:val="auto"/>
        </w:rPr>
      </w:pPr>
    </w:p>
    <w:p>
      <w:pPr>
        <w:ind w:left="980" w:right="80" w:hanging="540"/>
        <w:spacing w:after="0" w:line="257"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Acquiror Status. </w:t>
      </w:r>
      <w:r>
        <w:rPr>
          <w:rFonts w:ascii="Times New Roman" w:cs="Times New Roman" w:eastAsia="Times New Roman" w:hAnsi="Times New Roman"/>
          <w:sz w:val="18"/>
          <w:szCs w:val="18"/>
          <w:color w:val="auto"/>
        </w:rPr>
        <w:t>As of the date of this Agreement, Acquiror is a “well-known seasoned issuer” as defined in Rule 405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is currently eligible to register the resale of the Holder Shares for resale by the Holders on automatically effective Form S-3 promulgated under the Securities Act. As of the date of this Agreement, the Acquiror Common Stock is registered pursuant to Section 12(b) of the Exchange Act, and neither Acquiror nor any of its subsidiaries has taken, or will take, any action designed to terminate, or that is likely to have the effect of terminating, the registration of the Acquiror Common Stock under the Exchange Act; nor has Acquiror nor any of its subsidiaries received any notification that the SEC is contemplating terminating such registration.</w:t>
      </w:r>
    </w:p>
    <w:p>
      <w:pPr>
        <w:spacing w:after="0" w:line="18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Representations and Warranties of the Holders. </w:t>
      </w:r>
      <w:r>
        <w:rPr>
          <w:rFonts w:ascii="Times New Roman" w:cs="Times New Roman" w:eastAsia="Times New Roman" w:hAnsi="Times New Roman"/>
          <w:sz w:val="18"/>
          <w:szCs w:val="18"/>
          <w:color w:val="auto"/>
        </w:rPr>
        <w:t>Each Holder, severally and not jointly, hereby represents and warrants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with the Issuer and the Acquiror as follows:</w:t>
      </w:r>
    </w:p>
    <w:p>
      <w:pPr>
        <w:spacing w:after="0" w:line="60" w:lineRule="exact"/>
        <w:rPr>
          <w:sz w:val="20"/>
          <w:szCs w:val="20"/>
          <w:color w:val="auto"/>
        </w:rPr>
      </w:pPr>
    </w:p>
    <w:p>
      <w:pPr>
        <w:ind w:left="980" w:right="640" w:hanging="540"/>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It is duly organized, validly existing, and in good standing under the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w:t>
      </w:r>
    </w:p>
    <w:p>
      <w:pPr>
        <w:spacing w:after="0" w:line="60" w:lineRule="exact"/>
        <w:rPr>
          <w:rFonts w:ascii="Times New Roman" w:cs="Times New Roman" w:eastAsia="Times New Roman" w:hAnsi="Times New Roman"/>
          <w:sz w:val="18"/>
          <w:szCs w:val="18"/>
          <w:color w:val="auto"/>
        </w:rPr>
      </w:pPr>
    </w:p>
    <w:p>
      <w:pPr>
        <w:ind w:left="980" w:hanging="540"/>
        <w:spacing w:after="0" w:line="259"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Such Holder has full power and authority to execute, deliver, and perform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execution, delivery, and performance of this Agreement by such Holder have been duly authorized by all necessary action. This Agreement constitutes the legal, valid, and binding obligation of such Holder, enforceable against such Holder in accordance with its terms, except as such enforceability may be limited by applicable bankruptcy, insolvency, reorganization, moratorium, or similar laws affecting creditors’ rights generally and by general principles of equity.</w:t>
      </w:r>
    </w:p>
    <w:p>
      <w:pPr>
        <w:spacing w:after="0" w:line="84" w:lineRule="exact"/>
        <w:rPr>
          <w:rFonts w:ascii="Times New Roman" w:cs="Times New Roman" w:eastAsia="Times New Roman" w:hAnsi="Times New Roman"/>
          <w:sz w:val="18"/>
          <w:szCs w:val="18"/>
          <w:color w:val="auto"/>
        </w:rPr>
      </w:pPr>
    </w:p>
    <w:p>
      <w:pPr>
        <w:ind w:left="980" w:right="140" w:hanging="540"/>
        <w:spacing w:after="0" w:line="259"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of Secured Notes. </w:t>
      </w:r>
      <w:r>
        <w:rPr>
          <w:rFonts w:ascii="Times New Roman" w:cs="Times New Roman" w:eastAsia="Times New Roman" w:hAnsi="Times New Roman"/>
          <w:sz w:val="18"/>
          <w:szCs w:val="18"/>
          <w:color w:val="auto"/>
        </w:rPr>
        <w:t>Such Holder is the direct legal or beneficial owner of the Secured Notes or is the nominee,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manager, or advisor for beneficial holders of the Secured Notes, as set forth opposite its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free and clear of all Liens, other than customary Liens attributable to securities or notes held by a bank, prime-broker, or broker-dealer on behalf of a Holder. Except as otherwise permitted hereunder, such Holder has not assigned, transferred, pledged, hypothecated, or otherwise disposed of any interest in such Secured Notes, other than customary Liens attributable to securities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266" w:right="559" w:bottom="1440" w:gutter="0" w:footer="0" w:header="0"/>
        </w:sectPr>
      </w:pPr>
    </w:p>
    <w:bookmarkStart w:id="21" w:name="page22"/>
    <w:bookmarkEnd w:id="21"/>
    <w:p>
      <w:pPr>
        <w:ind w:left="560"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held by a bank, prime-broker, or broker-dealer on behalf of a Holder. As of the date of this Agreement, other than customary Liens attributable to securities or notes held by a bank, prime-broker, or broker-dealer on behalf of a Holder, such Holder has not, in whole or in part, (i) assigned, transferred, hypothecated, pledged or otherwise disposed of all or any portion of its Secured Notes or its rights in or to all or any portion of its Secured Notes, or (ii) given any person or entity any transfer order, power of attorney or other authority of any nature whatsoever with respect to all or any portion of its Secured Notes which would limit such Holder’s power to surrender its Secured Notes hereunder in exchange for Holder’s respective portion of the Consideration. Such Holder covenants that it shall not take any of the actions set forth in the immediately preceding sentence. Such Holder has the full power and authority to surrender its Secured Notes as provided in this Agreement and its Secured Notes are not subject to any agreement, arrangement or restriction with respect thereto, other than customary Liens attributable to securities or notes held by a bank, prime-broker, or broker-dealer on behalf of a Holder. No additional consideration for any purpose shall be due to such Holder at the Closing with respect to its Secured Notes, other than the payment to such Holder of its respective portion of the Consideration as provided herein. As of the date of this Agreement, no event of default under the terms of such Holder’s Secured Notes has been declared by such Holder under its Secured Note and, to the knowledge of such Holder, no event of default under the terms of such Holder’s Secured Notes exists or is continuing with respect to its Secured Notes.</w:t>
      </w:r>
    </w:p>
    <w:p>
      <w:pPr>
        <w:spacing w:after="0" w:line="77" w:lineRule="exact"/>
        <w:rPr>
          <w:sz w:val="20"/>
          <w:szCs w:val="20"/>
          <w:color w:val="auto"/>
        </w:rPr>
      </w:pPr>
    </w:p>
    <w:p>
      <w:pPr>
        <w:ind w:left="540" w:right="260" w:hanging="540"/>
        <w:spacing w:after="0" w:line="28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Accredited Investor Status. </w:t>
      </w:r>
      <w:r>
        <w:rPr>
          <w:rFonts w:ascii="Times New Roman" w:cs="Times New Roman" w:eastAsia="Times New Roman" w:hAnsi="Times New Roman"/>
          <w:sz w:val="18"/>
          <w:szCs w:val="18"/>
          <w:color w:val="auto"/>
        </w:rPr>
        <w:t>Such Holder is an “accredited investor” as defined in Rule 501(a) of Regulation D promulgated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60" w:lineRule="exact"/>
        <w:rPr>
          <w:rFonts w:ascii="Times New Roman" w:cs="Times New Roman" w:eastAsia="Times New Roman" w:hAnsi="Times New Roman"/>
          <w:sz w:val="18"/>
          <w:szCs w:val="18"/>
          <w:color w:val="auto"/>
        </w:rPr>
      </w:pPr>
    </w:p>
    <w:p>
      <w:pPr>
        <w:ind w:left="540" w:hanging="540"/>
        <w:spacing w:after="0" w:line="259"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 Position</w:t>
      </w:r>
      <w:r>
        <w:rPr>
          <w:rFonts w:ascii="Times New Roman" w:cs="Times New Roman" w:eastAsia="Times New Roman" w:hAnsi="Times New Roman"/>
          <w:sz w:val="18"/>
          <w:szCs w:val="18"/>
          <w:color w:val="auto"/>
        </w:rPr>
        <w:t>. As of the date hereof, (i) such Holder does not own, beneficially or of record, greater than 3% of the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common stock, par value $0.001 per share, of the Issuer (“</w:t>
      </w:r>
      <w:r>
        <w:rPr>
          <w:rFonts w:ascii="Times New Roman" w:cs="Times New Roman" w:eastAsia="Times New Roman" w:hAnsi="Times New Roman"/>
          <w:sz w:val="18"/>
          <w:szCs w:val="18"/>
          <w:b w:val="1"/>
          <w:bCs w:val="1"/>
          <w:i w:val="1"/>
          <w:iCs w:val="1"/>
          <w:color w:val="auto"/>
        </w:rPr>
        <w:t>Issuer Securities</w:t>
      </w:r>
      <w:r>
        <w:rPr>
          <w:rFonts w:ascii="Times New Roman" w:cs="Times New Roman" w:eastAsia="Times New Roman" w:hAnsi="Times New Roman"/>
          <w:sz w:val="18"/>
          <w:szCs w:val="18"/>
          <w:color w:val="auto"/>
        </w:rPr>
        <w:t>”) and (ii) neither such Holder nor any Affiliate thereof that is managed or advised by the same investment advisor or manager and that does not operate independently of such Holder pursuant to customary “information barriers” (such Affiliate, a “</w:t>
      </w:r>
      <w:r>
        <w:rPr>
          <w:rFonts w:ascii="Times New Roman" w:cs="Times New Roman" w:eastAsia="Times New Roman" w:hAnsi="Times New Roman"/>
          <w:sz w:val="18"/>
          <w:szCs w:val="18"/>
          <w:b w:val="1"/>
          <w:bCs w:val="1"/>
          <w:i w:val="1"/>
          <w:iCs w:val="1"/>
          <w:color w:val="auto"/>
        </w:rPr>
        <w:t>Related Fund</w:t>
      </w:r>
      <w:r>
        <w:rPr>
          <w:rFonts w:ascii="Times New Roman" w:cs="Times New Roman" w:eastAsia="Times New Roman" w:hAnsi="Times New Roman"/>
          <w:sz w:val="18"/>
          <w:szCs w:val="18"/>
          <w:color w:val="auto"/>
        </w:rPr>
        <w:t>”) owns, beneficially or of record, greater than 3% of the issued and outstanding Acquiror Securities.</w:t>
      </w:r>
    </w:p>
    <w:p>
      <w:pPr>
        <w:spacing w:after="0" w:line="84" w:lineRule="exact"/>
        <w:rPr>
          <w:rFonts w:ascii="Times New Roman" w:cs="Times New Roman" w:eastAsia="Times New Roman" w:hAnsi="Times New Roman"/>
          <w:sz w:val="18"/>
          <w:szCs w:val="18"/>
          <w:color w:val="auto"/>
        </w:rPr>
      </w:pPr>
    </w:p>
    <w:p>
      <w:pPr>
        <w:ind w:left="540" w:right="40" w:hanging="540"/>
        <w:spacing w:after="0" w:line="259"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Intent. </w:t>
      </w:r>
      <w:r>
        <w:rPr>
          <w:rFonts w:ascii="Times New Roman" w:cs="Times New Roman" w:eastAsia="Times New Roman" w:hAnsi="Times New Roman"/>
          <w:sz w:val="18"/>
          <w:szCs w:val="18"/>
          <w:color w:val="auto"/>
        </w:rPr>
        <w:t>Such Holder is acquiring the Holder Shares for its own account for investment purposes only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 resale in connection with, any distribution thereof in violation of the Securities Act or any applicable state securities laws. Such Holder understands that the Holder Shares have not been registered under the Securities Act or any state securities laws by reason of a specific exemption therefrom, and that the Holder Shares must be held indefinitely unless subsequently registered under the Securities Act and applicable state securities laws or unless an exemption from such registration is available.</w:t>
      </w:r>
    </w:p>
    <w:p>
      <w:pPr>
        <w:spacing w:after="0" w:line="84" w:lineRule="exact"/>
        <w:rPr>
          <w:rFonts w:ascii="Times New Roman" w:cs="Times New Roman" w:eastAsia="Times New Roman" w:hAnsi="Times New Roman"/>
          <w:sz w:val="18"/>
          <w:szCs w:val="18"/>
          <w:color w:val="auto"/>
        </w:rPr>
      </w:pPr>
    </w:p>
    <w:p>
      <w:pPr>
        <w:ind w:left="540" w:hanging="540"/>
        <w:spacing w:after="0" w:line="26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Sophistication; Independent Investigation. </w:t>
      </w:r>
      <w:r>
        <w:rPr>
          <w:rFonts w:ascii="Times New Roman" w:cs="Times New Roman" w:eastAsia="Times New Roman" w:hAnsi="Times New Roman"/>
          <w:sz w:val="18"/>
          <w:szCs w:val="18"/>
          <w:color w:val="auto"/>
        </w:rPr>
        <w:t>Such Holder has had access to such information relating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finances, and operations of the Acquiror and the terms and conditions of the transactions contemplated hereby (including but not limited to the offer and sale of the Holder Shares) as it deems necessary to make an informed decision. Such Holder has had an opportunity to ask questions of, and receive answers from, the Acquiror regarding such transactions to the extent such Holder deems necessary to make</w:t>
      </w:r>
    </w:p>
    <w:p>
      <w:pPr>
        <w:spacing w:after="0" w:line="1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760" w:top="270" w:right="599" w:bottom="1440" w:gutter="0" w:footer="0" w:header="0"/>
        </w:sectPr>
      </w:pPr>
    </w:p>
    <w:bookmarkStart w:id="22" w:name="page23"/>
    <w:bookmarkEnd w:id="22"/>
    <w:p>
      <w:pPr>
        <w:ind w:left="100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informed decision. Such Holder has such knowledge and experience in financial and business matters that it is capable of evaluating the merits and risks of the transactions contemplated by this Agreement. Such Holder has made an independent decision to sell its Secured Notes based on all information available to it, which such Holder acknowledges and agrees is adequate to allow it to make such decision. In making the decision to sell its Secured Notes pursuant to this Agreement, such Holder has relied solely upon such Holder’s own independent investigation and diligence and has not relied on any statements, representations or warranties, investigation (including with respect to the accuracy, completeness or adequacy of the Issuer’s and the Acquiror’s public disclosure) or other information provided by or on behalf of (i) any former, current or future, direct or indirect, director, manager, officer, employee, consultant, general or limited partner, member, stockholder, security holder, Affiliates, controlling person, successor, assignee, predecessor, financing source, attorney, advisor, agent or representative (or any of their respective successors or assigns), of the Acquiror, Merger Sub or any of their respective Affiliates,</w:t>
      </w:r>
    </w:p>
    <w:p>
      <w:pPr>
        <w:spacing w:after="0" w:line="5" w:lineRule="exact"/>
        <w:rPr>
          <w:sz w:val="20"/>
          <w:szCs w:val="20"/>
          <w:color w:val="auto"/>
        </w:rPr>
      </w:pPr>
    </w:p>
    <w:p>
      <w:pPr>
        <w:ind w:left="1000" w:right="140" w:hanging="7"/>
        <w:spacing w:after="0" w:line="252" w:lineRule="auto"/>
        <w:tabs>
          <w:tab w:leader="none" w:pos="12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former, current or future, direct or indirect, holder of any equity interests or securities of the Acquiror, Merger Sub or any of their respective Affiliates (or any of their respective successors or assigns), or (iii) any former, current or future, direct or indirect, director, manager, officer, employee, consultant, general or limited partner, member, stockholder, security holder, Affiliates, controlling person, successor, assignee, predecessor, financing source, attorney, advisor, agent or representative of any of the foregoing (or any of their respective successors or assigns) concerning the Issuer, the Acquiror, Merger Sub, the transactions contemplated hereby or the risks associated therewith.</w:t>
      </w:r>
    </w:p>
    <w:p>
      <w:pPr>
        <w:spacing w:after="0" w:line="91" w:lineRule="exact"/>
        <w:rPr>
          <w:rFonts w:ascii="Times New Roman" w:cs="Times New Roman" w:eastAsia="Times New Roman" w:hAnsi="Times New Roman"/>
          <w:sz w:val="18"/>
          <w:szCs w:val="18"/>
          <w:color w:val="auto"/>
        </w:rPr>
      </w:pPr>
    </w:p>
    <w:p>
      <w:pPr>
        <w:jc w:val="both"/>
        <w:ind w:left="980" w:right="700" w:hanging="540"/>
        <w:spacing w:after="0" w:line="26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Such Holder is not obtaining the Holder Shares as a result of any advertisement, article, notice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regarding the Acquiror Common Stock published in any newspaper, magazine or similar media or broadcast over television or radio or presented at any seminar or any other general solicitation or general advertisement.</w:t>
      </w:r>
    </w:p>
    <w:p>
      <w:pPr>
        <w:spacing w:after="0" w:line="76" w:lineRule="exact"/>
        <w:rPr>
          <w:rFonts w:ascii="Times New Roman" w:cs="Times New Roman" w:eastAsia="Times New Roman" w:hAnsi="Times New Roman"/>
          <w:sz w:val="18"/>
          <w:szCs w:val="18"/>
          <w:color w:val="auto"/>
        </w:rPr>
      </w:pPr>
    </w:p>
    <w:p>
      <w:pPr>
        <w:ind w:left="980" w:hanging="540"/>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Broker. </w:t>
      </w:r>
      <w:r>
        <w:rPr>
          <w:rFonts w:ascii="Times New Roman" w:cs="Times New Roman" w:eastAsia="Times New Roman" w:hAnsi="Times New Roman"/>
          <w:sz w:val="18"/>
          <w:szCs w:val="18"/>
          <w:color w:val="auto"/>
        </w:rPr>
        <w:t>Such Holder has not engaged any broker, finder, or investment banker in connection with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60" w:lineRule="exact"/>
        <w:rPr>
          <w:rFonts w:ascii="Times New Roman" w:cs="Times New Roman" w:eastAsia="Times New Roman" w:hAnsi="Times New Roman"/>
          <w:sz w:val="18"/>
          <w:szCs w:val="18"/>
          <w:color w:val="auto"/>
        </w:rPr>
      </w:pPr>
    </w:p>
    <w:p>
      <w:pPr>
        <w:ind w:left="980" w:right="220" w:hanging="540"/>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Such Holder acknowledges and agrees that the Consideration constitutes fair consideration and reasonably equivalent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cancellation and release of the Secured Notes and the other obligations, rights and interests affected hereby.</w:t>
      </w:r>
    </w:p>
    <w:p>
      <w:pPr>
        <w:spacing w:after="0" w:line="3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V.</w:t>
      </w:r>
      <w:r>
        <w:rPr>
          <w:sz w:val="20"/>
          <w:szCs w:val="20"/>
          <w:color w:val="auto"/>
        </w:rPr>
        <w:tab/>
      </w:r>
      <w:r>
        <w:rPr>
          <w:rFonts w:ascii="Times New Roman" w:cs="Times New Roman" w:eastAsia="Times New Roman" w:hAnsi="Times New Roman"/>
          <w:sz w:val="18"/>
          <w:szCs w:val="18"/>
          <w:b w:val="1"/>
          <w:bCs w:val="1"/>
          <w:color w:val="auto"/>
        </w:rPr>
        <w:t>CONDITIONS PRECEDENT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Conditions to Obligations of All Parties. </w:t>
      </w:r>
      <w:r>
        <w:rPr>
          <w:rFonts w:ascii="Times New Roman" w:cs="Times New Roman" w:eastAsia="Times New Roman" w:hAnsi="Times New Roman"/>
          <w:sz w:val="18"/>
          <w:szCs w:val="18"/>
          <w:color w:val="auto"/>
        </w:rPr>
        <w:t>The obligations of each Party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all Parties) of the following conditions:</w:t>
      </w:r>
    </w:p>
    <w:p>
      <w:pPr>
        <w:spacing w:after="0" w:line="112" w:lineRule="exact"/>
        <w:rPr>
          <w:sz w:val="20"/>
          <w:szCs w:val="20"/>
          <w:color w:val="auto"/>
        </w:rPr>
      </w:pPr>
    </w:p>
    <w:p>
      <w:pPr>
        <w:ind w:left="980" w:right="160" w:hanging="540"/>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order, decree, or ruling issued by any Governmental Authority of competent jurisdiction shall be in effect that prohibits or restrains the consummation of the transactions contemplated hereby.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270" w:right="579" w:bottom="1440" w:gutter="0" w:footer="0" w:header="0"/>
        </w:sectPr>
      </w:pPr>
    </w:p>
    <w:bookmarkStart w:id="23" w:name="page24"/>
    <w:bookmarkEnd w:id="23"/>
    <w:p>
      <w:pPr>
        <w:ind w:left="980" w:hanging="540"/>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of the conditions contained in Article 7 of the Merger Agreement, other than the conditions contained in Section 7.2(f), shall have been satisfied (other than conditions that by their nature can only be satisfied at the closing of the Merger) or waived by the Acquiror, Merger Sub or the Issuer or Merger Sub, such that the Merger shall be and is consummated substantially simultaneously with the Closing.</w:t>
      </w:r>
    </w:p>
    <w:p>
      <w:pPr>
        <w:spacing w:after="0" w:line="81" w:lineRule="exact"/>
        <w:rPr>
          <w:rFonts w:ascii="Times New Roman" w:cs="Times New Roman" w:eastAsia="Times New Roman" w:hAnsi="Times New Roman"/>
          <w:sz w:val="18"/>
          <w:szCs w:val="18"/>
          <w:color w:val="auto"/>
        </w:rPr>
      </w:pPr>
    </w:p>
    <w:p>
      <w:pPr>
        <w:ind w:left="980" w:right="140" w:hanging="540"/>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required under applicable securities laws and the rules and regulations of any stock exchange on which the Acquiror Common Stock is listed shall have been made, and all necessary approvals in connection therewith shall have been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Conditions to Obligations of the Holders. </w:t>
      </w:r>
      <w:r>
        <w:rPr>
          <w:rFonts w:ascii="Times New Roman" w:cs="Times New Roman" w:eastAsia="Times New Roman" w:hAnsi="Times New Roman"/>
          <w:sz w:val="18"/>
          <w:szCs w:val="18"/>
          <w:color w:val="auto"/>
        </w:rPr>
        <w:t>The obligations of each Holder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such Holder) of the following conditions:</w:t>
      </w:r>
    </w:p>
    <w:p>
      <w:pPr>
        <w:spacing w:after="0" w:line="112" w:lineRule="exact"/>
        <w:rPr>
          <w:sz w:val="20"/>
          <w:szCs w:val="20"/>
          <w:color w:val="auto"/>
        </w:rPr>
      </w:pPr>
    </w:p>
    <w:p>
      <w:pPr>
        <w:ind w:left="980" w:right="180" w:hanging="540"/>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Acquiror set forth in this Agreement shall be true and correct in all material respects as of the Closing Date, except to the extent that any failures of such representations and warranties to be so true and correct, individually or in the aggregate, have not prevented, and do not prevent, the Acquiror from paying the Consideration when due and payable in the accordance with the terms of this Agreement.</w:t>
      </w:r>
    </w:p>
    <w:p>
      <w:pPr>
        <w:spacing w:after="0" w:line="85" w:lineRule="exact"/>
        <w:rPr>
          <w:rFonts w:ascii="Times New Roman" w:cs="Times New Roman" w:eastAsia="Times New Roman" w:hAnsi="Times New Roman"/>
          <w:sz w:val="18"/>
          <w:szCs w:val="18"/>
          <w:color w:val="auto"/>
        </w:rPr>
      </w:pPr>
    </w:p>
    <w:p>
      <w:pPr>
        <w:ind w:left="980" w:right="220" w:hanging="540"/>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shall have performed and complied in all material respects with all covenants and agreements required to be performed or complied with by them under this Agreement on or prior to the Closing Date.</w:t>
      </w:r>
    </w:p>
    <w:p>
      <w:pPr>
        <w:spacing w:after="0" w:line="67" w:lineRule="exact"/>
        <w:rPr>
          <w:rFonts w:ascii="Times New Roman" w:cs="Times New Roman" w:eastAsia="Times New Roman" w:hAnsi="Times New Roman"/>
          <w:sz w:val="18"/>
          <w:szCs w:val="18"/>
          <w:color w:val="auto"/>
        </w:rPr>
      </w:pPr>
    </w:p>
    <w:p>
      <w:pPr>
        <w:ind w:left="980" w:right="20" w:hanging="540"/>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paid at the Closing (i) all Holders Counsel Fees incurred through the Closing Date in accordance with Section 8.15 and (ii) all payments contemplated by Section 2.01(b) by wire transfer of immediately available funds pursuant to wire instructions provided by each Holder prior to or concurrently with the Closing; provided, that the foregoing clause (ii) shall solely be a condition to the obligations of a Holder of one or more First Lien Secured Notes to consummate the transactions contemplated by this Agreement.</w:t>
      </w:r>
    </w:p>
    <w:p>
      <w:pPr>
        <w:spacing w:after="0" w:line="81"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and the Acquiror shall have entered into the registration rights agreement in substantially the form as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Shares shall have been authorized for listing on the Nasdaq, subject to official notice of issuance.</w:t>
      </w:r>
    </w:p>
    <w:p>
      <w:pPr>
        <w:spacing w:after="0" w:line="130" w:lineRule="exact"/>
        <w:rPr>
          <w:rFonts w:ascii="Times New Roman" w:cs="Times New Roman" w:eastAsia="Times New Roman" w:hAnsi="Times New Roman"/>
          <w:sz w:val="18"/>
          <w:szCs w:val="18"/>
          <w:color w:val="auto"/>
        </w:rPr>
      </w:pPr>
    </w:p>
    <w:p>
      <w:pPr>
        <w:ind w:left="980" w:right="100" w:hanging="540"/>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Holders of the First Lien Secured Notes, Holders of the Second Lien Secured Notes shall have substantially contemporaneously consummated the transactions contemplated hereby, and in the case of Holders of the Second Lien Secured Notes, Holders of the First Lien Secured Notes shall have substantially contemporaneously consummated the transactions contemplated hereby;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condition contemplated by this Section 5.02(f) shall be deemed satisfied in the event the Court of Chancery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Delaware (or, if such court declines jurisdiction, a federal court of the United States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320" w:top="270" w:right="599" w:bottom="1440" w:gutter="0" w:footer="0" w:header="0"/>
        </w:sectPr>
      </w:pPr>
    </w:p>
    <w:bookmarkStart w:id="24" w:name="page25"/>
    <w:bookmarkEnd w:id="24"/>
    <w:p>
      <w:pPr>
        <w:ind w:left="1000" w:righ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America sitting in the State of Delaware) imposes or enters any judgment or order requiring Holders refusing to consummate the transactions contemplated hereby to consummate such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Conditions to Obligations of the Acquiror. </w:t>
      </w:r>
      <w:r>
        <w:rPr>
          <w:rFonts w:ascii="Times New Roman" w:cs="Times New Roman" w:eastAsia="Times New Roman" w:hAnsi="Times New Roman"/>
          <w:sz w:val="18"/>
          <w:szCs w:val="18"/>
          <w:color w:val="auto"/>
        </w:rPr>
        <w:t>The obligations of the Acquiror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the Issuer and the Acquiror) of the following conditions:</w:t>
      </w:r>
    </w:p>
    <w:p>
      <w:pPr>
        <w:spacing w:after="0" w:line="112" w:lineRule="exact"/>
        <w:rPr>
          <w:sz w:val="20"/>
          <w:szCs w:val="20"/>
          <w:color w:val="auto"/>
        </w:rPr>
      </w:pPr>
    </w:p>
    <w:p>
      <w:pPr>
        <w:ind w:left="980" w:hanging="540"/>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of the Holders set forth in this Agreement shall be true and correct in all material respects as of the Closing Date.</w:t>
      </w:r>
    </w:p>
    <w:p>
      <w:pPr>
        <w:spacing w:after="0" w:line="67" w:lineRule="exact"/>
        <w:rPr>
          <w:rFonts w:ascii="Times New Roman" w:cs="Times New Roman" w:eastAsia="Times New Roman" w:hAnsi="Times New Roman"/>
          <w:sz w:val="18"/>
          <w:szCs w:val="18"/>
          <w:color w:val="auto"/>
        </w:rPr>
      </w:pPr>
    </w:p>
    <w:p>
      <w:pPr>
        <w:ind w:left="980" w:right="240" w:hanging="540"/>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performed and complied in all material respects with all covenants and agreements required to be performed or complied with by such Holder under this Agreement on or prior to the Closing Date.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VI.</w:t>
      </w:r>
      <w:r>
        <w:rPr>
          <w:sz w:val="20"/>
          <w:szCs w:val="20"/>
          <w:color w:val="auto"/>
        </w:rPr>
        <w:tab/>
      </w:r>
      <w:r>
        <w:rPr>
          <w:rFonts w:ascii="Times New Roman" w:cs="Times New Roman" w:eastAsia="Times New Roman" w:hAnsi="Times New Roman"/>
          <w:sz w:val="18"/>
          <w:szCs w:val="18"/>
          <w:b w:val="1"/>
          <w:bCs w:val="1"/>
          <w:color w:val="auto"/>
        </w:rPr>
        <w:t>SECURITIES LAW MATTERS</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Disclosure. </w:t>
      </w:r>
      <w:r>
        <w:rPr>
          <w:rFonts w:ascii="Times New Roman" w:cs="Times New Roman" w:eastAsia="Times New Roman" w:hAnsi="Times New Roman"/>
          <w:sz w:val="18"/>
          <w:szCs w:val="18"/>
          <w:color w:val="auto"/>
        </w:rPr>
        <w:t>Each Party acknowledges that, to the extent required by applicable law, the rules and regulations of the SEC, or the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stock exchange on which the securities of the Issuer or the Acquiror are listed, the transactions contemplated by this Agreement may be disclosed publicly, including in filings made with the SEC in accordance with the terms of this Agreement; provided, that, the identity of the Holders may not be disclosed without their prior consent (which consent may not be unreasonably withheld, conditioned or delayed) except that a Holder may be named in the Shelf Registration Statement to the extent required by law, unless such Holder has elected to not to include its Holder Shares in the Shelf Registration Statement.</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Compliance with Securities Laws. </w:t>
      </w:r>
      <w:r>
        <w:rPr>
          <w:rFonts w:ascii="Times New Roman" w:cs="Times New Roman" w:eastAsia="Times New Roman" w:hAnsi="Times New Roman"/>
          <w:sz w:val="18"/>
          <w:szCs w:val="18"/>
          <w:color w:val="auto"/>
        </w:rPr>
        <w:t>Each Holder agrees that it will not offer, sell, pledge, transfer, or otherwise dispose of any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except in compliance with the Securities Act, any applicable state securities laws, and any other applicable laws.</w:t>
      </w:r>
    </w:p>
    <w:p>
      <w:pPr>
        <w:spacing w:after="0" w:line="3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VII.</w:t>
      </w:r>
      <w:r>
        <w:rPr>
          <w:sz w:val="20"/>
          <w:szCs w:val="20"/>
          <w:color w:val="auto"/>
        </w:rPr>
        <w:tab/>
      </w:r>
      <w:r>
        <w:rPr>
          <w:rFonts w:ascii="Times New Roman" w:cs="Times New Roman" w:eastAsia="Times New Roman" w:hAnsi="Times New Roman"/>
          <w:sz w:val="18"/>
          <w:szCs w:val="18"/>
          <w:b w:val="1"/>
          <w:bCs w:val="1"/>
          <w:color w:val="auto"/>
        </w:rPr>
        <w:t>ADDITIONAL COVENANTS</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Further Assurances. </w:t>
      </w:r>
      <w:r>
        <w:rPr>
          <w:rFonts w:ascii="Times New Roman" w:cs="Times New Roman" w:eastAsia="Times New Roman" w:hAnsi="Times New Roman"/>
          <w:sz w:val="18"/>
          <w:szCs w:val="18"/>
          <w:color w:val="auto"/>
        </w:rPr>
        <w:t>Each Party shall execute and deliver such additional documents, instruments, and agreements, and take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actions, as may be reasonably necessary to effectuate the purposes of this Agreement.</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Public Announcements. </w:t>
      </w:r>
      <w:r>
        <w:rPr>
          <w:rFonts w:ascii="Times New Roman" w:cs="Times New Roman" w:eastAsia="Times New Roman" w:hAnsi="Times New Roman"/>
          <w:sz w:val="18"/>
          <w:szCs w:val="18"/>
          <w:color w:val="auto"/>
        </w:rPr>
        <w:t>The Parties shall consult with each other before issuing any press release or making any public announcement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transactions contemplated by this Agreement and shall not issue any such press release or make any such public announcement without the prior written consent of the other Parties, except as may be required by applicable law, the rules and regulations of the SEC, or the rules of any stock exchange on which the securities of the Issuer or the Acquiror are listed.</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Tax Matters. </w:t>
      </w:r>
      <w:r>
        <w:rPr>
          <w:rFonts w:ascii="Times New Roman" w:cs="Times New Roman" w:eastAsia="Times New Roman" w:hAnsi="Times New Roman"/>
          <w:sz w:val="18"/>
          <w:szCs w:val="18"/>
          <w:color w:val="auto"/>
        </w:rPr>
        <w:t>Each Holder acknowledges and agrees that it (a) has had an opportunity to review with his, her or its own tax advisors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consequences of this Agreement, (b) must rely solely on its advisors and not on any statements or representations made by the</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270" w:right="639" w:bottom="1440" w:gutter="0" w:footer="0" w:header="0"/>
        </w:sectPr>
      </w:pPr>
    </w:p>
    <w:bookmarkStart w:id="25" w:name="page26"/>
    <w:bookmarkEnd w:id="25"/>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Acquiror, the Issuer or any of their respective Affiliates, agents or representatives, (c) understands that each Holder (and not the Acquiror, the Issuer or any of their respective Affiliates, agents or representatives) shall be responsible for any tax liability of such Holder that may arise as a result of this Agreement. Each Party shall be responsible for its own tax reporting obligations arising from the transactions contemplated by this Agreement. The Acquiror shall use commercially reasonable efforts to provide each Holder with such information as may be reasonably necessary for such Holder to satisfy its tax reporting obligations. Each Holder shall, at least ten (10) Business Days prior to the Closing, provide a duly completed and executed United Stated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Form W-9 or an appropriate IRS Form W-8, as applicable, in connection with the delivery of this Agreement. Subject in all respects to Sections 1.1(a) and 2.9 of the Merger Agreement, the Parties agree to use commercially reasonable efforts to implement the transactions contemplated by this Agreement in a tax-efficient manner as mutually determined by the Parties.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Material Non-Public Information</w:t>
      </w:r>
      <w:r>
        <w:rPr>
          <w:rFonts w:ascii="Times New Roman" w:cs="Times New Roman" w:eastAsia="Times New Roman" w:hAnsi="Times New Roman"/>
          <w:sz w:val="18"/>
          <w:szCs w:val="18"/>
          <w:color w:val="auto"/>
        </w:rPr>
        <w:t>. After the date of filing of any public disclosure regarding this Agreement, neither the Issuer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Acquiror shall provide any Holder with any material non-public information without such Holder’s prior written consent.</w:t>
      </w:r>
    </w:p>
    <w:p>
      <w:pPr>
        <w:spacing w:after="0" w:line="15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b w:val="1"/>
          <w:bCs w:val="1"/>
          <w:color w:val="auto"/>
        </w:rPr>
        <w:t>Section 7.05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Non-Solicitation. </w:t>
      </w:r>
      <w:r>
        <w:rPr>
          <w:rFonts w:ascii="Times New Roman" w:cs="Times New Roman" w:eastAsia="Times New Roman" w:hAnsi="Times New Roman"/>
          <w:sz w:val="17"/>
          <w:szCs w:val="17"/>
          <w:color w:val="auto"/>
        </w:rPr>
        <w:t>From and after the date hereof until the Closing Date or, if earlier, the termination of this Agreement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Section 8.17, the Holders shall not, and shall cause their respective Related Funds and employees and directors and other representatives acting on their behalf not to, directly or indirectly: (a) initiate, seek, facilitate, solicit or knowingly encourage (including by way of furnishing information or assistance of any kind) the submission of any Competing Proposal or any proposal, request or offer that could reasonably be expected to result in a Competing Proposal or induce or take any other action designed or intended to lead to, or that could reasonably be expected to lead to any inquiry with respect to, or the making, submission or announcement of, any Competing Proposal; (b) enter into, continue or otherwise participate or engage in any discussions or negotiations with, or furnish (or cause to be furnished) any material nonpublic information to, any Person relating to a Competing Proposal or any inquiry or request that could reasonably be expected to lead to a Competing Proposal (other than informing any third party of the existence of the provisions contained in this Section 7.05); (c)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Competing Proposal; or (d) resolve or agree to do any of the foregoing. The Holders shall, and shall cause their respective Related Funds and employees and directors and other representatives acting on their behalf to, immediately cease and cause to be terminated any activities, discussions or negotiations existing as of the date hereof with any Persons conducted heretofore with respect to a Competing Proposal (or that could reasonably be expected to lead to a Competing Proposal). Notwithstanding anything to the contrary in this Section 7.05, nothing in this Section 7.05 shall restrict any Holder or any of its Affiliates from</w:t>
      </w:r>
    </w:p>
    <w:p>
      <w:pPr>
        <w:ind w:firstLine="8"/>
        <w:spacing w:after="0" w:line="253"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any investment in any Person that submits or makes a Competing Proposal independently and without solicitation, encouragement, facilitation, or assistance of any kind from such Holder or any of its Affiliates, or (ii) acting as a passive investor with respect to any Person in accordance with the representations and undertakings reflected in a Schedule 13G (or Schedule 13G/A) filed pursuant to Rule 13d-1(b) or Rule 13d-1(c) under the Exchange Act, in each case, so long as such Holder and its Affiliates otherwise comply with this Section 7.05.</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320" w:top="270" w:right="599" w:bottom="1440" w:gutter="0" w:footer="0" w:header="0"/>
        </w:sectPr>
      </w:pPr>
    </w:p>
    <w:bookmarkStart w:id="26" w:name="page27"/>
    <w:bookmarkEnd w:id="26"/>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tab/>
        <w:t>MISCELLANEOUS</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Notices. </w:t>
      </w:r>
      <w:r>
        <w:rPr>
          <w:rFonts w:ascii="Times New Roman" w:cs="Times New Roman" w:eastAsia="Times New Roman" w:hAnsi="Times New Roman"/>
          <w:sz w:val="18"/>
          <w:szCs w:val="18"/>
          <w:color w:val="auto"/>
        </w:rPr>
        <w:t>All notices, requests, demands, and other communications under this Agreement shall be sent by email and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given upon confirmation of receipt, including by a “read receipt requested” function, and can also (in addition to email) be delivered personally or sent by overnight courier to the Parties at the addresses set forth on the signature pages hereto or at such other address as a Party may designate by notice to the other Parties and shall be deemed to have been duly given one (1) Business Day after being sent.</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Governing Law. </w:t>
      </w:r>
      <w:r>
        <w:rPr>
          <w:rFonts w:ascii="Times New Roman" w:cs="Times New Roman" w:eastAsia="Times New Roman" w:hAnsi="Times New Roman"/>
          <w:sz w:val="18"/>
          <w:szCs w:val="18"/>
          <w:color w:val="auto"/>
        </w:rPr>
        <w:t>This Agreement shall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any conflicts of law principles that would require the application of the laws of any other jurisdiction.</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Section 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Jurisdiction and Venue. </w:t>
      </w:r>
      <w:r>
        <w:rPr>
          <w:rFonts w:ascii="Times New Roman" w:cs="Times New Roman" w:eastAsia="Times New Roman" w:hAnsi="Times New Roman"/>
          <w:sz w:val="18"/>
          <w:szCs w:val="18"/>
          <w:color w:val="auto"/>
        </w:rPr>
        <w:t>Each Party hereby irrevocably and unconditionally (a) submits to the exclusive jurisdiction of the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Chancery of the State of Delaware (or, if such court declines jurisdiction, the federal courts of the United States of America sitting in the State of Delaware) for any action, suit, or proceeding arising out of or relating to this Agreement, (b) waives any objection it may now or hereafter have to the laying of venue in any such court, (c) waives any claim that any such court is an inconvenient forum, and (d) agrees that service of process in any such action, suit, or proceeding may be effected by mailing a copy thereof by registered or certified mail, postage prepaid, to such Party at its address set forth herein or at such other address as may be designated by notice.</w:t>
      </w:r>
    </w:p>
    <w:p>
      <w:pPr>
        <w:spacing w:after="0" w:line="18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Waiver of Jury Trial. </w:t>
      </w:r>
      <w:r>
        <w:rPr>
          <w:rFonts w:ascii="Times New Roman" w:cs="Times New Roman" w:eastAsia="Times New Roman" w:hAnsi="Times New Roman"/>
          <w:sz w:val="18"/>
          <w:szCs w:val="18"/>
          <w:color w:val="auto"/>
        </w:rPr>
        <w:t>EACH PARTY HEREBY IRREVOCABLY WAIVES, TO THE FULLEST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ANY RIGHT IT MAY HAVE TO A TRIAL BY JURY IN ANY ACTION, SUIT, OR PROCEEDING ARISING OUT OF OR RELATING TO THIS AGREEMENT OR THE TRANSACTIONS CONTEMPLATED HEREBY.</w:t>
      </w:r>
    </w:p>
    <w:p>
      <w:pPr>
        <w:spacing w:after="0" w:line="17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Entire Agreement. </w:t>
      </w:r>
      <w:r>
        <w:rPr>
          <w:rFonts w:ascii="Times New Roman" w:cs="Times New Roman" w:eastAsia="Times New Roman" w:hAnsi="Times New Roman"/>
          <w:sz w:val="18"/>
          <w:szCs w:val="18"/>
          <w:color w:val="auto"/>
        </w:rPr>
        <w:t>This Agreement and the Merger Agreement, together with the Exhibits attached hereto and thereto, constitute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 among the Parties with respect to the subject matter hereof and supersedes all prior agreements, understandings, negotiations, and discussions, whether oral or written, among the Parties with respect thereto.</w:t>
      </w:r>
    </w:p>
    <w:p>
      <w:pPr>
        <w:spacing w:after="0" w:line="17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Section 8.06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Amendments and Waivers. </w:t>
      </w:r>
      <w:r>
        <w:rPr>
          <w:rFonts w:ascii="Times New Roman" w:cs="Times New Roman" w:eastAsia="Times New Roman" w:hAnsi="Times New Roman"/>
          <w:sz w:val="18"/>
          <w:szCs w:val="18"/>
          <w:color w:val="auto"/>
        </w:rPr>
        <w:t>No amendment, modification, or waiver of any provision of this Agreement shall be effective unless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signed by (a) in the case of any amendment, by the Acquiror, the Issuer, and the Required Consenting Noteholders and (b) in the case of a waiver, the Party waiving its rights hereunder; provided that the waiver of rights by the Holders of at least a majority of the outstanding Second Lien Secured Notes shall constitute the waiver of the rights of Holders of all Second Lien Secured Notes.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266" w:right="559" w:bottom="1440" w:gutter="0" w:footer="0" w:header="0"/>
        </w:sectPr>
      </w:pPr>
    </w:p>
    <w:bookmarkStart w:id="27" w:name="page28"/>
    <w:bookmarkEnd w:id="27"/>
    <w:p>
      <w:pPr>
        <w:ind w:right="120"/>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Severability. </w:t>
      </w:r>
      <w:r>
        <w:rPr>
          <w:rFonts w:ascii="Times New Roman" w:cs="Times New Roman" w:eastAsia="Times New Roman" w:hAnsi="Times New Roman"/>
          <w:sz w:val="17"/>
          <w:szCs w:val="17"/>
          <w:color w:val="auto"/>
        </w:rPr>
        <w:t>If any provision of this Agreement is held to be invalid, illegal, or unenforceable in any respect, such invalidity, illegality,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unenforceability shall not affect any other provision of this Agreement, and this Agreement shall be construed as if such invalid, illegal, or unenforceable provision had never been contained herein; provided, that such construction shall not materially alter the economic benefits to any Party.</w:t>
      </w:r>
    </w:p>
    <w:p>
      <w:pPr>
        <w:spacing w:after="0" w:line="15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Section 8.08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Successors and Assigns. </w:t>
      </w:r>
      <w:r>
        <w:rPr>
          <w:rFonts w:ascii="Times New Roman" w:cs="Times New Roman" w:eastAsia="Times New Roman" w:hAnsi="Times New Roman"/>
          <w:sz w:val="18"/>
          <w:szCs w:val="18"/>
          <w:color w:val="auto"/>
        </w:rPr>
        <w:t>This Agreement shall be binding upon and inure to the benefit of the Parties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 Except in accordance with Section 8.09, neither this Agreement nor any right or obligation of any Party hereunder may be assigned by (a) in the case of any Holder or the Issuer, without prior written consent of the Acquiror or (b) in the case of the Acquiror, without the prior written consent of the Required Consenting Noteholders, except that the Acquiror may assign its rights and obligations under this Agreement to any Affiliate or successor entity without such consent; provided, that no such assignment shall relieve the Acquiror of its obligations hereunder.</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Section 8.09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Restrictions on Transfers. </w:t>
      </w:r>
      <w:r>
        <w:rPr>
          <w:rFonts w:ascii="Times New Roman" w:cs="Times New Roman" w:eastAsia="Times New Roman" w:hAnsi="Times New Roman"/>
          <w:sz w:val="18"/>
          <w:szCs w:val="18"/>
          <w:color w:val="auto"/>
        </w:rPr>
        <w:t>Except as otherwise set forth in this Section 8.09 or with the prior written consent of the Acquiror,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covenants and agrees that it shall not, between the date hereof and the earlier to occur of the Closing or the termination of this Agreement in accordance with Section 8.17, directly or indirectly convey, sell, transfer, encumber, pledge, hypothecate or assign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such Holder’s Secured Notes or any interest therein (other than customary Liens attributable to securities or notes held by a bank, prime-broker, or broker-dealer on behalf of a Holder) unless such Transfer is to an entity that first agrees, in writing, to be bound by the terms of this Agreement by executing and delivering to the Issuer and the Acquiror a joinder to this Agreement at least two (2) Business Days prior to the effectiveness of the Transfer. Such transferee, upon consummation of a Transfer in accordance herewith shall be deemed to make all of the representations, warranties and covenants of a Holder set forth in this Agreement, and shall be deemed to be a Party and a Holder for all purposes under this Agreement upon compliance with the foregoing. Any Transfer made in violation of this Section 8.09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Notwithstanding anything to the contrary in this Section 8.09, the restrictions on Transfer set forth in this Section 8.09 shall not apply to the grant of any liens or encumbrances on any claims and interests in favor of a bank or broker-dealer holding custody of such claims and interests in the ordinary course of business and which lien or encumbrance is released upon the Transfer of such claims and interests.</w:t>
      </w:r>
    </w:p>
    <w:p>
      <w:pPr>
        <w:spacing w:after="0" w:line="1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Section 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Net Short Positions. </w:t>
      </w:r>
      <w:r>
        <w:rPr>
          <w:rFonts w:ascii="Times New Roman" w:cs="Times New Roman" w:eastAsia="Times New Roman" w:hAnsi="Times New Roman"/>
          <w:sz w:val="18"/>
          <w:szCs w:val="18"/>
          <w:color w:val="auto"/>
        </w:rPr>
        <w:t>Each Holder agrees that, from the execution hereof until the consummation of the transactions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such Holder shall not, and shall cause its Related Funds not to, (a) effect a transaction that results in such Holder, together with its Related Funds, holding short positions, swaps, hedges, forward contracts and other similar arrangements that create or are intended to create economic exposure with respect to a number of Acquiror Securities (collectively, a “</w:t>
      </w:r>
      <w:r>
        <w:rPr>
          <w:rFonts w:ascii="Times New Roman" w:cs="Times New Roman" w:eastAsia="Times New Roman" w:hAnsi="Times New Roman"/>
          <w:sz w:val="18"/>
          <w:szCs w:val="18"/>
          <w:b w:val="1"/>
          <w:bCs w:val="1"/>
          <w:i w:val="1"/>
          <w:iCs w:val="1"/>
          <w:color w:val="auto"/>
        </w:rPr>
        <w:t>Short Position</w:t>
      </w:r>
      <w:r>
        <w:rPr>
          <w:rFonts w:ascii="Times New Roman" w:cs="Times New Roman" w:eastAsia="Times New Roman" w:hAnsi="Times New Roman"/>
          <w:sz w:val="18"/>
          <w:szCs w:val="18"/>
          <w:color w:val="auto"/>
        </w:rPr>
        <w:t>”) that exceed the aggregate amount of Acquiror Securities held by such Holder together with its Related Funds (inclusive of any Acquiror Securities contemplated to be received by such Holder and its Related Funds as a result of the transactions contemplated hereby and the transactions contemplated by the Merger Agreement, and excluding any Short Position held by such Holder or Related Fund prior to the date hereof) or (b) otherwise take actions with the intent to depress, manipulate, or artificially influence the price of the Acquiror Securities in order to obtain additional or increased consideration in connection with the transactions contemplated by this Agreement.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320" w:top="266" w:right="559" w:bottom="1440" w:gutter="0" w:footer="0" w:header="0"/>
        </w:sectPr>
      </w:pPr>
    </w:p>
    <w:bookmarkStart w:id="28" w:name="page29"/>
    <w:bookmarkEnd w:id="28"/>
    <w:p>
      <w:pPr>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Relationship Among Parties. </w:t>
      </w:r>
      <w:r>
        <w:rPr>
          <w:rFonts w:ascii="Times New Roman" w:cs="Times New Roman" w:eastAsia="Times New Roman" w:hAnsi="Times New Roman"/>
          <w:sz w:val="17"/>
          <w:szCs w:val="17"/>
          <w:color w:val="auto"/>
        </w:rPr>
        <w:t>It is understood and agreed that no Holder owes any fiduciary duty or duty of trust or confidence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kind or form to any other Party. In this regard, it is understood and agreed that any Holder may trade in Secured Notes without the consent of the Issuer, the Acquiror or any other Holder, subject to applicable securities laws, the terms of this Agreement and the terms of the applicable Note Documents. No prior history, pattern or practice of sharing confidences among or between the Parties shall in any way affect or negate this understanding and agreement. The Parties acknowledge and agree that this Agreement is entered into by the Holders solely in the capacity of creditors of the Issuer, and that the rights and obligations set forth herein relate exclusively to the Secured Notes held by the Holders. The Parties have no agreement, arrangement or understanding with respect to acting together for the purpose of acquiring, holding, voting or disposing of any securities (including the Notes and the Holder Shares) of the Issuer or the Acquiror and do not constitute a “group” within the meaning of Section 13(d)(3) of the Exchange Act or Rule 13d-5 promulgated thereunder. Notwithstanding any other provision of this Agreement to the contrary, nothing in this Agreement shall be construed or deemed to grant any Holder or any of its Attribution Parties beneficial ownership (as defined in Rule 13d-3 under the Exchange Act) of any equity securities of the Issuer or the Acquiror. All rights under this Agreement are separately granted to each Holder, and the use of a single document is for the convenience of the Issuer and the Acquiror. The decision to commit to enter into the transactions contemplated by this Agreement has been made independently.</w:t>
      </w:r>
    </w:p>
    <w:p>
      <w:pPr>
        <w:spacing w:after="0" w:line="17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Section 8.12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Third-Party Beneficiaries. </w:t>
      </w:r>
      <w:r>
        <w:rPr>
          <w:rFonts w:ascii="Times New Roman" w:cs="Times New Roman" w:eastAsia="Times New Roman" w:hAnsi="Times New Roman"/>
          <w:sz w:val="18"/>
          <w:szCs w:val="18"/>
          <w:color w:val="auto"/>
        </w:rPr>
        <w:t>Except as expressly provided herein with respect to the Released Parties, this Agreement is for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Parties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Section 8.13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Counterparts. </w:t>
      </w:r>
      <w:r>
        <w:rPr>
          <w:rFonts w:ascii="Times New Roman" w:cs="Times New Roman" w:eastAsia="Times New Roman" w:hAnsi="Times New Roman"/>
          <w:sz w:val="18"/>
          <w:szCs w:val="18"/>
          <w:color w:val="auto"/>
        </w:rPr>
        <w:t>This Agreement may be executed in one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counterpart by email (including in .pdf format) or other electronic means shall be equally as effective as delivery of an original executed counterpart.</w:t>
      </w:r>
    </w:p>
    <w:p>
      <w:pPr>
        <w:spacing w:after="0" w:line="171"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Section 8.14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Construction. </w:t>
      </w:r>
      <w:r>
        <w:rPr>
          <w:rFonts w:ascii="Times New Roman" w:cs="Times New Roman" w:eastAsia="Times New Roman" w:hAnsi="Times New Roman"/>
          <w:sz w:val="18"/>
          <w:szCs w:val="18"/>
          <w:color w:val="auto"/>
        </w:rPr>
        <w:t>The headings in this Agreement are for convenience of reference only and shall not affect the interpretation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Unless the context otherwise requires, (a) all references to Articles, Sections, and Exhibits are to Articles, Sections, and Exhibits of this Agreement, (b) words in the singular include the plural and vice versa, (c) the terms “hereof,” “herein,” “hereby,” “hereto,” and derivative or similar words refer to this entire Agreement, (d) the term “including” means “including without limitation,” and (e) the term “or” is not exclusive.</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Section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Expenses. </w:t>
      </w:r>
      <w:r>
        <w:rPr>
          <w:rFonts w:ascii="Times New Roman" w:cs="Times New Roman" w:eastAsia="Times New Roman" w:hAnsi="Times New Roman"/>
          <w:sz w:val="18"/>
          <w:szCs w:val="18"/>
          <w:color w:val="auto"/>
        </w:rPr>
        <w:t>Each Party shall bear its own costs and expenses (including attorneys’ fees) incurred in connection with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hereby; provided all fees and expenses of counsel to the Holders incurred in connection with this Agreement and the transactions contemplated hereby shall be paid by the Issuer, subject to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320" w:top="266" w:right="559" w:bottom="1440" w:gutter="0" w:footer="0" w:header="0"/>
        </w:sectPr>
      </w:pPr>
    </w:p>
    <w:bookmarkStart w:id="29" w:name="page30"/>
    <w:bookmarkEnd w:id="29"/>
    <w:p>
      <w:pPr>
        <w:ind w:right="3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of, and in accordance with, pre-existing fee reimbursement agreements (the “</w:t>
      </w:r>
      <w:r>
        <w:rPr>
          <w:rFonts w:ascii="Times New Roman" w:cs="Times New Roman" w:eastAsia="Times New Roman" w:hAnsi="Times New Roman"/>
          <w:sz w:val="18"/>
          <w:szCs w:val="18"/>
          <w:b w:val="1"/>
          <w:bCs w:val="1"/>
          <w:i w:val="1"/>
          <w:iCs w:val="1"/>
          <w:color w:val="auto"/>
        </w:rPr>
        <w:t>Holders Counsel Fees</w:t>
      </w:r>
      <w:r>
        <w:rPr>
          <w:rFonts w:ascii="Times New Roman" w:cs="Times New Roman" w:eastAsia="Times New Roman" w:hAnsi="Times New Roman"/>
          <w:sz w:val="18"/>
          <w:szCs w:val="18"/>
          <w:color w:val="auto"/>
        </w:rPr>
        <w:t xml:space="preserve">”) simultaneously with Closing; provided further, that, for the avoidance of doubt, to the extent that this Agreement is terminated in accordance with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the Issuer’s reimbursement obligations under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survive with respect to any and all such fees and expenses earned or incurred on or before the date of termination, and such termination shall not automatically terminate any applicable fee or engagement letters, if any, between the Issuer and the applicable party or professional.</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Section 8.16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Specific Performance. </w:t>
      </w:r>
      <w:r>
        <w:rPr>
          <w:rFonts w:ascii="Times New Roman" w:cs="Times New Roman" w:eastAsia="Times New Roman" w:hAnsi="Times New Roman"/>
          <w:sz w:val="18"/>
          <w:szCs w:val="18"/>
          <w:color w:val="auto"/>
        </w:rPr>
        <w:t>The Parties acknowledge and agree that irreparable damage would occur if any provision of this Agreement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performed in accordance with its terms, and that the Parties shall be entitled to seek specific performance of the terms hereof, in addition to any other remedy at law or in equity.</w:t>
      </w:r>
    </w:p>
    <w:p>
      <w:pPr>
        <w:spacing w:after="0" w:line="17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color w:val="auto"/>
        </w:rPr>
        <w:t>Section 8.17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w:t>
      </w:r>
      <w:r>
        <w:rPr>
          <w:rFonts w:ascii="Times New Roman" w:cs="Times New Roman" w:eastAsia="Times New Roman" w:hAnsi="Times New Roman"/>
          <w:sz w:val="18"/>
          <w:szCs w:val="18"/>
          <w:color w:val="auto"/>
        </w:rPr>
        <w:t>Any Party may terminate this Agreement if (a)(i) there has been a material breach by another Party of the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or covenants contained in this Agreement, (ii) a non-breaching Party provides written notice to the other Parties of such material breach and</w:t>
      </w:r>
    </w:p>
    <w:p>
      <w:pPr>
        <w:spacing w:after="0" w:line="1" w:lineRule="exact"/>
        <w:rPr>
          <w:sz w:val="20"/>
          <w:szCs w:val="20"/>
          <w:color w:val="auto"/>
        </w:rPr>
      </w:pPr>
    </w:p>
    <w:p>
      <w:pPr>
        <w:ind w:firstLine="8"/>
        <w:spacing w:after="0" w:line="250"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material breach is not cured by the date that is ten (10) Business Days following the date of delivery of such written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in no event shall a Holder be entitled to terminate this Agreement pursuant to the foregoing clause (a) as a result of a material breach by another Holder or (b) the Closing has not taken place on or prior to the fifth Business Day following Outside Date (as defined in the Merger Agreement); provided, that, except with respect to the automatic extension of the Initial Outside Date contemplated by</w:t>
      </w:r>
    </w:p>
    <w:p>
      <w:pPr>
        <w:spacing w:after="0" w:line="1"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8.1(b) of the Merger Agreement, Issuer and Acquiror shall not be permitted to extend the Outside Date without the prior written consent of the Required Consenting Noteholders and provided, further, that a termination of this Agreement by any Holder of Second Lien Secured Notes shall require notice of termination from Holders of at least a majority of outstanding Second Lien Secured Notes. Notwithstanding the foregoing, this Agreement shall automatically terminate, without any further action by any Party hereto, upon the termination of the Merger Agreement in accordance with its terms. Upon any termination of this Agreement, this Agreement shall be of no further force or effect, and no Party hereto shall have any further rights or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termination shall not relieve any Party of liability for any breach of this Agreement occurring prior to such termination. The holders of the First Lien Secured Notes may terminate this Agreement (x) upon any failure by the Issuer to pay principal, interest or any other amount due and payable as and when required under the First Lien Notes Indenture or the other First Lien Notes Documents or</w:t>
      </w:r>
    </w:p>
    <w:p>
      <w:pPr>
        <w:spacing w:after="0" w:line="3" w:lineRule="exact"/>
        <w:rPr>
          <w:rFonts w:ascii="Times New Roman" w:cs="Times New Roman" w:eastAsia="Times New Roman" w:hAnsi="Times New Roman"/>
          <w:sz w:val="18"/>
          <w:szCs w:val="18"/>
          <w:color w:val="auto"/>
        </w:rPr>
      </w:pPr>
    </w:p>
    <w:p>
      <w:pPr>
        <w:ind w:right="40" w:firstLine="8"/>
        <w:spacing w:after="0" w:line="25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breach of Section 4.24 (Minimum Qualified Cash) of the First Lien Secured Notes Indenture, in each case, if such failure to pay or such breach has not been cured by Issuer or the Acquiror within fifteen (15) Business Days after the later of the Issuer’s and the Acquiror’s receipt of written notice thereof from the holders of the First Lien Secured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the prior written consent of the holders of the First Lien Secured Notes (not to be unreasonably withheld, conditioned or delayed), in the event the Acquiror and/or the Issuer is working in good faith to cure such failure to pay or breach by the end of such fifteen (15) Business Day period, such fifteen (15) Business Day period shall extend to twenty (20) Business Days. Notwithstanding the foregoing, Section 7.02, Section 8.01, Section 8.02, Section 8.03, Section 8.04, Section 8.05, Section 8.06, Section 8.07,</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8.08, Section 8.11, Section 8.12, Section 8.13, Section 8.14 and Section 8.15 shall survive any termination of this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320" w:top="266" w:right="559" w:bottom="1440" w:gutter="0" w:footer="0" w:header="0"/>
        </w:sectPr>
      </w:pPr>
    </w:p>
    <w:bookmarkStart w:id="30" w:name="page31"/>
    <w:bookmarkEnd w:id="30"/>
    <w:p>
      <w:pPr>
        <w:jc w:val="center"/>
        <w:ind w:right="23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p>
      <w:pPr>
        <w:spacing w:after="0" w:line="1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019"/>
          </w:cols>
          <w:pgMar w:left="1440" w:top="268" w:right="1440" w:bottom="1440" w:gutter="0" w:footer="0" w:header="0"/>
          <w:type w:val="continuous"/>
        </w:sectPr>
      </w:pPr>
    </w:p>
    <w:bookmarkStart w:id="31" w:name="page32"/>
    <w:bookmarkEnd w:id="31"/>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executed this Agreement as of the date first written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Collins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Collins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7th Avenue, Floor M1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right="8599" w:firstLine="8"/>
        <w:spacing w:after="0" w:line="533" w:lineRule="auto"/>
        <w:tabs>
          <w:tab w:leader="none" w:pos="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Monica Greenberg Email: [***]</w:t>
      </w:r>
    </w:p>
    <w:p>
      <w:pPr>
        <w:spacing w:after="0"/>
        <w:rPr>
          <w:sz w:val="20"/>
          <w:szCs w:val="20"/>
          <w:color w:val="auto"/>
        </w:rPr>
      </w:pPr>
      <w:r>
        <w:rPr>
          <w:rFonts w:ascii="Times New Roman" w:cs="Times New Roman" w:eastAsia="Times New Roman" w:hAnsi="Times New Roman"/>
          <w:sz w:val="18"/>
          <w:szCs w:val="18"/>
          <w:b w:val="1"/>
          <w:bCs w:val="1"/>
          <w:color w:val="auto"/>
        </w:rPr>
        <w:t>ACQUIROR: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Keyvan Mohajer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Keyvan Mohajer</w:t>
      </w:r>
    </w:p>
    <w:p>
      <w:pPr>
        <w:spacing w:after="0" w:line="9" w:lineRule="exact"/>
        <w:rPr>
          <w:sz w:val="20"/>
          <w:szCs w:val="20"/>
          <w:color w:val="auto"/>
        </w:rPr>
      </w:pPr>
    </w:p>
    <w:p>
      <w:pPr>
        <w:ind w:right="9079" w:firstLine="8"/>
        <w:spacing w:after="0" w:line="550" w:lineRule="auto"/>
        <w:tabs>
          <w:tab w:leader="none" w:pos="17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Warren Heit Email: [***]</w:t>
      </w: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Notes Restructuring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26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3"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Notes Restructuring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26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451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[____________________]</w:t>
      </w:r>
    </w:p>
    <w:p>
      <w:pPr>
        <w:spacing w:after="0" w:line="223"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Notes Restructuring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266"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HOLDERS AND SECURED NOTES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First</w:t>
            </w:r>
          </w:p>
        </w:tc>
        <w:tc>
          <w:tcPr>
            <w:tcW w:w="240" w:type="dxa"/>
            <w:vAlign w:val="bottom"/>
          </w:tcPr>
          <w:p>
            <w:pPr>
              <w:spacing w:after="0"/>
              <w:rPr>
                <w:sz w:val="13"/>
                <w:szCs w:val="13"/>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5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Holder Name</w:t>
            </w:r>
          </w:p>
        </w:tc>
        <w:tc>
          <w:tcPr>
            <w:tcW w:w="216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gridSpan w:val="3"/>
          </w:tcPr>
          <w:p>
            <w:pPr>
              <w:jc w:val="right"/>
              <w:ind w:right="521"/>
              <w:spacing w:after="0" w:line="149" w:lineRule="exact"/>
              <w:rPr>
                <w:sz w:val="20"/>
                <w:szCs w:val="20"/>
                <w:color w:val="auto"/>
              </w:rPr>
            </w:pPr>
            <w:r>
              <w:rPr>
                <w:rFonts w:ascii="Times New Roman" w:cs="Times New Roman" w:eastAsia="Times New Roman" w:hAnsi="Times New Roman"/>
                <w:sz w:val="14"/>
                <w:szCs w:val="14"/>
                <w:b w:val="1"/>
                <w:bCs w:val="1"/>
                <w:color w:val="auto"/>
              </w:rPr>
              <w:t>First Lien Secured</w:t>
            </w:r>
          </w:p>
        </w:tc>
        <w:tc>
          <w:tcPr>
            <w:tcW w:w="1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Second Lien Secured</w:t>
            </w:r>
          </w:p>
        </w:tc>
        <w:tc>
          <w:tcPr>
            <w:tcW w:w="152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Second Lien Holder</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6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Lien Holder Shares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ind w:right="941"/>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520" w:type="dxa"/>
            <w:vAlign w:val="bottom"/>
            <w:gridSpan w:val="2"/>
          </w:tcPr>
          <w:p>
            <w:pPr>
              <w:jc w:val="center"/>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[________]</w:t>
            </w:r>
          </w:p>
        </w:tc>
        <w:tc>
          <w:tcPr>
            <w:tcW w:w="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97"/>
              </w:rPr>
              <w:t>[________</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7"/>
              </w:rPr>
              <w:t>[________</w:t>
            </w:r>
          </w:p>
        </w:tc>
        <w:tc>
          <w:tcPr>
            <w:tcW w:w="480" w:type="dxa"/>
            <w:vAlign w:val="bottom"/>
            <w:tcBorders>
              <w:top w:val="single" w:sz="8" w:color="CCEEFF"/>
            </w:tcBorders>
            <w:shd w:val="clear" w:color="auto" w:fill="CCEEFF"/>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[________</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w w:val="97"/>
              </w:rPr>
              <w:t>[________</w:t>
            </w:r>
          </w:p>
        </w:tc>
        <w:tc>
          <w:tcPr>
            <w:tcW w:w="3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[________]</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[________]%</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[________]</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[________]%</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[________]</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[________]</w:t>
            </w:r>
          </w:p>
        </w:tc>
        <w:tc>
          <w:tcPr>
            <w:tcW w:w="1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[________]%</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[________]</w:t>
            </w:r>
          </w:p>
        </w:tc>
        <w:tc>
          <w:tcPr>
            <w:tcW w:w="1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[________]%</w:t>
            </w: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21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0" w:type="dxa"/>
            <w:vAlign w:val="bottom"/>
          </w:tcPr>
          <w:p>
            <w:pPr>
              <w:spacing w:after="0"/>
              <w:rPr>
                <w:sz w:val="1"/>
                <w:szCs w:val="1"/>
                <w:color w:val="auto"/>
              </w:rPr>
            </w:pPr>
          </w:p>
        </w:tc>
      </w:tr>
    </w:tbl>
    <w:p>
      <w:pPr>
        <w:sectPr>
          <w:pgSz w:w="11900" w:h="16838" w:orient="portrait"/>
          <w:cols w:equalWidth="0" w:num="1">
            <w:col w:w="11020"/>
          </w:cols>
          <w:pgMar w:left="320" w:top="266" w:right="559" w:bottom="1440" w:gutter="0" w:footer="0" w:header="0"/>
        </w:sectPr>
      </w:pPr>
    </w:p>
    <w:bookmarkStart w:id="35" w:name="page36"/>
    <w:bookmarkEnd w:id="35"/>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2"/>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4"/>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5"/>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4"/>
    </w:lvl>
  </w:abstractNum>
  <w:abstractNum w:abstractNumId="15">
    <w:nsid w:val="628C895D"/>
    <w:multiLevelType w:val="hybridMultilevel"/>
    <w:lvl w:ilvl="0">
      <w:lvlJc w:val="left"/>
      <w:lvlText w:val="%1"/>
      <w:numFmt w:val="lowerLetter"/>
      <w:start w:val="1"/>
    </w:lvl>
    <w:lvl w:ilvl="1">
      <w:lvlJc w:val="left"/>
      <w:lvlText w:val="(%2)"/>
      <w:numFmt w:val="lowerLetter"/>
      <w:start w:val="35"/>
    </w:lvl>
  </w:abstractNum>
  <w:abstractNum w:abstractNumId="16">
    <w:nsid w:val="333AB105"/>
    <w:multiLevelType w:val="hybridMultilevel"/>
    <w:lvl w:ilvl="0">
      <w:lvlJc w:val="left"/>
      <w:lvlText w:val="(%1)"/>
      <w:numFmt w:val="lowerLetter"/>
      <w:start w:val="8"/>
    </w:lvl>
    <w:lvl w:ilvl="1">
      <w:lvlJc w:val="left"/>
      <w:lvlText w:val="%2"/>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lowerLetter"/>
      <w:start w:val="61"/>
    </w:lvl>
  </w:abstractNum>
  <w:abstractNum w:abstractNumId="23">
    <w:nsid w:val="79838CB2"/>
    <w:multiLevelType w:val="hybridMultilevel"/>
    <w:lvl w:ilvl="0">
      <w:lvlJc w:val="left"/>
      <w:lvlText w:val="(%1)"/>
      <w:numFmt w:val="lowerLetter"/>
      <w:start w:val="25"/>
    </w:lvl>
  </w:abstractNum>
  <w:abstractNum w:abstractNumId="24">
    <w:nsid w:val="4353D0CD"/>
    <w:multiLevelType w:val="hybridMultilevel"/>
    <w:lvl w:ilvl="0">
      <w:lvlJc w:val="left"/>
      <w:lvlText w:val=" "/>
      <w:numFmt w:val="bullet"/>
      <w:start w:val="1"/>
    </w:lvl>
  </w:abstractNum>
  <w:abstractNum w:abstractNumId="25">
    <w:nsid w:val="B03E0C6"/>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22" Type="http://schemas.openxmlformats.org/officeDocument/2006/relationships/hyperlink" Target="http://www.sec.gov/Archives/edgar/data/1840856/000121390026045991/ea028711701ex2-1.htm" TargetMode="External"/><Relationship Id="rId23" Type="http://schemas.openxmlformats.org/officeDocument/2006/relationships/hyperlink" Target="http://www.sec.gov/Archives/edgar/data/1840856/000121390026045991/ea028711701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2026-04-21T16:39:40Z</dcterms:created>
  <dcterms:modified xsi:type="dcterms:W3CDTF">2026-04-21T16:39:40Z</dcterms:modified>
</cp:coreProperties>
</file>