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688" w:right="279" w:bottom="1440" w:gutter="0" w:footer="0" w:header="0"/>
        </w:sectPr>
      </w:pPr>
    </w:p>
    <w:p>
      <w:pPr>
        <w:spacing w:after="0" w:line="203"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56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380"/>
          </w:cols>
          <w:pgMar w:left="240" w:top="688" w:right="279" w:bottom="1440" w:gutter="0" w:footer="0" w:header="0"/>
          <w:type w:val="continuous"/>
        </w:sectPr>
      </w:pPr>
    </w:p>
    <w:p>
      <w:pPr>
        <w:spacing w:after="0" w:line="187"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November 5, 2018, 63,415,683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020" w:type="dxa"/>
            <w:vAlign w:val="bottom"/>
            <w:gridSpan w:val="4"/>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3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36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1020" w:type="dxa"/>
            <w:vAlign w:val="bottom"/>
            <w:gridSpan w:val="4"/>
            <w:shd w:val="clear" w:color="auto" w:fill="CCFFCC"/>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 (Unaudited):</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Balance Sheets as of September 30, 2018 and December 31, 2017</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0"/>
              </w:rPr>
              <w:t>Condensed Consolidated Statements of Operations for the Three and Nine Months Ended September 30, 2018 and 2017</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29"/>
        </w:trPr>
        <w:tc>
          <w:tcPr>
            <w:tcW w:w="1040" w:type="dxa"/>
            <w:vAlign w:val="bottom"/>
            <w:shd w:val="clear" w:color="auto" w:fill="CCFFCC"/>
          </w:tcPr>
          <w:p>
            <w:pPr>
              <w:spacing w:after="0"/>
              <w:rPr>
                <w:sz w:val="19"/>
                <w:szCs w:val="19"/>
                <w:color w:val="auto"/>
              </w:rPr>
            </w:pPr>
          </w:p>
        </w:tc>
        <w:tc>
          <w:tcPr>
            <w:tcW w:w="9360" w:type="dxa"/>
            <w:vAlign w:val="bottom"/>
            <w:shd w:val="clear" w:color="auto" w:fill="CCFFCC"/>
          </w:tcPr>
          <w:p>
            <w:pPr>
              <w:ind w:left="600"/>
              <w:spacing w:after="0"/>
              <w:rPr>
                <w:sz w:val="20"/>
                <w:szCs w:val="20"/>
                <w:color w:val="auto"/>
              </w:rPr>
            </w:pPr>
            <w:r>
              <w:rPr>
                <w:rFonts w:ascii="Arial" w:cs="Arial" w:eastAsia="Arial" w:hAnsi="Arial"/>
                <w:sz w:val="18"/>
                <w:szCs w:val="18"/>
                <w:color w:val="auto"/>
                <w:w w:val="90"/>
              </w:rPr>
              <w:t>Condensed Consolidated Statements of Comprehensive Loss for the Three and Nine Months Ended September 30, 2018</w:t>
            </w:r>
          </w:p>
        </w:tc>
        <w:tc>
          <w:tcPr>
            <w:tcW w:w="8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r>
      <w:tr>
        <w:trPr>
          <w:trHeight w:val="237"/>
        </w:trPr>
        <w:tc>
          <w:tcPr>
            <w:tcW w:w="1040" w:type="dxa"/>
            <w:vAlign w:val="bottom"/>
            <w:shd w:val="clear" w:color="auto" w:fill="CCFFCC"/>
          </w:tcPr>
          <w:p>
            <w:pPr>
              <w:spacing w:after="0"/>
              <w:rPr>
                <w:sz w:val="20"/>
                <w:szCs w:val="20"/>
                <w:color w:val="auto"/>
              </w:rPr>
            </w:pPr>
          </w:p>
        </w:tc>
        <w:tc>
          <w:tcPr>
            <w:tcW w:w="9360" w:type="dxa"/>
            <w:vAlign w:val="bottom"/>
            <w:shd w:val="clear" w:color="auto" w:fill="CCFFCC"/>
          </w:tcPr>
          <w:p>
            <w:pPr>
              <w:ind w:left="600"/>
              <w:spacing w:after="0" w:line="190" w:lineRule="exact"/>
              <w:rPr>
                <w:sz w:val="20"/>
                <w:szCs w:val="20"/>
                <w:color w:val="auto"/>
              </w:rPr>
            </w:pPr>
            <w:r>
              <w:rPr>
                <w:rFonts w:ascii="Arial" w:cs="Arial" w:eastAsia="Arial" w:hAnsi="Arial"/>
                <w:sz w:val="18"/>
                <w:szCs w:val="18"/>
                <w:color w:val="auto"/>
              </w:rPr>
              <w:t>and 2017</w:t>
            </w:r>
          </w:p>
        </w:tc>
        <w:tc>
          <w:tcPr>
            <w:tcW w:w="1020" w:type="dxa"/>
            <w:vAlign w:val="bottom"/>
            <w:gridSpan w:val="4"/>
            <w:shd w:val="clear" w:color="auto" w:fill="CCFFCC"/>
          </w:tcPr>
          <w:p>
            <w:pPr>
              <w:jc w:val="right"/>
              <w:ind w:right="20"/>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89"/>
              </w:rPr>
              <w:t>Condensed Consolidated Statements of Cash Flows for the Three and Nine Months Ended September 30, 2018 and 2017</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324"/>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360" w:type="dxa"/>
            <w:vAlign w:val="bottom"/>
            <w:shd w:val="clear" w:color="auto" w:fill="CCFFCC"/>
          </w:tcPr>
          <w:p>
            <w:pPr>
              <w:spacing w:after="0"/>
              <w:rPr>
                <w:sz w:val="21"/>
                <w:szCs w:val="21"/>
                <w:color w:val="auto"/>
              </w:rPr>
            </w:pP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459"/>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QUARTERLY REPORT ON FORM 10-Q ABOUT LIVEPERSON, INC. (“LIVEPERSON”)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2017</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FFCC"/>
            </w:tcBorders>
            <w:shd w:val="clear" w:color="auto" w:fill="CCFFCC"/>
          </w:tcPr>
          <w:p>
            <w:pPr>
              <w:spacing w:after="0"/>
              <w:rPr>
                <w:sz w:val="22"/>
                <w:szCs w:val="22"/>
                <w:color w:val="auto"/>
              </w:rPr>
            </w:pPr>
          </w:p>
        </w:tc>
        <w:tc>
          <w:tcPr>
            <w:tcW w:w="13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66,351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56,115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held as collateral</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1,451</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34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3"/>
              </w:rPr>
              <w:t>Accounts receivable, net of allowance for doubtful accounts of $1,951 and $1,318 as of September 30, 2018 and December</w:t>
            </w:r>
          </w:p>
        </w:tc>
        <w:tc>
          <w:tcPr>
            <w:tcW w:w="20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19"/>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31, 2017, respectively</w:t>
            </w:r>
          </w:p>
        </w:tc>
        <w:tc>
          <w:tcPr>
            <w:tcW w:w="200" w:type="dxa"/>
            <w:vAlign w:val="bottom"/>
            <w:tcBorders>
              <w:bottom w:val="single" w:sz="8" w:color="CCFFCC"/>
            </w:tcBorders>
            <w:shd w:val="clear" w:color="auto" w:fill="CCFFCC"/>
          </w:tcPr>
          <w:p>
            <w:pPr>
              <w:spacing w:after="0"/>
              <w:rPr>
                <w:sz w:val="19"/>
                <w:szCs w:val="19"/>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51,727</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37,926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18,722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7,352</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FFCC"/>
            </w:tcBorders>
            <w:shd w:val="clear" w:color="auto" w:fill="CCFFCC"/>
          </w:tcPr>
          <w:p>
            <w:pPr>
              <w:spacing w:after="0"/>
              <w:rPr>
                <w:sz w:val="20"/>
                <w:szCs w:val="20"/>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136,800</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102,844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39,788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34,705</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Intangibles, net</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13,249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12,366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85,467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80,531</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Deferred tax assets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732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753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1,818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1,600</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277,854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232,799</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6,603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5,481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41,124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48,011</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56,117</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35,563</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103,844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89,055</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2,067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3,972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2,766</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liability</w:t>
            </w: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1,073</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915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110,956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92,736</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60</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351,702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305,676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Treasury stock</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(181,026)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(163,135)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(2,535)</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166,898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140,063</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277,854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232,799</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200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4"/>
                <w:szCs w:val="24"/>
                <w:color w:val="auto"/>
              </w:rPr>
            </w:pPr>
          </w:p>
        </w:tc>
        <w:tc>
          <w:tcPr>
            <w:tcW w:w="2000" w:type="dxa"/>
            <w:vAlign w:val="bottom"/>
            <w:gridSpan w:val="4"/>
          </w:tcPr>
          <w:p>
            <w:pPr>
              <w:jc w:val="right"/>
              <w:ind w:right="54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00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2017</w:t>
            </w:r>
          </w:p>
        </w:tc>
      </w:tr>
      <w:tr>
        <w:trPr>
          <w:trHeight w:val="256"/>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64,213</w:t>
            </w:r>
          </w:p>
        </w:tc>
        <w:tc>
          <w:tcPr>
            <w:tcW w:w="1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56,493</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184,114</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161,486</w:t>
            </w: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15,689</w:t>
            </w: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14,541</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45,679</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43,456</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26,748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21,603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76,271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66,695</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11,972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10,398</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33,594</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30,528</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13,484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9,726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40,955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29,011</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Restructuring costs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722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2,806</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2,315</w:t>
            </w:r>
          </w:p>
        </w:tc>
      </w:tr>
      <w:tr>
        <w:trPr>
          <w:trHeight w:val="237"/>
        </w:trPr>
        <w:tc>
          <w:tcPr>
            <w:tcW w:w="7000" w:type="dxa"/>
            <w:vAlign w:val="bottom"/>
          </w:tcPr>
          <w:p>
            <w:pPr>
              <w:ind w:left="180"/>
              <w:spacing w:after="0"/>
              <w:rPr>
                <w:sz w:val="20"/>
                <w:szCs w:val="20"/>
                <w:color w:val="auto"/>
              </w:rPr>
            </w:pPr>
            <w:r>
              <w:rPr>
                <w:rFonts w:ascii="Arial" w:cs="Arial" w:eastAsia="Arial" w:hAnsi="Arial"/>
                <w:sz w:val="16"/>
                <w:szCs w:val="16"/>
                <w:color w:val="auto"/>
              </w:rPr>
              <w:t>Amortization of purchased intangibles</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1,412</w:t>
            </w:r>
          </w:p>
        </w:tc>
      </w:tr>
      <w:tr>
        <w:trPr>
          <w:trHeight w:val="33"/>
        </w:trPr>
        <w:tc>
          <w:tcPr>
            <w:tcW w:w="70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69,039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56,738</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200,577</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173,417</w:t>
            </w:r>
          </w:p>
        </w:tc>
      </w:tr>
      <w:tr>
        <w:trPr>
          <w:trHeight w:val="217"/>
        </w:trPr>
        <w:tc>
          <w:tcPr>
            <w:tcW w:w="700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(4,826)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(16,463)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(11,931)</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(expense) income , net</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412</w:t>
            </w:r>
          </w:p>
        </w:tc>
      </w:tr>
      <w:tr>
        <w:trPr>
          <w:trHeight w:val="217"/>
        </w:trPr>
        <w:tc>
          <w:tcPr>
            <w:tcW w:w="7000" w:type="dxa"/>
            <w:vAlign w:val="bottom"/>
          </w:tcPr>
          <w:p>
            <w:pPr>
              <w:ind w:left="40"/>
              <w:spacing w:after="0"/>
              <w:rPr>
                <w:sz w:val="20"/>
                <w:szCs w:val="20"/>
                <w:color w:val="auto"/>
              </w:rPr>
            </w:pPr>
            <w:r>
              <w:rPr>
                <w:rFonts w:ascii="Arial" w:cs="Arial" w:eastAsia="Arial" w:hAnsi="Arial"/>
                <w:sz w:val="16"/>
                <w:szCs w:val="16"/>
                <w:color w:val="auto"/>
              </w:rPr>
              <w:t>Loss before provision for income taxes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(11,519)</w:t>
            </w: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2,004</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1,256</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2,051</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3,000</w:t>
            </w:r>
          </w:p>
        </w:tc>
      </w:tr>
      <w:tr>
        <w:trPr>
          <w:trHeight w:val="284"/>
        </w:trPr>
        <w:tc>
          <w:tcPr>
            <w:tcW w:w="70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(7,043)</w:t>
            </w:r>
          </w:p>
        </w:tc>
        <w:tc>
          <w:tcPr>
            <w:tcW w:w="12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(18,567)</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(14,519)</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Net loss per share of common stock:</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(0.26)</w:t>
            </w: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70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Weighted-average shares used to compute net loss per share: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w w:val="94"/>
              </w:rPr>
              <w:t>60,014,246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4"/>
              </w:rPr>
              <w:t>56,524,990</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w w:val="94"/>
              </w:rPr>
              <w:t>58,667,289</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4"/>
              </w:rPr>
              <w:t>56,153,428</w:t>
            </w: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70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4"/>
              </w:rPr>
              <w:t>60,014,246</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4"/>
              </w:rPr>
              <w:t>56,524,990</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4"/>
              </w:rPr>
              <w:t>58,667,289</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4"/>
              </w:rPr>
              <w:t>56,153,428</w:t>
            </w:r>
          </w:p>
        </w:tc>
      </w:tr>
      <w:tr>
        <w:trPr>
          <w:trHeight w:val="284"/>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97"/>
        </w:trPr>
        <w:tc>
          <w:tcPr>
            <w:tcW w:w="7000" w:type="dxa"/>
            <w:vAlign w:val="bottom"/>
            <w:tcBorders>
              <w:bottom w:val="single" w:sz="8" w:color="auto"/>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90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r>
      <w:tr>
        <w:trPr>
          <w:trHeight w:val="25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1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301</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1,472</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3,731</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1,984</w:t>
            </w: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1,368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3,390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2,058</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2,613</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1,760</w:t>
            </w:r>
          </w:p>
        </w:tc>
      </w:tr>
      <w:tr>
        <w:trPr>
          <w:trHeight w:val="270"/>
        </w:trPr>
        <w:tc>
          <w:tcPr>
            <w:tcW w:w="7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1,934</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1,715</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5,781</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5,350</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1,115</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1,206</w:t>
            </w: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911</w:t>
            </w:r>
          </w:p>
        </w:tc>
      </w:tr>
      <w:tr>
        <w:trPr>
          <w:trHeight w:val="276"/>
        </w:trPr>
        <w:tc>
          <w:tcPr>
            <w:tcW w:w="70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960</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2,652</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1,550</w:t>
            </w:r>
          </w:p>
        </w:tc>
      </w:tr>
      <w:tr>
        <w:trPr>
          <w:trHeight w:val="270"/>
        </w:trPr>
        <w:tc>
          <w:tcPr>
            <w:tcW w:w="7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0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4"/>
        </w:trPr>
        <w:tc>
          <w:tcPr>
            <w:tcW w:w="70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2,556</w:t>
            </w:r>
          </w:p>
        </w:tc>
      </w:tr>
      <w:tr>
        <w:trPr>
          <w:trHeight w:val="290"/>
        </w:trPr>
        <w:tc>
          <w:tcPr>
            <w:tcW w:w="70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6"/>
                <w:szCs w:val="16"/>
                <w:color w:val="auto"/>
              </w:rPr>
            </w:pPr>
          </w:p>
        </w:tc>
        <w:tc>
          <w:tcPr>
            <w:tcW w:w="170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24"/>
                <w:szCs w:val="24"/>
                <w:color w:val="auto"/>
              </w:rPr>
            </w:pPr>
          </w:p>
        </w:tc>
        <w:tc>
          <w:tcPr>
            <w:tcW w:w="170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200" w:type="dxa"/>
            <w:vAlign w:val="bottom"/>
            <w:tcBorders>
              <w:bottom w:val="single" w:sz="8" w:color="CCFFC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r>
      <w:tr>
        <w:trPr>
          <w:trHeight w:val="236"/>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(7,043)</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(1,310)</w:t>
            </w:r>
          </w:p>
        </w:tc>
        <w:tc>
          <w:tcPr>
            <w:tcW w:w="2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(18,567)</w:t>
            </w:r>
          </w:p>
        </w:tc>
        <w:tc>
          <w:tcPr>
            <w:tcW w:w="1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(14,519)</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317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3"/>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(4,301)</w:t>
            </w:r>
          </w:p>
        </w:tc>
      </w:tr>
      <w:tr>
        <w:trPr>
          <w:trHeight w:val="33"/>
        </w:trPr>
        <w:tc>
          <w:tcPr>
            <w:tcW w:w="72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(6,667)</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(993)</w:t>
            </w:r>
          </w:p>
        </w:tc>
        <w:tc>
          <w:tcPr>
            <w:tcW w:w="2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(17,264)</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(18,820)</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119"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(18,567)</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(14,519)</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10,338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6,103</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10,343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9,017</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2,131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3,968</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Amortization of tenant allowance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(125)</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823</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Provision for doubtful accounts, net</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1,326</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1,363</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91"/>
              </w:rPr>
              <w:t>(15,127)</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(1,719)</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(11,370)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(2,248)</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assets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75</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(4,352)</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(8,849)</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(2,954)</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22,381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8,549</w:t>
            </w:r>
          </w:p>
        </w:tc>
      </w:tr>
      <w:tr>
        <w:trPr>
          <w:trHeight w:val="270"/>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(463)</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provided by operating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(7,108)</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3,518</w:t>
            </w:r>
          </w:p>
        </w:tc>
      </w:tr>
      <w:tr>
        <w:trPr>
          <w:trHeight w:val="297"/>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91"/>
              </w:rPr>
              <w:t>(13,832)</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(12,176)</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Cash held as collateral for foreign exchange forward contracts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2,511</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(1,502)</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(345)</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(13,883)</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(10,010)</w:t>
            </w:r>
          </w:p>
        </w:tc>
      </w:tr>
      <w:tr>
        <w:trPr>
          <w:trHeight w:val="297"/>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32,712</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7,748</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Repurchase of common stock</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(1,345)</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provided by financing activities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31,367</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6,007</w:t>
            </w:r>
          </w:p>
        </w:tc>
      </w:tr>
      <w:tr>
        <w:trPr>
          <w:trHeight w:val="250"/>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3,957</w:t>
            </w:r>
          </w:p>
        </w:tc>
      </w:tr>
      <w:tr>
        <w:trPr>
          <w:trHeight w:val="256"/>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CHANGE IN CASH AND CASH EQUIVALENTS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10,236</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3,472</w:t>
            </w:r>
          </w:p>
        </w:tc>
      </w:tr>
      <w:tr>
        <w:trPr>
          <w:trHeight w:val="264"/>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56,115</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50,889</w:t>
            </w:r>
          </w:p>
        </w:tc>
      </w:tr>
      <w:tr>
        <w:trPr>
          <w:trHeight w:val="243"/>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66,351</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54,361</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Cash paid for income taxes</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5,524</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w:t>
            </w:r>
          </w:p>
        </w:tc>
      </w:tr>
      <w:tr>
        <w:trPr>
          <w:trHeight w:val="264"/>
        </w:trPr>
        <w:tc>
          <w:tcPr>
            <w:tcW w:w="8340" w:type="dxa"/>
            <w:vAlign w:val="bottom"/>
            <w:shd w:val="clear" w:color="auto" w:fill="CCFFCC"/>
          </w:tcPr>
          <w:p>
            <w:pPr>
              <w:spacing w:after="0"/>
              <w:rPr>
                <w:sz w:val="22"/>
                <w:szCs w:val="22"/>
                <w:color w:val="auto"/>
              </w:rPr>
            </w:pP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20" w:type="dxa"/>
            <w:vAlign w:val="bottom"/>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507</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Leasehold improvements funded by landlord</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1,449</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Issuance of 85,861 shares of common stock in connection with the BotCentral transaction on January 24, 2018</w:t>
            </w:r>
          </w:p>
        </w:tc>
        <w:tc>
          <w:tcPr>
            <w:tcW w:w="920" w:type="dxa"/>
            <w:vAlign w:val="bottom"/>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Issuance of 115,385 shares of common stock in connection with the Conversable transaction on September 27, 2018</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Contingent earn-out in connection with the acquisition of Conversable recorded in accrued expenses and common stock</w:t>
            </w:r>
          </w:p>
        </w:tc>
        <w:tc>
          <w:tcPr>
            <w:tcW w:w="920" w:type="dxa"/>
            <w:vAlign w:val="bottom"/>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2,124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78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786"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Austin (Texas), San Francisco (California) and Seattle (Washington), and international offices in Amsterdam (Netherlands), Berlin (Germany), London (United Kingdom), Mannheim (Germany), Melbourne (Australia), Milan (Italy), Paris (France), Ra'anana (Israel), Reading (United Kingdom), Tel Aviv (Israel), and Tokyo (Japan).</w:t>
      </w:r>
    </w:p>
    <w:p>
      <w:pPr>
        <w:spacing w:after="0" w:line="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LivePerson provides mobile and online business messaging solutions that power digital communication between brands and consumers. LiveEngage, the Company’s enterprise-class, cloud-based platform, enables businesses and consumers to connect through conversational interfaces, such as in-app and mobile messaging, while leveraging bots and artificial intelligence (AI) to increase efficiency.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marketing, and sales, instead of requiring that consumers use email or call a 1-800 number.</w:t>
      </w:r>
    </w:p>
    <w:p>
      <w:pPr>
        <w:spacing w:after="0" w:line="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LiveEngage was designed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services (SMS), social media and third-party consumer messaging platforms. Brands can also use LiveEngage to message consumers when they dial a 1-800 number instead of having them navigate interactive voice response systems (IVR) and wait on hold. The platform seamlessly integrates with third-party bots, enabling brands to manage both AI- based agents and human agents from a single console.</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 optimizes campaign outcomes for sales and service transactions by combining website visitor data with other historical, behavioral, and operational information to develop insights into each step of a consumer’s journey. LivePerson’s products, coupled with its domain knowledge, industry expertise and consulting services, have been proven to maximize the effectiveness of consumer engagement.</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real-time chat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condensed consolidated financial statements as of September 30, 2018 and for the three and nine months ended September 30, 2018 and 2017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September 30, 2018, and the consolidated results of operations, comprehensive loss and cash flows for the interim periods ended September 30, 2018 and 2017.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2017 has been derived from audited consolidated financial statements at that date.</w:t>
      </w:r>
    </w:p>
    <w:p>
      <w:pPr>
        <w:spacing w:after="0" w:line="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2017 included in the Company’s Annual Report on Form 10-K filed with the SEC on March 15,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No. 2018-15 "Customer’s Accounting for Implementation Costs Incurred in a Cloud Computing Arrangement That Is a Service Contract; Disclosures for Implementation Costs Incurred for Internal-Use Software and Cloud Computing Arrangements". This standard aligns the accounting for implementation costs incurred in a hosting arrangement that is a service contract with the accounting for implementation costs incurred to develop or obtain internal-use software under Accounting Standards Codification ("ASC") 350-40, in order to determine which costs to capitalize and recognize as an asset. ASU 2018-15 is effective for annual reporting periods, and interim periods within those years, beginning after December 15, 2019, and can be applied either prospectively to implementation costs incurred after the date of adoption or retrospectively to all arrangements. The Company is currently in the process of evaluating the impact of the adoption of ASU 2018-230 on its consolidated financial statements.</w:t>
      </w:r>
    </w:p>
    <w:p>
      <w:pPr>
        <w:spacing w:after="0" w:line="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June 2018, the FASB issued ASU No. 2018-07 "Compensation —Stock Compensation (Topic 718) —Improvements to Nonemployee Share-Based Payment Accounting" ("ASU 2018-07"). This new standard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is effective for public companies for fiscal years beginning after December 15, 2018, including interim periods within that fiscal year. The Company is currently evaluating the impact of this updated standard, but does not believe this update will have a significant impact on its consolidated financial statements.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2018, the FASB issued ASU No. 2018-05 "Income Taxes (Topic 740): Amendments to SEC Paragraphs Pursuant to SEC Staff Accounting Bulletin No. 118" ("ASU 2018-05"). This new standard adds SEC paragraphs pursuant to the SEC Staff Accounting Bulletin No. 118, which expresses the view of the staff regarding application of Topic 740, Income Taxes, in the reporting period that includes December 22, 2017, the date on which the Tax Cuts and Jobs Act (H.R.1, An Act to Provide for Reconciliation Pursuant to Titles II and V of the Concurrent Resolution on the Budget for Fiscal Year 2018) was signed into law. ASU 2018-05 is effective upon inclusion in the FASB Codification. The Company evaluated the impact of this updated standard and determined that the tax on unremitted earnings is zero due to the overall accumulated deficit in earnings and profits.</w:t>
      </w:r>
    </w:p>
    <w:p>
      <w:pPr>
        <w:spacing w:after="0" w:line="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February 2018, the FASB issued ASU No. 2018-02 "Income Statement—Reporting Comprehensive Income (Topic 220): Reclassification of Certain Tax Effects from Accumulated Other Comprehensive Income" ("ASU 2018-02"). This new standard allows a reclassification from accumulated other comprehensive income to retained earnings for stranded tax effects resulting from the Tax Cuts and Jobs Act of 2017. The amendments in ASU 2018-02 affects any entity that is required to apply the provisions of Topic 220 and has items of other comprehensive income for which the related tax effects are presented in other comprehensive income as required by GAAP. ASU 2018-02 is effective for fiscal years, and interim periods within those fiscal years, beginning after December 15, 2018, for public companies. Early adoption is permitted in any interim period or fiscal years before the effective date of the standard. The Company does not expect the adoption of ASU 2018-02 to have a material effect on its financial position, results of operations or cash flows.</w:t>
      </w:r>
    </w:p>
    <w:p>
      <w:pPr>
        <w:spacing w:after="0" w:line="5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2017, the FASB issued ASU No. 2017-12 "Derivatives and Hedging (Topic 815): Targeted Improvements to Accounting for Hedging Activities" ("ASU 2017-12"). This new standard refines and expands hedge accounting for both financial (e.g., interest rate) and commodity risks. Its provisions create more transparency around how economic results are presented, both on the face of the financial statements and in the footnotes, for investors and analysts. ASU 2017-12 is effective for fiscal years, and interim periods within those fiscal years, beginning after December 15, 2018, for public companies. Early adoption is permitted in any interim period or fiscal years before the effective date of the standard. The Company does not expect the adoption of ASU 2017-12 to have a material effect on its financial position, results of operations or cash flows.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2017, FASB issued ASU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to have a material effect on its financial position, results of operations or cash flows.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jc w:val="both"/>
        <w:ind w:firstLine="648"/>
        <w:spacing w:after="0" w:line="286" w:lineRule="auto"/>
        <w:rPr>
          <w:sz w:val="20"/>
          <w:szCs w:val="20"/>
          <w:color w:val="auto"/>
        </w:rPr>
      </w:pPr>
      <w:r>
        <w:rPr>
          <w:rFonts w:ascii="Arial" w:cs="Arial" w:eastAsia="Arial" w:hAnsi="Arial"/>
          <w:sz w:val="16"/>
          <w:szCs w:val="16"/>
          <w:color w:val="auto"/>
        </w:rPr>
        <w:t>In February 2016, the FASB issued ASU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may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Company is currently evaluating adopting the standard using the modified transition approach or the transition option available where the Company would recognize a cumulative-effect adjustment to the opening balance of retained earnings in the period of adoption. ASU 2016-02 is effective for financial statements issued for annual periods beginning after December 15, 2018. The Company is currently assessing the provisions of this guidance and evaluating the timing and impact the guidance will have on its consolidated financial statements and related disclosures. The Company is also in the process of aggregating lease documentation for review. The adoption of this ASU primarily impacts the balance sheet through the recognition of a right-of-use asset and a lease liability for all leases with terms in excess of twelve months. This guidance is effective January 1, 2019 using a modified retrospective transition approach with early adoption permitted.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the FASB issued ASU No. 2014-09, "Revenue from Contracts with Customers" ("Topic 606"). Topic 606 supersedes the revenue recognition requirements in ASC Topic 605, "Revenue Recognition" ("Topic 605"), and requires the recognition of revenue when promised goods or services are transferred to customers in an amount that reflects the considerations to which the entity expects to be entitled to in exchange for those goods or services. Topic 606 also includes Subtopic 340-40, "Other Assets and Deferred Costs - Contracts with Customers", which requires the deferral of incremental costs of obtaining a contract with a customer. Collectively, the Company refers to Topic 606 and Subtopic 340-40 as the "new standard."</w:t>
      </w:r>
    </w:p>
    <w:p>
      <w:pPr>
        <w:spacing w:after="0" w:line="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adopted the requirements of the new standard as of January 1, 2018, utilizing the modified retrospective method applied to those contracts which were not completed as of January 1, 2018. Results for the reporting periods beginning after January 1, 2018 are presented under the new standard, while prior period amounts are not adjusted and continue to be reported in accordance with its historic accounting under Topic 605.</w:t>
      </w:r>
    </w:p>
    <w:p>
      <w:pPr>
        <w:spacing w:after="0" w:line="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impact of adopting the new standard as of January 1, 2018 on revenues was not material. The primary impact of adopting the new standard relates to the deferral of incremental commission costs of obtaining subscription contracts. The Company recorded an addition to opening retained earnings of $0.7 million as of January 1, 2018 due to the impact of adopting the new standard, with the impact related to the deferral of incremental commission costs. Under Topic 605, the Company deferred only direct and incremental commission costs to obtain a contract and amortized those costs on a straight-line basis over the term of the related subscription contract, which was generally one year. Under the new standard, the Company defers all incremental commission costs to obtain the contract. The prepaid commission balance as of September 30, 2018 is $10.9 million. The Company amortizes these costs over the related period of benefit using the customer expected life that the Company determined to be three to five years which is consistent with the transfer to the customer of the services to which the asset relates.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Revenues are recognized when control of these services is transferred to our customers, in an amount that reflects the consideration we expect to be entitled to in exchange for those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44" w:lineRule="exact"/>
        <w:rPr>
          <w:sz w:val="20"/>
          <w:szCs w:val="20"/>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ind w:right="20" w:firstLine="648"/>
        <w:spacing w:after="0" w:line="277" w:lineRule="auto"/>
        <w:rPr>
          <w:sz w:val="20"/>
          <w:szCs w:val="20"/>
          <w:color w:val="auto"/>
        </w:rPr>
      </w:pPr>
      <w:r>
        <w:rPr>
          <w:rFonts w:ascii="Arial" w:cs="Arial" w:eastAsia="Arial" w:hAnsi="Arial"/>
          <w:sz w:val="18"/>
          <w:szCs w:val="18"/>
          <w:color w:val="auto"/>
        </w:rPr>
        <w:t>Total revenue of $64.2 million and $184.1 million recognized during the three months and nine months ended September 30, 2018, respectively, under Topic 606, was not materially different from what would have been recognized under Topic 605.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Hosted Services Business revenue is reported at the amount that reflects the ultimate consideration expected to be received and primarily consist of fees that provide customers access to LiveEngage,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ASC-606, "Principal Agent Considerations", the Company acts as a principal in a transaction if it controls the specified goods or services before they are transferred to the customer.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records deferred revenues when cash payments are received or due in advance of its performance. The increase in the deferred revenue balance for the nine months ended September 30, 2018 is primarily driven by cash payments received or due in advance of satisfying its performance obligations, partially offset by $31.7 million of revenues recognized that were included in the deferred revenue balance as of December 31, 2017.</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The following table presents deferred revenue by revenue source (amounts in thousands):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4"/>
                <w:szCs w:val="14"/>
                <w:b w:val="1"/>
                <w:bCs w:val="1"/>
                <w:color w:val="auto"/>
                <w:w w:val="93"/>
              </w:rPr>
              <w:t>Deferred Revenue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460" w:type="dxa"/>
            <w:vAlign w:val="bottom"/>
          </w:tcPr>
          <w:p>
            <w:pPr>
              <w:spacing w:after="0"/>
              <w:rPr>
                <w:sz w:val="13"/>
                <w:szCs w:val="13"/>
                <w:color w:val="auto"/>
              </w:rPr>
            </w:pPr>
          </w:p>
        </w:tc>
        <w:tc>
          <w:tcPr>
            <w:tcW w:w="158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As of September 30,</w:t>
            </w:r>
          </w:p>
        </w:tc>
        <w:tc>
          <w:tcPr>
            <w:tcW w:w="13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Hosted services – Business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w w:val="89"/>
              </w:rPr>
              <w:t>45,225</w:t>
            </w:r>
          </w:p>
        </w:tc>
        <w:tc>
          <w:tcPr>
            <w:tcW w:w="100" w:type="dxa"/>
            <w:vAlign w:val="bottom"/>
          </w:tcPr>
          <w:p>
            <w:pPr>
              <w:spacing w:after="0"/>
              <w:rPr>
                <w:sz w:val="19"/>
                <w:szCs w:val="19"/>
                <w:color w:val="auto"/>
              </w:rPr>
            </w:pPr>
          </w:p>
        </w:tc>
        <w:tc>
          <w:tcPr>
            <w:tcW w:w="62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27,011</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Professional services – Business</w:t>
            </w:r>
          </w:p>
        </w:tc>
        <w:tc>
          <w:tcPr>
            <w:tcW w:w="90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89"/>
              </w:rPr>
              <w:t>10,892</w:t>
            </w:r>
          </w:p>
        </w:tc>
        <w:tc>
          <w:tcPr>
            <w:tcW w:w="10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8,552</w:t>
            </w:r>
          </w:p>
        </w:tc>
        <w:tc>
          <w:tcPr>
            <w:tcW w:w="0" w:type="dxa"/>
            <w:vAlign w:val="bottom"/>
          </w:tcPr>
          <w:p>
            <w:pPr>
              <w:spacing w:after="0"/>
              <w:rPr>
                <w:sz w:val="1"/>
                <w:szCs w:val="1"/>
                <w:color w:val="auto"/>
              </w:rPr>
            </w:pPr>
          </w:p>
        </w:tc>
      </w:tr>
      <w:tr>
        <w:trPr>
          <w:trHeight w:val="284"/>
        </w:trPr>
        <w:tc>
          <w:tcPr>
            <w:tcW w:w="8460" w:type="dxa"/>
            <w:vAlign w:val="bottom"/>
            <w:tcBorders>
              <w:bottom w:val="single" w:sz="8" w:color="CCFFCC"/>
            </w:tcBorders>
          </w:tcPr>
          <w:p>
            <w:pPr>
              <w:ind w:left="260"/>
              <w:spacing w:after="0"/>
              <w:rPr>
                <w:sz w:val="20"/>
                <w:szCs w:val="20"/>
                <w:color w:val="auto"/>
              </w:rPr>
            </w:pPr>
            <w:r>
              <w:rPr>
                <w:rFonts w:ascii="Arial" w:cs="Arial" w:eastAsia="Arial" w:hAnsi="Arial"/>
                <w:sz w:val="16"/>
                <w:szCs w:val="16"/>
                <w:color w:val="auto"/>
              </w:rPr>
              <w:t>Total deferred revenue - short term</w:t>
            </w: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56,117</w:t>
            </w:r>
          </w:p>
        </w:tc>
        <w:tc>
          <w:tcPr>
            <w:tcW w:w="100" w:type="dxa"/>
            <w:vAlign w:val="bottom"/>
            <w:tcBorders>
              <w:bottom w:val="single" w:sz="8" w:color="CCFFCC"/>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35,563</w:t>
            </w:r>
          </w:p>
        </w:tc>
        <w:tc>
          <w:tcPr>
            <w:tcW w:w="0" w:type="dxa"/>
            <w:vAlign w:val="bottom"/>
          </w:tcPr>
          <w:p>
            <w:pPr>
              <w:spacing w:after="0"/>
              <w:rPr>
                <w:sz w:val="1"/>
                <w:szCs w:val="1"/>
                <w:color w:val="auto"/>
              </w:rPr>
            </w:pPr>
          </w:p>
        </w:tc>
      </w:tr>
      <w:tr>
        <w:trPr>
          <w:trHeight w:val="284"/>
        </w:trPr>
        <w:tc>
          <w:tcPr>
            <w:tcW w:w="846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74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20"/>
              <w:spacing w:after="0"/>
              <w:rPr>
                <w:sz w:val="20"/>
                <w:szCs w:val="20"/>
                <w:color w:val="auto"/>
              </w:rPr>
            </w:pPr>
            <w:r>
              <w:rPr>
                <w:rFonts w:ascii="Arial" w:cs="Arial" w:eastAsia="Arial" w:hAnsi="Arial"/>
                <w:sz w:val="16"/>
                <w:szCs w:val="16"/>
                <w:color w:val="auto"/>
              </w:rPr>
              <w:t>Hosted services – Business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20"/>
                <w:szCs w:val="20"/>
                <w:color w:val="auto"/>
              </w:rPr>
            </w:pPr>
          </w:p>
        </w:tc>
        <w:tc>
          <w:tcPr>
            <w:tcW w:w="62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Professional services – Business</w:t>
            </w:r>
          </w:p>
        </w:tc>
        <w:tc>
          <w:tcPr>
            <w:tcW w:w="90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8460" w:type="dxa"/>
            <w:vAlign w:val="bottom"/>
          </w:tcPr>
          <w:p>
            <w:pPr>
              <w:ind w:left="260"/>
              <w:spacing w:after="0"/>
              <w:rPr>
                <w:sz w:val="20"/>
                <w:szCs w:val="20"/>
                <w:color w:val="auto"/>
              </w:rPr>
            </w:pPr>
            <w:r>
              <w:rPr>
                <w:rFonts w:ascii="Arial" w:cs="Arial" w:eastAsia="Arial" w:hAnsi="Arial"/>
                <w:sz w:val="16"/>
                <w:szCs w:val="16"/>
                <w:color w:val="auto"/>
              </w:rPr>
              <w:t>Total deferred revenue - long term</w:t>
            </w: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revenues disaggregated by revenue source (amounts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6"/>
                <w:szCs w:val="16"/>
                <w:color w:val="auto"/>
              </w:rPr>
            </w:pPr>
          </w:p>
        </w:tc>
      </w:tr>
      <w:tr>
        <w:trPr>
          <w:trHeight w:val="264"/>
        </w:trPr>
        <w:tc>
          <w:tcPr>
            <w:tcW w:w="6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64"/>
        </w:trPr>
        <w:tc>
          <w:tcPr>
            <w:tcW w:w="6280" w:type="dxa"/>
            <w:vAlign w:val="bottom"/>
            <w:tcBorders>
              <w:bottom w:val="single" w:sz="8" w:color="CCFFC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FFCC"/>
            </w:tcBorders>
          </w:tcPr>
          <w:p>
            <w:pPr>
              <w:jc w:val="right"/>
              <w:ind w:right="71"/>
              <w:spacing w:after="0"/>
              <w:rPr>
                <w:sz w:val="20"/>
                <w:szCs w:val="20"/>
                <w:color w:val="auto"/>
              </w:rPr>
            </w:pPr>
            <w:r>
              <w:rPr>
                <w:rFonts w:ascii="Arial" w:cs="Arial" w:eastAsia="Arial" w:hAnsi="Arial"/>
                <w:sz w:val="9"/>
                <w:szCs w:val="9"/>
                <w:b w:val="1"/>
                <w:bCs w:val="1"/>
                <w:color w:val="auto"/>
              </w:rPr>
              <w:t>(1)</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FFC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CCFFCC"/>
            </w:tcBorders>
          </w:tcPr>
          <w:p>
            <w:pPr>
              <w:jc w:val="right"/>
              <w:ind w:right="95"/>
              <w:spacing w:after="0"/>
              <w:rPr>
                <w:sz w:val="20"/>
                <w:szCs w:val="20"/>
                <w:color w:val="auto"/>
              </w:rPr>
            </w:pPr>
            <w:r>
              <w:rPr>
                <w:rFonts w:ascii="Arial" w:cs="Arial" w:eastAsia="Arial" w:hAnsi="Arial"/>
                <w:sz w:val="9"/>
                <w:szCs w:val="9"/>
                <w:b w:val="1"/>
                <w:bCs w:val="1"/>
                <w:color w:val="auto"/>
              </w:rPr>
              <w:t>(1)</w:t>
            </w:r>
          </w:p>
        </w:tc>
      </w:tr>
      <w:tr>
        <w:trPr>
          <w:trHeight w:val="250"/>
        </w:trPr>
        <w:tc>
          <w:tcPr>
            <w:tcW w:w="62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r>
      <w:tr>
        <w:trPr>
          <w:trHeight w:val="237"/>
        </w:trPr>
        <w:tc>
          <w:tcPr>
            <w:tcW w:w="6280" w:type="dxa"/>
            <w:vAlign w:val="bottom"/>
          </w:tcPr>
          <w:p>
            <w:pPr>
              <w:ind w:left="16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50,046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46,378</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145,805</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w w:val="89"/>
              </w:rPr>
              <w:t>131,798</w:t>
            </w:r>
          </w:p>
        </w:tc>
        <w:tc>
          <w:tcPr>
            <w:tcW w:w="3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2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shd w:val="clear" w:color="auto" w:fill="CCFFCC"/>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63"/>
              <w:spacing w:after="0"/>
              <w:rPr>
                <w:sz w:val="20"/>
                <w:szCs w:val="20"/>
                <w:color w:val="auto"/>
              </w:rPr>
            </w:pPr>
            <w:r>
              <w:rPr>
                <w:rFonts w:ascii="Arial" w:cs="Arial" w:eastAsia="Arial" w:hAnsi="Arial"/>
                <w:sz w:val="16"/>
                <w:szCs w:val="16"/>
                <w:color w:val="auto"/>
              </w:rPr>
              <w:t>4,876</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4,355</w:t>
            </w:r>
          </w:p>
        </w:tc>
        <w:tc>
          <w:tcPr>
            <w:tcW w:w="34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14,508</w:t>
            </w:r>
          </w:p>
        </w:tc>
        <w:tc>
          <w:tcPr>
            <w:tcW w:w="2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12,985</w:t>
            </w:r>
          </w:p>
        </w:tc>
        <w:tc>
          <w:tcPr>
            <w:tcW w:w="340" w:type="dxa"/>
            <w:vAlign w:val="bottom"/>
            <w:tcBorders>
              <w:bottom w:val="single" w:sz="8" w:color="CCFFCC"/>
            </w:tcBorders>
            <w:shd w:val="clear" w:color="auto" w:fill="CCFFCC"/>
          </w:tcPr>
          <w:p>
            <w:pPr>
              <w:spacing w:after="0"/>
              <w:rPr>
                <w:sz w:val="21"/>
                <w:szCs w:val="21"/>
                <w:color w:val="auto"/>
              </w:rPr>
            </w:pPr>
          </w:p>
        </w:tc>
      </w:tr>
      <w:tr>
        <w:trPr>
          <w:trHeight w:val="237"/>
        </w:trPr>
        <w:tc>
          <w:tcPr>
            <w:tcW w:w="6280" w:type="dxa"/>
            <w:vAlign w:val="bottom"/>
          </w:tcPr>
          <w:p>
            <w:pPr>
              <w:ind w:left="16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9,291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5,760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23,801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16,703</w:t>
            </w:r>
          </w:p>
        </w:tc>
        <w:tc>
          <w:tcPr>
            <w:tcW w:w="340" w:type="dxa"/>
            <w:vAlign w:val="bottom"/>
          </w:tcPr>
          <w:p>
            <w:pPr>
              <w:spacing w:after="0"/>
              <w:rPr>
                <w:sz w:val="20"/>
                <w:szCs w:val="20"/>
                <w:color w:val="auto"/>
              </w:rPr>
            </w:pPr>
          </w:p>
        </w:tc>
      </w:tr>
      <w:tr>
        <w:trPr>
          <w:trHeight w:val="33"/>
        </w:trPr>
        <w:tc>
          <w:tcPr>
            <w:tcW w:w="628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r>
      <w:tr>
        <w:trPr>
          <w:trHeight w:val="230"/>
        </w:trPr>
        <w:tc>
          <w:tcPr>
            <w:tcW w:w="6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shd w:val="clear" w:color="auto" w:fill="CCFFCC"/>
              </w:rPr>
              <w:t>Total revenue</w:t>
            </w:r>
          </w:p>
        </w:tc>
        <w:tc>
          <w:tcPr>
            <w:tcW w:w="2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shd w:val="clear" w:color="auto" w:fill="CCFFCC"/>
          </w:tcPr>
          <w:p>
            <w:pPr>
              <w:jc w:val="right"/>
              <w:ind w:right="63"/>
              <w:spacing w:after="0"/>
              <w:rPr>
                <w:sz w:val="20"/>
                <w:szCs w:val="20"/>
                <w:color w:val="auto"/>
              </w:rPr>
            </w:pPr>
            <w:r>
              <w:rPr>
                <w:rFonts w:ascii="Arial" w:cs="Arial" w:eastAsia="Arial" w:hAnsi="Arial"/>
                <w:sz w:val="16"/>
                <w:szCs w:val="16"/>
                <w:color w:val="auto"/>
              </w:rPr>
              <w:t>64,213</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56,493</w:t>
            </w:r>
          </w:p>
        </w:tc>
        <w:tc>
          <w:tcPr>
            <w:tcW w:w="5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184,114</w:t>
            </w:r>
          </w:p>
        </w:tc>
        <w:tc>
          <w:tcPr>
            <w:tcW w:w="20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w w:val="89"/>
              </w:rPr>
              <w:t>161,486</w:t>
            </w:r>
          </w:p>
        </w:tc>
        <w:tc>
          <w:tcPr>
            <w:tcW w:w="340" w:type="dxa"/>
            <w:vAlign w:val="bottom"/>
            <w:tcBorders>
              <w:bottom w:val="single" w:sz="8" w:color="CCFFCC"/>
            </w:tcBorders>
            <w:shd w:val="clear" w:color="auto" w:fill="CCFFCC"/>
          </w:tcPr>
          <w:p>
            <w:pPr>
              <w:spacing w:after="0"/>
              <w:rPr>
                <w:sz w:val="20"/>
                <w:szCs w:val="20"/>
                <w:color w:val="auto"/>
              </w:rPr>
            </w:pPr>
          </w:p>
        </w:tc>
      </w:tr>
      <w:tr>
        <w:trPr>
          <w:trHeight w:val="20"/>
        </w:trPr>
        <w:tc>
          <w:tcPr>
            <w:tcW w:w="62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8890</wp:posOffset>
            </wp:positionV>
            <wp:extent cx="3035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200" w:hanging="158"/>
        <w:spacing w:after="0"/>
        <w:tabs>
          <w:tab w:leader="none" w:pos="20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As noted above, prior period amounts have not been adjusted under the modified retrospective method.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Geographic Location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Company’s revenues attributable to domestic and foreign operations for the periods presented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99"/>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1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r>
      <w:tr>
        <w:trPr>
          <w:trHeight w:val="237"/>
        </w:trPr>
        <w:tc>
          <w:tcPr>
            <w:tcW w:w="5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0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FFC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900" w:type="dxa"/>
            <w:vAlign w:val="bottom"/>
            <w:tcBorders>
              <w:bottom w:val="single" w:sz="8" w:color="CCFFCC"/>
            </w:tcBorders>
            <w:shd w:val="clear" w:color="auto" w:fill="CCFFCC"/>
          </w:tcPr>
          <w:p>
            <w:pPr>
              <w:jc w:val="right"/>
              <w:ind w:right="7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w w:val="93"/>
              </w:rPr>
              <w:t>37,033</w:t>
            </w:r>
          </w:p>
        </w:tc>
        <w:tc>
          <w:tcPr>
            <w:tcW w:w="1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35,519</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106,676</w:t>
            </w:r>
          </w:p>
        </w:tc>
        <w:tc>
          <w:tcPr>
            <w:tcW w:w="100" w:type="dxa"/>
            <w:vAlign w:val="bottom"/>
            <w:tcBorders>
              <w:bottom w:val="single" w:sz="8" w:color="CCFFCC"/>
            </w:tcBorders>
            <w:shd w:val="clear" w:color="auto" w:fill="CCFFCC"/>
          </w:tcPr>
          <w:p>
            <w:pPr>
              <w:spacing w:after="0"/>
              <w:rPr>
                <w:sz w:val="20"/>
                <w:szCs w:val="20"/>
                <w:color w:val="auto"/>
              </w:rPr>
            </w:pPr>
          </w:p>
        </w:tc>
        <w:tc>
          <w:tcPr>
            <w:tcW w:w="480" w:type="dxa"/>
            <w:vAlign w:val="bottom"/>
            <w:tcBorders>
              <w:bottom w:val="single" w:sz="8" w:color="CCFFCC"/>
            </w:tcBorders>
            <w:shd w:val="clear" w:color="auto" w:fill="CCFFCC"/>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101,282</w:t>
            </w:r>
          </w:p>
        </w:tc>
      </w:tr>
      <w:tr>
        <w:trPr>
          <w:trHeight w:val="270"/>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2,402</w:t>
            </w:r>
          </w:p>
        </w:tc>
        <w:tc>
          <w:tcPr>
            <w:tcW w:w="120" w:type="dxa"/>
            <w:vAlign w:val="bottom"/>
            <w:tcBorders>
              <w:bottom w:val="single" w:sz="8" w:color="CCFFCC"/>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1,744</w:t>
            </w:r>
          </w:p>
        </w:tc>
        <w:tc>
          <w:tcPr>
            <w:tcW w:w="12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6,208</w:t>
            </w:r>
          </w:p>
        </w:tc>
        <w:tc>
          <w:tcPr>
            <w:tcW w:w="100" w:type="dxa"/>
            <w:vAlign w:val="bottom"/>
            <w:tcBorders>
              <w:bottom w:val="single" w:sz="8" w:color="CCFFCC"/>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5,684</w:t>
            </w:r>
          </w:p>
        </w:tc>
      </w:tr>
      <w:tr>
        <w:trPr>
          <w:trHeight w:val="23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900" w:type="dxa"/>
            <w:vAlign w:val="bottom"/>
            <w:tcBorders>
              <w:bottom w:val="single" w:sz="8" w:color="CCFFCC"/>
            </w:tcBorders>
            <w:shd w:val="clear" w:color="auto" w:fill="CCFFCC"/>
          </w:tcPr>
          <w:p>
            <w:pPr>
              <w:spacing w:after="0"/>
              <w:rPr>
                <w:sz w:val="20"/>
                <w:szCs w:val="20"/>
                <w:color w:val="auto"/>
              </w:rPr>
            </w:pPr>
          </w:p>
        </w:tc>
        <w:tc>
          <w:tcPr>
            <w:tcW w:w="6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w w:val="93"/>
              </w:rPr>
              <w:t>39,435</w:t>
            </w:r>
          </w:p>
        </w:tc>
        <w:tc>
          <w:tcPr>
            <w:tcW w:w="1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37,263</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112,884</w:t>
            </w:r>
          </w:p>
        </w:tc>
        <w:tc>
          <w:tcPr>
            <w:tcW w:w="100" w:type="dxa"/>
            <w:vAlign w:val="bottom"/>
            <w:tcBorders>
              <w:bottom w:val="single" w:sz="8" w:color="CCFFCC"/>
            </w:tcBorders>
            <w:shd w:val="clear" w:color="auto" w:fill="CCFFCC"/>
          </w:tcPr>
          <w:p>
            <w:pPr>
              <w:spacing w:after="0"/>
              <w:rPr>
                <w:sz w:val="20"/>
                <w:szCs w:val="20"/>
                <w:color w:val="auto"/>
              </w:rPr>
            </w:pPr>
          </w:p>
        </w:tc>
        <w:tc>
          <w:tcPr>
            <w:tcW w:w="48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106,966</w:t>
            </w:r>
          </w:p>
        </w:tc>
      </w:tr>
      <w:tr>
        <w:trPr>
          <w:trHeight w:val="270"/>
        </w:trPr>
        <w:tc>
          <w:tcPr>
            <w:tcW w:w="516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1"/>
                <w:szCs w:val="11"/>
                <w:color w:val="auto"/>
              </w:rPr>
              <w:t xml:space="preserve"> (2) (4)</w:t>
            </w:r>
          </w:p>
        </w:tc>
        <w:tc>
          <w:tcPr>
            <w:tcW w:w="9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w w:val="93"/>
              </w:rPr>
              <w:t>18,536</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14,175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52,974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41,640</w:t>
            </w:r>
          </w:p>
        </w:tc>
      </w:tr>
      <w:tr>
        <w:trPr>
          <w:trHeight w:val="270"/>
        </w:trPr>
        <w:tc>
          <w:tcPr>
            <w:tcW w:w="516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900" w:type="dxa"/>
            <w:vAlign w:val="bottom"/>
            <w:tcBorders>
              <w:bottom w:val="single" w:sz="8" w:color="auto"/>
            </w:tcBorders>
            <w:shd w:val="clear" w:color="auto" w:fill="CCFFCC"/>
          </w:tcPr>
          <w:p>
            <w:pPr>
              <w:spacing w:after="0"/>
              <w:rPr>
                <w:sz w:val="23"/>
                <w:szCs w:val="23"/>
                <w:color w:val="auto"/>
              </w:rPr>
            </w:pPr>
          </w:p>
        </w:tc>
        <w:tc>
          <w:tcPr>
            <w:tcW w:w="6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6,242</w:t>
            </w:r>
          </w:p>
        </w:tc>
        <w:tc>
          <w:tcPr>
            <w:tcW w:w="120" w:type="dxa"/>
            <w:vAlign w:val="bottom"/>
            <w:shd w:val="clear" w:color="auto" w:fill="CCFFCC"/>
          </w:tcPr>
          <w:p>
            <w:pPr>
              <w:spacing w:after="0"/>
              <w:rPr>
                <w:sz w:val="23"/>
                <w:szCs w:val="23"/>
                <w:color w:val="auto"/>
              </w:rPr>
            </w:pP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5,055</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18,256</w:t>
            </w:r>
          </w:p>
        </w:tc>
        <w:tc>
          <w:tcPr>
            <w:tcW w:w="100" w:type="dxa"/>
            <w:vAlign w:val="bottom"/>
            <w:shd w:val="clear" w:color="auto" w:fill="CCFFCC"/>
          </w:tcPr>
          <w:p>
            <w:pPr>
              <w:spacing w:after="0"/>
              <w:rPr>
                <w:sz w:val="23"/>
                <w:szCs w:val="23"/>
                <w:color w:val="auto"/>
              </w:rPr>
            </w:pPr>
          </w:p>
        </w:tc>
        <w:tc>
          <w:tcPr>
            <w:tcW w:w="480" w:type="dxa"/>
            <w:vAlign w:val="bottom"/>
            <w:tcBorders>
              <w:bottom w:val="single" w:sz="8" w:color="auto"/>
            </w:tcBorders>
            <w:shd w:val="clear" w:color="auto" w:fill="CCFFCC"/>
          </w:tcPr>
          <w:p>
            <w:pPr>
              <w:spacing w:after="0"/>
              <w:rPr>
                <w:sz w:val="23"/>
                <w:szCs w:val="23"/>
                <w:color w:val="auto"/>
              </w:rPr>
            </w:pPr>
          </w:p>
        </w:tc>
        <w:tc>
          <w:tcPr>
            <w:tcW w:w="98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12,880</w:t>
            </w:r>
          </w:p>
        </w:tc>
      </w:tr>
      <w:tr>
        <w:trPr>
          <w:trHeight w:val="244"/>
        </w:trPr>
        <w:tc>
          <w:tcPr>
            <w:tcW w:w="516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93"/>
              </w:rPr>
              <w:t>64,213</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56,493</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184,114</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161,486</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ind w:right="240" w:firstLine="8"/>
        <w:spacing w:after="0" w:line="234" w:lineRule="auto"/>
        <w:tabs>
          <w:tab w:leader="none" w:pos="167"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Includes revenues from the United Kingdom of $11.1 million and $10.2 million for the three months ended September 30, 2018 and 2017, respectively, and $34.7 million and $28.4 million nine months ended September 30, 2018 and 2017,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Amounts collected in advance of services being provided are accounted for as deferred revenue. Nearly all of the Company's deferred revenue balance is related to </w:t>
      </w:r>
      <w:r>
        <w:rPr>
          <w:rFonts w:ascii="Arial" w:cs="Arial" w:eastAsia="Arial" w:hAnsi="Arial"/>
          <w:sz w:val="18"/>
          <w:szCs w:val="18"/>
          <w:i w:val="1"/>
          <w:iCs w:val="1"/>
          <w:color w:val="auto"/>
        </w:rPr>
        <w:t>Hosted Services- Business Revenue.</w:t>
      </w:r>
    </w:p>
    <w:p>
      <w:pPr>
        <w:sectPr>
          <w:pgSz w:w="11900" w:h="16838" w:orient="portrait"/>
          <w:cols w:equalWidth="0" w:num="1">
            <w:col w:w="11420"/>
          </w:cols>
          <w:pgMar w:left="240" w:top="584"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4" w:right="239" w:bottom="1440" w:gutter="0" w:footer="0" w:header="0"/>
          <w:type w:val="continuous"/>
        </w:sectPr>
      </w:pPr>
    </w:p>
    <w:bookmarkStart w:id="12" w:name="page13"/>
    <w:bookmarkEnd w:id="12"/>
    <w:p>
      <w:pPr>
        <w:jc w:val="both"/>
        <w:ind w:right="20" w:firstLine="648"/>
        <w:spacing w:after="0" w:line="279" w:lineRule="auto"/>
        <w:rPr>
          <w:sz w:val="20"/>
          <w:szCs w:val="20"/>
          <w:color w:val="auto"/>
        </w:rPr>
      </w:pPr>
      <w:r>
        <w:rPr>
          <w:rFonts w:ascii="Arial" w:cs="Arial" w:eastAsia="Arial" w:hAnsi="Arial"/>
          <w:sz w:val="17"/>
          <w:szCs w:val="17"/>
          <w:color w:val="auto"/>
        </w:rPr>
        <w:t>In some arrangements, the Company allows customers to pay for access to LiveEngage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consolidated balance sheet. The opening and closing balances of the Company's accounts receivable, unbilled receivables, and deferred revenues are as follows (amounts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Accounts Receivable</w:t>
            </w:r>
          </w:p>
        </w:tc>
        <w:tc>
          <w:tcPr>
            <w:tcW w:w="100" w:type="dxa"/>
            <w:vAlign w:val="bottom"/>
          </w:tcPr>
          <w:p>
            <w:pPr>
              <w:spacing w:after="0"/>
              <w:rPr>
                <w:sz w:val="14"/>
                <w:szCs w:val="14"/>
                <w:color w:val="auto"/>
              </w:rPr>
            </w:pPr>
          </w:p>
        </w:tc>
        <w:tc>
          <w:tcPr>
            <w:tcW w:w="14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3"/>
              </w:rPr>
              <w:t>Unbilled Receivable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Deferred Revenue</w:t>
            </w:r>
          </w:p>
        </w:tc>
        <w:tc>
          <w:tcPr>
            <w:tcW w:w="140" w:type="dxa"/>
            <w:vAlign w:val="bottom"/>
          </w:tcPr>
          <w:p>
            <w:pPr>
              <w:spacing w:after="0"/>
              <w:rPr>
                <w:sz w:val="14"/>
                <w:szCs w:val="14"/>
                <w:color w:val="auto"/>
              </w:rPr>
            </w:pPr>
          </w:p>
        </w:tc>
        <w:tc>
          <w:tcPr>
            <w:tcW w:w="1320" w:type="dxa"/>
            <w:vAlign w:val="bottom"/>
          </w:tcPr>
          <w:p>
            <w:pPr>
              <w:jc w:val="right"/>
              <w:ind w:right="103"/>
              <w:spacing w:after="0"/>
              <w:rPr>
                <w:sz w:val="20"/>
                <w:szCs w:val="20"/>
                <w:color w:val="auto"/>
              </w:rPr>
            </w:pPr>
            <w:r>
              <w:rPr>
                <w:rFonts w:ascii="Arial" w:cs="Arial" w:eastAsia="Arial" w:hAnsi="Arial"/>
                <w:sz w:val="14"/>
                <w:szCs w:val="14"/>
                <w:b w:val="1"/>
                <w:bCs w:val="1"/>
                <w:color w:val="auto"/>
                <w:w w:val="93"/>
              </w:rPr>
              <w:t>Deferred Revenue</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(current)</w:t>
            </w:r>
          </w:p>
        </w:tc>
        <w:tc>
          <w:tcPr>
            <w:tcW w:w="140" w:type="dxa"/>
            <w:vAlign w:val="bottom"/>
          </w:tcPr>
          <w:p>
            <w:pPr>
              <w:spacing w:after="0"/>
              <w:rPr>
                <w:sz w:val="16"/>
                <w:szCs w:val="16"/>
                <w:color w:val="auto"/>
              </w:rPr>
            </w:pPr>
          </w:p>
        </w:tc>
        <w:tc>
          <w:tcPr>
            <w:tcW w:w="1320" w:type="dxa"/>
            <w:vAlign w:val="bottom"/>
          </w:tcPr>
          <w:p>
            <w:pPr>
              <w:jc w:val="right"/>
              <w:ind w:right="303"/>
              <w:spacing w:after="0"/>
              <w:rPr>
                <w:sz w:val="20"/>
                <w:szCs w:val="20"/>
                <w:color w:val="auto"/>
              </w:rPr>
            </w:pPr>
            <w:r>
              <w:rPr>
                <w:rFonts w:ascii="Arial" w:cs="Arial" w:eastAsia="Arial" w:hAnsi="Arial"/>
                <w:sz w:val="14"/>
                <w:szCs w:val="14"/>
                <w:b w:val="1"/>
                <w:bCs w:val="1"/>
                <w:color w:val="auto"/>
              </w:rPr>
              <w:t>(long term)</w:t>
            </w:r>
          </w:p>
        </w:tc>
        <w:tc>
          <w:tcPr>
            <w:tcW w:w="0" w:type="dxa"/>
            <w:vAlign w:val="bottom"/>
          </w:tcPr>
          <w:p>
            <w:pPr>
              <w:spacing w:after="0"/>
              <w:rPr>
                <w:sz w:val="1"/>
                <w:szCs w:val="1"/>
                <w:color w:val="auto"/>
              </w:rPr>
            </w:pPr>
          </w:p>
        </w:tc>
      </w:tr>
      <w:tr>
        <w:trPr>
          <w:trHeight w:val="236"/>
        </w:trPr>
        <w:tc>
          <w:tcPr>
            <w:tcW w:w="51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Opening Balance as of December 31, 2017</w:t>
            </w:r>
          </w:p>
        </w:tc>
        <w:tc>
          <w:tcPr>
            <w:tcW w:w="1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CCFFCC"/>
            </w:tcBorders>
            <w:shd w:val="clear" w:color="auto" w:fill="CCFFCC"/>
          </w:tcPr>
          <w:p>
            <w:pPr>
              <w:jc w:val="right"/>
              <w:ind w:right="61"/>
              <w:spacing w:after="0"/>
              <w:rPr>
                <w:sz w:val="20"/>
                <w:szCs w:val="20"/>
                <w:color w:val="auto"/>
              </w:rPr>
            </w:pPr>
            <w:r>
              <w:rPr>
                <w:rFonts w:ascii="Arial" w:cs="Arial" w:eastAsia="Arial" w:hAnsi="Arial"/>
                <w:sz w:val="16"/>
                <w:szCs w:val="16"/>
                <w:color w:val="auto"/>
              </w:rPr>
              <w:t>30,342</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CCFFCC"/>
            </w:tcBorders>
            <w:shd w:val="clear" w:color="auto" w:fill="CCFFCC"/>
          </w:tcPr>
          <w:p>
            <w:pPr>
              <w:jc w:val="right"/>
              <w:ind w:right="61"/>
              <w:spacing w:after="0"/>
              <w:rPr>
                <w:sz w:val="20"/>
                <w:szCs w:val="20"/>
                <w:color w:val="auto"/>
              </w:rPr>
            </w:pPr>
            <w:r>
              <w:rPr>
                <w:rFonts w:ascii="Arial" w:cs="Arial" w:eastAsia="Arial" w:hAnsi="Arial"/>
                <w:sz w:val="16"/>
                <w:szCs w:val="16"/>
                <w:color w:val="auto"/>
              </w:rPr>
              <w:t>7,584</w:t>
            </w:r>
          </w:p>
        </w:tc>
        <w:tc>
          <w:tcPr>
            <w:tcW w:w="100" w:type="dxa"/>
            <w:vAlign w:val="bottom"/>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35,563</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20" w:type="dxa"/>
            <w:vAlign w:val="bottom"/>
          </w:tcPr>
          <w:p>
            <w:pPr>
              <w:ind w:left="160"/>
              <w:spacing w:after="0"/>
              <w:rPr>
                <w:sz w:val="20"/>
                <w:szCs w:val="20"/>
                <w:color w:val="auto"/>
              </w:rPr>
            </w:pPr>
            <w:r>
              <w:rPr>
                <w:rFonts w:ascii="Arial" w:cs="Arial" w:eastAsia="Arial" w:hAnsi="Arial"/>
                <w:sz w:val="16"/>
                <w:szCs w:val="16"/>
                <w:color w:val="auto"/>
              </w:rPr>
              <w:t>Increase (decrease), net</w:t>
            </w:r>
          </w:p>
        </w:tc>
        <w:tc>
          <w:tcPr>
            <w:tcW w:w="100" w:type="dxa"/>
            <w:vAlign w:val="bottom"/>
          </w:tcPr>
          <w:p>
            <w:pPr>
              <w:spacing w:after="0"/>
              <w:rPr>
                <w:sz w:val="20"/>
                <w:szCs w:val="20"/>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10,300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20,554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shd w:val="clear" w:color="auto" w:fill="CCFFCC"/>
          </w:tcPr>
          <w:p>
            <w:pPr>
              <w:ind w:left="20"/>
              <w:spacing w:after="0"/>
              <w:rPr>
                <w:sz w:val="20"/>
                <w:szCs w:val="20"/>
                <w:color w:val="auto"/>
              </w:rPr>
            </w:pPr>
            <w:r>
              <w:rPr>
                <w:rFonts w:ascii="Arial" w:cs="Arial" w:eastAsia="Arial" w:hAnsi="Arial"/>
                <w:sz w:val="16"/>
                <w:szCs w:val="16"/>
                <w:color w:val="auto"/>
              </w:rPr>
              <w:t>Ending Balance as of September 30, 2018</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FFCC"/>
          </w:tcPr>
          <w:p>
            <w:pPr>
              <w:jc w:val="right"/>
              <w:ind w:right="61"/>
              <w:spacing w:after="0"/>
              <w:rPr>
                <w:sz w:val="20"/>
                <w:szCs w:val="20"/>
                <w:color w:val="auto"/>
              </w:rPr>
            </w:pPr>
            <w:r>
              <w:rPr>
                <w:rFonts w:ascii="Arial" w:cs="Arial" w:eastAsia="Arial" w:hAnsi="Arial"/>
                <w:sz w:val="16"/>
                <w:szCs w:val="16"/>
                <w:color w:val="auto"/>
              </w:rPr>
              <w:t>40,642</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FFCC"/>
          </w:tcPr>
          <w:p>
            <w:pPr>
              <w:jc w:val="right"/>
              <w:ind w:right="61"/>
              <w:spacing w:after="0"/>
              <w:rPr>
                <w:sz w:val="20"/>
                <w:szCs w:val="20"/>
                <w:color w:val="auto"/>
              </w:rPr>
            </w:pPr>
            <w:r>
              <w:rPr>
                <w:rFonts w:ascii="Arial" w:cs="Arial" w:eastAsia="Arial" w:hAnsi="Arial"/>
                <w:sz w:val="16"/>
                <w:szCs w:val="16"/>
                <w:color w:val="auto"/>
              </w:rPr>
              <w:t>11,085</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56,117</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20"/>
        </w:trPr>
        <w:tc>
          <w:tcPr>
            <w:tcW w:w="5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Company expects to recognize the long term performance obligations in 2019.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Diluted net loss per common share for the three and nine months ended September 30, 2018 does not include the effect of 9,168,450 outstanding common stock awards, as the effect of their inclusion is anti-dilutive. Diluted net loss per common share for the three and nine months ended September 30, 2017 does not include the effect of 8,653,000 outstanding common stock awards, as the effect of their inclusion is anti-dilutive.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500" w:type="dxa"/>
            <w:vAlign w:val="bottom"/>
            <w:gridSpan w:val="3"/>
          </w:tcPr>
          <w:p>
            <w:pPr>
              <w:jc w:val="center"/>
              <w:ind w:left="1003"/>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3"/>
          </w:tcPr>
          <w:p>
            <w:pPr>
              <w:jc w:val="center"/>
              <w:ind w:left="1003"/>
              <w:spacing w:after="0"/>
              <w:rPr>
                <w:sz w:val="20"/>
                <w:szCs w:val="20"/>
                <w:color w:val="auto"/>
              </w:rPr>
            </w:pPr>
            <w:r>
              <w:rPr>
                <w:rFonts w:ascii="Arial" w:cs="Arial" w:eastAsia="Arial" w:hAnsi="Arial"/>
                <w:sz w:val="14"/>
                <w:szCs w:val="14"/>
                <w:b w:val="1"/>
                <w:bCs w:val="1"/>
                <w:color w:val="auto"/>
                <w:w w:val="94"/>
              </w:rPr>
              <w:t>Nine Months Ended</w:t>
            </w:r>
          </w:p>
        </w:tc>
        <w:tc>
          <w:tcPr>
            <w:tcW w:w="1060" w:type="dxa"/>
            <w:vAlign w:val="bottom"/>
          </w:tcPr>
          <w:p>
            <w:pPr>
              <w:spacing w:after="0"/>
              <w:rPr>
                <w:sz w:val="16"/>
                <w:szCs w:val="16"/>
                <w:color w:val="auto"/>
              </w:rPr>
            </w:pPr>
          </w:p>
        </w:tc>
      </w:tr>
      <w:tr>
        <w:trPr>
          <w:trHeight w:val="276"/>
        </w:trPr>
        <w:tc>
          <w:tcPr>
            <w:tcW w:w="4240" w:type="dxa"/>
            <w:vAlign w:val="bottom"/>
          </w:tcPr>
          <w:p>
            <w:pPr>
              <w:spacing w:after="0"/>
              <w:rPr>
                <w:sz w:val="24"/>
                <w:szCs w:val="24"/>
                <w:color w:val="auto"/>
              </w:rPr>
            </w:pPr>
          </w:p>
        </w:tc>
        <w:tc>
          <w:tcPr>
            <w:tcW w:w="2500" w:type="dxa"/>
            <w:vAlign w:val="bottom"/>
            <w:tcBorders>
              <w:bottom w:val="single" w:sz="8" w:color="auto"/>
            </w:tcBorders>
            <w:gridSpan w:val="3"/>
          </w:tcPr>
          <w:p>
            <w:pPr>
              <w:jc w:val="center"/>
              <w:ind w:left="983"/>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Borders>
              <w:bottom w:val="single" w:sz="8" w:color="auto"/>
            </w:tcBorders>
            <w:gridSpan w:val="3"/>
          </w:tcPr>
          <w:p>
            <w:pPr>
              <w:jc w:val="center"/>
              <w:ind w:left="1003"/>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FFCC"/>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2017</w:t>
            </w:r>
          </w:p>
        </w:tc>
      </w:tr>
      <w:tr>
        <w:trPr>
          <w:trHeight w:val="236"/>
        </w:trPr>
        <w:tc>
          <w:tcPr>
            <w:tcW w:w="4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172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60,014,246</w:t>
            </w:r>
          </w:p>
        </w:tc>
        <w:tc>
          <w:tcPr>
            <w:tcW w:w="12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56,524,990</w:t>
            </w:r>
          </w:p>
        </w:tc>
        <w:tc>
          <w:tcPr>
            <w:tcW w:w="120" w:type="dxa"/>
            <w:vAlign w:val="bottom"/>
            <w:tcBorders>
              <w:bottom w:val="single" w:sz="8" w:color="CCFFCC"/>
            </w:tcBorders>
            <w:shd w:val="clear" w:color="auto" w:fill="CCFFCC"/>
          </w:tcPr>
          <w:p>
            <w:pPr>
              <w:spacing w:after="0"/>
              <w:rPr>
                <w:sz w:val="20"/>
                <w:szCs w:val="20"/>
                <w:color w:val="auto"/>
              </w:rPr>
            </w:pPr>
          </w:p>
        </w:tc>
        <w:tc>
          <w:tcPr>
            <w:tcW w:w="17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58,667,289</w:t>
            </w:r>
          </w:p>
        </w:tc>
        <w:tc>
          <w:tcPr>
            <w:tcW w:w="10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56,153,428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Effect of assumed exercised options</w:t>
            </w:r>
          </w:p>
        </w:tc>
        <w:tc>
          <w:tcPr>
            <w:tcW w:w="2500" w:type="dxa"/>
            <w:vAlign w:val="bottom"/>
            <w:gridSpan w:val="3"/>
          </w:tcPr>
          <w:p>
            <w:pPr>
              <w:jc w:val="right"/>
              <w:ind w:right="9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4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172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60,014,246</w:t>
            </w: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56,524,990</w:t>
            </w:r>
          </w:p>
        </w:tc>
        <w:tc>
          <w:tcPr>
            <w:tcW w:w="12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58,667,289</w:t>
            </w:r>
          </w:p>
        </w:tc>
        <w:tc>
          <w:tcPr>
            <w:tcW w:w="1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56,153,428</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September 30, 2018,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50,046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50,046</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4,876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4,876</w:t>
            </w: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9,291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9,291</w:t>
            </w:r>
          </w:p>
        </w:tc>
      </w:tr>
      <w:tr>
        <w:trPr>
          <w:trHeight w:val="33"/>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59,337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4,876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64,213</w:t>
            </w:r>
          </w:p>
        </w:tc>
      </w:tr>
      <w:tr>
        <w:trPr>
          <w:trHeight w:val="217"/>
        </w:trPr>
        <w:tc>
          <w:tcPr>
            <w:tcW w:w="61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14,695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15,689</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24,391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2,357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26,748</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424</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26,178</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26,178</w:t>
            </w:r>
          </w:p>
        </w:tc>
      </w:tr>
      <w:tr>
        <w:trPr>
          <w:trHeight w:val="244"/>
        </w:trPr>
        <w:tc>
          <w:tcPr>
            <w:tcW w:w="61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19,827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1,525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(26,178)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(4,826)</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September 30, 2017,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46,378</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46,378</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4,355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4,355</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5,760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5,760</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52,138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4,355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56,493</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13,681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14,541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19,554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2,049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21,603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470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20,124</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20,124</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18,433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1,446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(20,124)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nine months ended September 30, 2018,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4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CCFFCC"/>
            </w:tcBorders>
            <w:shd w:val="clear" w:color="auto" w:fill="CCFFCC"/>
          </w:tcPr>
          <w:p>
            <w:pPr>
              <w:spacing w:after="0"/>
              <w:rPr>
                <w:sz w:val="21"/>
                <w:szCs w:val="21"/>
                <w:color w:val="auto"/>
              </w:rPr>
            </w:pPr>
          </w:p>
        </w:tc>
        <w:tc>
          <w:tcPr>
            <w:tcW w:w="100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40" w:type="dxa"/>
            <w:vAlign w:val="bottom"/>
          </w:tcPr>
          <w:p>
            <w:pPr>
              <w:ind w:left="16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145,805</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145,805</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14,508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14,508</w:t>
            </w:r>
          </w:p>
        </w:tc>
      </w:tr>
      <w:tr>
        <w:trPr>
          <w:trHeight w:val="237"/>
        </w:trPr>
        <w:tc>
          <w:tcPr>
            <w:tcW w:w="6140" w:type="dxa"/>
            <w:vAlign w:val="bottom"/>
          </w:tcPr>
          <w:p>
            <w:pPr>
              <w:ind w:left="16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23,801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23,801</w:t>
            </w:r>
          </w:p>
        </w:tc>
      </w:tr>
      <w:tr>
        <w:trPr>
          <w:trHeight w:val="33"/>
        </w:trPr>
        <w:tc>
          <w:tcPr>
            <w:tcW w:w="61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169,606</w:t>
            </w:r>
          </w:p>
        </w:tc>
        <w:tc>
          <w:tcPr>
            <w:tcW w:w="1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14,508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184,114</w:t>
            </w:r>
          </w:p>
        </w:tc>
      </w:tr>
      <w:tr>
        <w:trPr>
          <w:trHeight w:val="217"/>
        </w:trPr>
        <w:tc>
          <w:tcPr>
            <w:tcW w:w="61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42,699</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45,679</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69,453</w:t>
            </w:r>
          </w:p>
        </w:tc>
        <w:tc>
          <w:tcPr>
            <w:tcW w:w="1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6,818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76,271</w:t>
            </w: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1,272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1,272</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77,355</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77,355</w:t>
            </w:r>
          </w:p>
        </w:tc>
      </w:tr>
      <w:tr>
        <w:trPr>
          <w:trHeight w:val="244"/>
        </w:trPr>
        <w:tc>
          <w:tcPr>
            <w:tcW w:w="614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56,182</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4,710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(77,355)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(16,463)</w:t>
            </w: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nine months ended September 30, 2017,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40" w:type="dxa"/>
            <w:vAlign w:val="bottom"/>
          </w:tcPr>
          <w:p>
            <w:pPr>
              <w:ind w:left="160"/>
              <w:spacing w:after="0"/>
              <w:rPr>
                <w:sz w:val="20"/>
                <w:szCs w:val="20"/>
                <w:color w:val="auto"/>
              </w:rPr>
            </w:pPr>
            <w:r>
              <w:rPr>
                <w:rFonts w:ascii="Arial" w:cs="Arial" w:eastAsia="Arial" w:hAnsi="Arial"/>
                <w:sz w:val="16"/>
                <w:szCs w:val="16"/>
                <w:color w:val="auto"/>
              </w:rPr>
              <w:t>Hosted services – Business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131,798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131,798</w:t>
            </w:r>
          </w:p>
        </w:tc>
      </w:tr>
      <w:tr>
        <w:trPr>
          <w:trHeight w:val="3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Hosted services – Consumer</w:t>
            </w:r>
          </w:p>
        </w:tc>
        <w:tc>
          <w:tcPr>
            <w:tcW w:w="22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12,985</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12,985</w:t>
            </w:r>
          </w:p>
        </w:tc>
      </w:tr>
      <w:tr>
        <w:trPr>
          <w:trHeight w:val="237"/>
        </w:trPr>
        <w:tc>
          <w:tcPr>
            <w:tcW w:w="6040" w:type="dxa"/>
            <w:vAlign w:val="bottom"/>
          </w:tcPr>
          <w:p>
            <w:pPr>
              <w:ind w:left="16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16,703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16,703</w:t>
            </w:r>
          </w:p>
        </w:tc>
      </w:tr>
      <w:tr>
        <w:trPr>
          <w:trHeight w:val="33"/>
        </w:trPr>
        <w:tc>
          <w:tcPr>
            <w:tcW w:w="604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148,501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12,985</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161,486</w:t>
            </w:r>
          </w:p>
        </w:tc>
      </w:tr>
      <w:tr>
        <w:trPr>
          <w:trHeight w:val="217"/>
        </w:trPr>
        <w:tc>
          <w:tcPr>
            <w:tcW w:w="60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40,794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2,662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43,456</w:t>
            </w:r>
          </w:p>
        </w:tc>
      </w:tr>
      <w:tr>
        <w:trPr>
          <w:trHeight w:val="3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60,338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6,357</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66,695</w:t>
            </w: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1,412</w:t>
            </w:r>
          </w:p>
        </w:tc>
      </w:tr>
      <w:tr>
        <w:trPr>
          <w:trHeight w:val="3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Unallocated corporate expenses</w:t>
            </w:r>
          </w:p>
        </w:tc>
        <w:tc>
          <w:tcPr>
            <w:tcW w:w="22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61,854</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61,854</w:t>
            </w:r>
          </w:p>
        </w:tc>
      </w:tr>
      <w:tr>
        <w:trPr>
          <w:trHeight w:val="244"/>
        </w:trPr>
        <w:tc>
          <w:tcPr>
            <w:tcW w:w="604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45,957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3,966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(61,854)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(11,931)</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Israel, the United Kingdom, Asia-Pacific and Australia, Latin America and Western Europe, particularly France, Germany and the Netherlands. The following table presents the Company’s long-lived assets by geographic region as of the dates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108,016</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95,716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13,490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13,079</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8,744</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9,504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7,677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8,363</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FFCC"/>
          </w:tcPr>
          <w:p>
            <w:pPr>
              <w:spacing w:after="0"/>
              <w:rPr>
                <w:sz w:val="23"/>
                <w:szCs w:val="23"/>
                <w:color w:val="auto"/>
              </w:rPr>
            </w:pPr>
          </w:p>
        </w:tc>
        <w:tc>
          <w:tcPr>
            <w:tcW w:w="13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3,127</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3,293</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141,054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129,955</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1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individual customer accounted for 10% or more of consolidated revenue for any of the periods presented. No individual customer accounted for 10% or more of accounts receivable as of September 30, 2018 and December 31, 2017.</w:t>
      </w:r>
    </w:p>
    <w:p>
      <w:pPr>
        <w:spacing w:after="0" w:line="200" w:lineRule="exact"/>
        <w:rPr>
          <w:sz w:val="20"/>
          <w:szCs w:val="20"/>
          <w:color w:val="auto"/>
        </w:rPr>
      </w:pPr>
    </w:p>
    <w:p>
      <w:pPr>
        <w:spacing w:after="0" w:line="39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nine months ended September 30, 2018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2017</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72,507</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80,531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Acquisitions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5,010</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5,010</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67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September 30, 2018</w:t>
            </w:r>
          </w:p>
        </w:tc>
        <w:tc>
          <w:tcPr>
            <w:tcW w:w="30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77,443</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85,467</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As of September 30, 2018</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30,640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(23,221)</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7,419</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15,971</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(11,436)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4,535</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1,867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51,464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(38,215)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13,249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27,882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(22,197)</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5,685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15,978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(10,457)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5,521</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48,470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12,366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Amortization expense is calculated over the estimated useful life of the asset. Aggregate amortization expense for intangible assets was $0.7 million and $1.1 million for the three months ended September 30, 2018 and 2017, respectively, and $2.1 million and $4.0 million for the nine months ended September 30, 2018 and 2017, respectively. For the three and nine months ended September 30, 2018 and 2017, respectively, a portion of this amortization is included in cost of revenue. Estimated amortization expense for the next five years is as follows (amounts in thousands):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Remaining 2018</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792</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2,963</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2,775</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2,565</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2,216</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1,938</w:t>
            </w:r>
          </w:p>
        </w:tc>
      </w:tr>
      <w:tr>
        <w:trPr>
          <w:trHeight w:val="33"/>
        </w:trPr>
        <w:tc>
          <w:tcPr>
            <w:tcW w:w="936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13,249</w:t>
            </w:r>
          </w:p>
        </w:tc>
      </w:tr>
      <w:tr>
        <w:trPr>
          <w:trHeight w:val="20"/>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113,463</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100,392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15,154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13,546</w:t>
            </w:r>
          </w:p>
        </w:tc>
      </w:tr>
      <w:tr>
        <w:trPr>
          <w:trHeight w:val="27"/>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128,617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113,938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(88,829)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(79,233)</w:t>
            </w:r>
          </w:p>
        </w:tc>
      </w:tr>
      <w:tr>
        <w:trPr>
          <w:trHeight w:val="27"/>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39,788</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34,705</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16,942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16,431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12,688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15,674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Unrecognized tax benefits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4,924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commissions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5,259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Contingent earn-out (see Note 8)</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Restructuring (see Note 12)</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2,338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3,385</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41,124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48,011</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Conversable, Inc.</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September 2018, the Company acquired the employees and technology assets of Conversable, Inc. a SaaS based Artificial Intelligence powered conversational platform, headquartered in Austin, Texas, for an aggregated estimated purchase price of $6.6 million. The estimated purchase price consisted of $1.2 million in cash, approximately $3.0 million in shares of common stock of the Company, a potential earn-out consideration of $1.8 million in cash and $0.3 million of common stock of the Company, and $0.3 million of deferred revenue. This transaction was accounted for under the purchase method of accounting and was based upon the estimated fair value of Conversable, Inc.'s net tangible and identifiable intangible assets as of the date of acquisition.</w:t>
      </w:r>
    </w:p>
    <w:p>
      <w:pPr>
        <w:spacing w:after="0" w:line="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preliminary purchase price allocation resulted in approximately $5.0 million of goodwill and approximately $1.6 million of intangible assets. The goodwill will be deductible for tax purposes. The intangible assets are being amortized over their expected period of benefit. There is a potential earn-out consideration payment to Conversable Inc.'s shareholders for $2.1 million, which is based on achieving certain targeted financial, strategic, and integration objectives. There is another $0.6 million potential earn-out consideration payment to Conversable Inc.'s employees, which is considered compensation and is being expensed over 12 months. Conversable Inc.’s capabilities will accelerate the ongoing expansion of the Company's conversational commerce solutions and enhance the Company’s ability to deliver proactive and personalized content and services when and where the customer needs it, helping consumers find immediate service through messaging.</w:t>
      </w:r>
    </w:p>
    <w:p>
      <w:pPr>
        <w:spacing w:after="0" w:line="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is in the process of finalizing all fair value and asset purchase accounting adjustments. The effect of this acquisition is included in the Company's results from September 27, 2018 to September 30, 2018 and is not material, thus no pro-forma disclosure is provided.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BotCentral, Inc.</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2018, the Company acquired the employees and technology assets of BotCentral, Inc., a Silicon Valley based startup, for an approximate purchase price of $1.0 million in common stock of the Company. The Company incurred an additional $0.2 million related to acquisition costs. This transaction was accounted for as an asset purchase. The aggregate amount of approximately $1.2 million is included in "Intangibles, net" on the Company's September 30, 2018 condensed consolidated balance sheet. While an active participant in the LiveEngage for Bots partner program, the BotCentral team created a number of bot solutions for major brands in banking, insurance, and travel, running on LivePerson's conversational platform. With the team's expertise and knowledge of the LiveEngage platform, the team is bringing valuable insight for LivePerson's customers and partners, and enabling the company to more rapidly optimize its bot deployment capabilities, and grow the ecosystem.</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September 30, 2018 and December 31, 2017, are summarized as follows (amounts in thousands). The Company has no restricted cash balance at September 30, 2018. The Company's restricted cash balance of $1.5 million at December 31, 2017 was not held in a money market account and is not included in the following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8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2,828</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ind w:left="4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2,828</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2,806</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2,806</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2,828</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FFCC"/>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2,828</w:t>
            </w:r>
          </w:p>
        </w:tc>
        <w:tc>
          <w:tcPr>
            <w:tcW w:w="2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2,806</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2,871</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Contingent earn-out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gridSpan w:val="2"/>
            <w:shd w:val="clear" w:color="auto" w:fill="CCFFCC"/>
          </w:tcPr>
          <w:p>
            <w:pPr>
              <w:ind w:left="4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w:t>
            </w:r>
          </w:p>
        </w:tc>
      </w:tr>
      <w:tr>
        <w:trPr>
          <w:trHeight w:val="244"/>
        </w:trPr>
        <w:tc>
          <w:tcPr>
            <w:tcW w:w="41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8" w:name="page19"/>
    <w:bookmarkEnd w:id="18"/>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only liability that is measured at fair value on a recurring basis is the contingent earn-out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recorded a contingent earn-out of $1.8 million in September 2018 in connection with the acquisition of Conversable, Inc. The contingent earn-out is based on achieving certain targeted financial, strategic, and integration objectives. The unobservable inputs considered are probability factors and the time value of money. See Note 8 of the Notes to Condensed Consolidated Financial Statements for a full description of the acquisition.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Contingent Earn-Out</w:t>
            </w:r>
          </w:p>
        </w:tc>
        <w:tc>
          <w:tcPr>
            <w:tcW w:w="520" w:type="dxa"/>
            <w:vAlign w:val="bottom"/>
            <w:tcBorders>
              <w:bottom w:val="single" w:sz="8" w:color="auto"/>
            </w:tcBorders>
          </w:tcPr>
          <w:p>
            <w:pPr>
              <w:spacing w:after="0"/>
              <w:rPr>
                <w:sz w:val="16"/>
                <w:szCs w:val="16"/>
                <w:color w:val="auto"/>
              </w:rPr>
            </w:pPr>
          </w:p>
        </w:tc>
      </w:tr>
      <w:tr>
        <w:trPr>
          <w:trHeight w:val="264"/>
        </w:trPr>
        <w:tc>
          <w:tcPr>
            <w:tcW w:w="8520" w:type="dxa"/>
            <w:vAlign w:val="bottom"/>
            <w:tcBorders>
              <w:bottom w:val="single" w:sz="8" w:color="CCFFCC"/>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100" w:type="dxa"/>
            <w:vAlign w:val="bottom"/>
            <w:tcBorders>
              <w:bottom w:val="single" w:sz="8" w:color="CCFFCC"/>
            </w:tcBorders>
          </w:tcPr>
          <w:p>
            <w:pPr>
              <w:spacing w:after="0"/>
              <w:rPr>
                <w:sz w:val="22"/>
                <w:szCs w:val="22"/>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9"/>
              </w:rPr>
              <w:t>December 31, 2017</w:t>
            </w:r>
          </w:p>
        </w:tc>
      </w:tr>
      <w:tr>
        <w:trPr>
          <w:trHeight w:val="250"/>
        </w:trPr>
        <w:tc>
          <w:tcPr>
            <w:tcW w:w="85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Balance, Beginning of year</w:t>
            </w:r>
          </w:p>
        </w:tc>
        <w:tc>
          <w:tcPr>
            <w:tcW w:w="440" w:type="dxa"/>
            <w:vAlign w:val="bottom"/>
            <w:tcBorders>
              <w:bottom w:val="single" w:sz="8" w:color="CCFFCC"/>
            </w:tcBorders>
            <w:shd w:val="clear" w:color="auto" w:fill="CCFFCC"/>
          </w:tcPr>
          <w:p>
            <w:pPr>
              <w:jc w:val="right"/>
              <w:ind w:right="2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FFCC"/>
            </w:tcBorders>
            <w:shd w:val="clear" w:color="auto" w:fill="CCFFCC"/>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w:t>
            </w:r>
          </w:p>
        </w:tc>
      </w:tr>
      <w:tr>
        <w:trPr>
          <w:trHeight w:val="243"/>
        </w:trPr>
        <w:tc>
          <w:tcPr>
            <w:tcW w:w="8520" w:type="dxa"/>
            <w:vAlign w:val="bottom"/>
          </w:tcPr>
          <w:p>
            <w:pPr>
              <w:ind w:left="160"/>
              <w:spacing w:after="0"/>
              <w:rPr>
                <w:sz w:val="20"/>
                <w:szCs w:val="20"/>
                <w:color w:val="auto"/>
              </w:rPr>
            </w:pPr>
            <w:r>
              <w:rPr>
                <w:rFonts w:ascii="Arial" w:cs="Arial" w:eastAsia="Arial" w:hAnsi="Arial"/>
                <w:sz w:val="18"/>
                <w:szCs w:val="18"/>
                <w:color w:val="auto"/>
              </w:rPr>
              <w:t>Conversable, Inc. addition (see Note 8)</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7"/>
        </w:trPr>
        <w:tc>
          <w:tcPr>
            <w:tcW w:w="8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5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Cash payment</w:t>
            </w:r>
          </w:p>
        </w:tc>
        <w:tc>
          <w:tcPr>
            <w:tcW w:w="4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FFCC"/>
            </w:tcBorders>
            <w:shd w:val="clear" w:color="auto" w:fill="CCFFCC"/>
          </w:tcPr>
          <w:p>
            <w:pPr>
              <w:spacing w:after="0"/>
              <w:rPr>
                <w:sz w:val="21"/>
                <w:szCs w:val="21"/>
                <w:color w:val="auto"/>
              </w:rPr>
            </w:pPr>
          </w:p>
        </w:tc>
        <w:tc>
          <w:tcPr>
            <w:tcW w:w="5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w:t>
            </w:r>
          </w:p>
        </w:tc>
      </w:tr>
      <w:tr>
        <w:trPr>
          <w:trHeight w:val="243"/>
        </w:trPr>
        <w:tc>
          <w:tcPr>
            <w:tcW w:w="8520" w:type="dxa"/>
            <w:vAlign w:val="bottom"/>
          </w:tcPr>
          <w:p>
            <w:pPr>
              <w:ind w:left="160"/>
              <w:spacing w:after="0"/>
              <w:rPr>
                <w:sz w:val="20"/>
                <w:szCs w:val="20"/>
                <w:color w:val="auto"/>
              </w:rPr>
            </w:pPr>
            <w:r>
              <w:rPr>
                <w:rFonts w:ascii="Arial" w:cs="Arial" w:eastAsia="Arial" w:hAnsi="Arial"/>
                <w:sz w:val="18"/>
                <w:szCs w:val="18"/>
                <w:color w:val="auto"/>
              </w:rPr>
              <w:t>Changes in fair value</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7"/>
        </w:trPr>
        <w:tc>
          <w:tcPr>
            <w:tcW w:w="852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5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Balance, End of year</w:t>
            </w:r>
          </w:p>
        </w:tc>
        <w:tc>
          <w:tcPr>
            <w:tcW w:w="440" w:type="dxa"/>
            <w:vAlign w:val="bottom"/>
            <w:tcBorders>
              <w:bottom w:val="single" w:sz="8" w:color="auto"/>
            </w:tcBorders>
            <w:shd w:val="clear" w:color="auto" w:fill="CCFFCC"/>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FFCC"/>
          </w:tcPr>
          <w:p>
            <w:pPr>
              <w:jc w:val="right"/>
              <w:ind w:right="13"/>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FFCC"/>
          </w:tcPr>
          <w:p>
            <w:pPr>
              <w:ind w:left="220"/>
              <w:spacing w:after="0"/>
              <w:rPr>
                <w:sz w:val="20"/>
                <w:szCs w:val="20"/>
                <w:color w:val="auto"/>
              </w:rPr>
            </w:pPr>
            <w:r>
              <w:rPr>
                <w:rFonts w:ascii="Arial" w:cs="Arial" w:eastAsia="Arial" w:hAnsi="Arial"/>
                <w:sz w:val="18"/>
                <w:szCs w:val="18"/>
                <w:color w:val="auto"/>
              </w:rPr>
              <w:t>—</w:t>
            </w:r>
          </w:p>
        </w:tc>
      </w:tr>
      <w:tr>
        <w:trPr>
          <w:trHeight w:val="20"/>
        </w:trPr>
        <w:tc>
          <w:tcPr>
            <w:tcW w:w="8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2018, the Company is not party to any foreign currency forward contracts and does not have any restricted cash balance. At December 31, 2017, in accordance with the foreign currency forward contracts, the Company was required to pledge cash as collateral security to be maintained at an Israeli bank. The collateral security would remain in control of the bank, to be available in order to satisfy outstanding obligations under the foreign currency forward contracts. Accordingly, the Company had cash at an Israeli bank of approximately $1.5 million at December 31, 2017, which is recorded as cash held as collateral in current assets.</w:t>
      </w:r>
    </w:p>
    <w:p>
      <w:pPr>
        <w:spacing w:after="0" w:line="8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FFCC"/>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As of September 30, 2018</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2017</w:t>
            </w:r>
          </w:p>
        </w:tc>
      </w:tr>
      <w:tr>
        <w:trPr>
          <w:trHeight w:val="250"/>
        </w:trPr>
        <w:tc>
          <w:tcPr>
            <w:tcW w:w="7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780" w:type="dxa"/>
            <w:vAlign w:val="bottom"/>
            <w:tcBorders>
              <w:bottom w:val="single" w:sz="8" w:color="CCFFCC"/>
            </w:tcBorders>
            <w:shd w:val="clear" w:color="auto" w:fill="CCFFCC"/>
          </w:tcPr>
          <w:p>
            <w:pPr>
              <w:jc w:val="right"/>
              <w:ind w:right="6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FFCC"/>
            </w:tcBorders>
            <w:shd w:val="clear" w:color="auto" w:fill="CCFFCC"/>
          </w:tcPr>
          <w:p>
            <w:pPr>
              <w:ind w:left="6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shd w:val="clear" w:color="auto" w:fill="CCFFCC"/>
          </w:tcPr>
          <w:p>
            <w:pPr>
              <w:jc w:val="right"/>
              <w:ind w:right="4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2,866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6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The fair value of the Company’s derivative instruments is summarized below (in thousands):</w:t>
      </w:r>
    </w:p>
    <w:p>
      <w:pPr>
        <w:spacing w:after="0" w:line="230"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Fair Value of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23495</wp:posOffset>
            </wp:positionV>
            <wp:extent cx="21609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03" w:lineRule="exact"/>
        <w:rPr>
          <w:sz w:val="20"/>
          <w:szCs w:val="20"/>
          <w:color w:val="auto"/>
        </w:rPr>
      </w:pPr>
    </w:p>
    <w:p>
      <w:pPr>
        <w:ind w:left="4500"/>
        <w:spacing w:after="0"/>
        <w:tabs>
          <w:tab w:leader="none" w:pos="8080" w:val="left"/>
          <w:tab w:leader="none" w:pos="9860" w:val="left"/>
        </w:tabs>
        <w:rPr>
          <w:sz w:val="20"/>
          <w:szCs w:val="20"/>
          <w:color w:val="auto"/>
        </w:rPr>
      </w:pPr>
      <w:r>
        <w:rPr>
          <w:rFonts w:ascii="Arial" w:cs="Arial" w:eastAsia="Arial" w:hAnsi="Arial"/>
          <w:sz w:val="14"/>
          <w:szCs w:val="14"/>
          <w:b w:val="1"/>
          <w:bCs w:val="1"/>
          <w:color w:val="auto"/>
        </w:rPr>
        <w:t>Balance Sheet Location</w:t>
      </w:r>
      <w:r>
        <w:rPr>
          <w:sz w:val="20"/>
          <w:szCs w:val="20"/>
          <w:color w:val="auto"/>
        </w:rPr>
        <w:tab/>
      </w:r>
      <w:r>
        <w:rPr>
          <w:rFonts w:ascii="Arial" w:cs="Arial" w:eastAsia="Arial" w:hAnsi="Arial"/>
          <w:sz w:val="14"/>
          <w:szCs w:val="14"/>
          <w:b w:val="1"/>
          <w:bCs w:val="1"/>
          <w:color w:val="auto"/>
        </w:rPr>
        <w:t>As of September 30, 2018</w:t>
      </w:r>
      <w:r>
        <w:rPr>
          <w:sz w:val="20"/>
          <w:szCs w:val="20"/>
          <w:color w:val="auto"/>
        </w:rPr>
        <w:tab/>
      </w:r>
      <w:r>
        <w:rPr>
          <w:rFonts w:ascii="Arial" w:cs="Arial" w:eastAsia="Arial" w:hAnsi="Arial"/>
          <w:sz w:val="12"/>
          <w:szCs w:val="12"/>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 Assets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280"/>
        <w:spacing w:after="0"/>
        <w:tabs>
          <w:tab w:leader="none" w:pos="4480" w:val="left"/>
          <w:tab w:leader="none" w:pos="8020" w:val="left"/>
          <w:tab w:leader="none" w:pos="9440" w:val="left"/>
          <w:tab w:leader="none" w:pos="9840" w:val="left"/>
          <w:tab w:leader="none" w:pos="11120" w:val="left"/>
        </w:tabs>
        <w:rPr>
          <w:sz w:val="20"/>
          <w:szCs w:val="20"/>
          <w:color w:val="auto"/>
        </w:rPr>
      </w:pPr>
      <w:r>
        <w:rPr>
          <w:rFonts w:ascii="Arial" w:cs="Arial" w:eastAsia="Arial" w:hAnsi="Arial"/>
          <w:sz w:val="16"/>
          <w:szCs w:val="16"/>
          <w:color w:val="auto"/>
        </w:rPr>
        <w:t>Foreign currency derivatives contracts</w:t>
      </w:r>
      <w:r>
        <w:rPr>
          <w:sz w:val="20"/>
          <w:szCs w:val="20"/>
          <w:color w:val="auto"/>
        </w:rPr>
        <w:tab/>
      </w:r>
      <w:r>
        <w:rPr>
          <w:rFonts w:ascii="Arial" w:cs="Arial" w:eastAsia="Arial" w:hAnsi="Arial"/>
          <w:sz w:val="16"/>
          <w:szCs w:val="16"/>
          <w:color w:val="auto"/>
        </w:rPr>
        <w:t>Prepaid expenses and other current assets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52070</wp:posOffset>
            </wp:positionV>
            <wp:extent cx="2160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Derivatives not designated as hedging instruments:</w:t>
      </w:r>
    </w:p>
    <w:p>
      <w:pPr>
        <w:spacing w:after="0" w:line="73" w:lineRule="exact"/>
        <w:rPr>
          <w:sz w:val="20"/>
          <w:szCs w:val="20"/>
          <w:color w:val="auto"/>
        </w:rPr>
      </w:pPr>
    </w:p>
    <w:p>
      <w:pPr>
        <w:ind w:left="280"/>
        <w:spacing w:after="0"/>
        <w:tabs>
          <w:tab w:leader="none" w:pos="4480" w:val="left"/>
          <w:tab w:leader="none" w:pos="8020" w:val="left"/>
          <w:tab w:leader="none" w:pos="9440" w:val="left"/>
          <w:tab w:leader="none" w:pos="9840" w:val="left"/>
          <w:tab w:leader="none" w:pos="11220" w:val="left"/>
        </w:tabs>
        <w:rPr>
          <w:sz w:val="20"/>
          <w:szCs w:val="20"/>
          <w:color w:val="auto"/>
        </w:rPr>
      </w:pPr>
      <w:r>
        <w:rPr>
          <w:rFonts w:ascii="Arial" w:cs="Arial" w:eastAsia="Arial" w:hAnsi="Arial"/>
          <w:sz w:val="16"/>
          <w:szCs w:val="16"/>
          <w:color w:val="auto"/>
        </w:rPr>
        <w:t>Foreign currency derivatives contracts</w:t>
      </w:r>
      <w:r>
        <w:rPr>
          <w:sz w:val="20"/>
          <w:szCs w:val="20"/>
          <w:color w:val="auto"/>
        </w:rPr>
        <w:tab/>
      </w:r>
      <w:r>
        <w:rPr>
          <w:rFonts w:ascii="Arial" w:cs="Arial" w:eastAsia="Arial" w:hAnsi="Arial"/>
          <w:sz w:val="16"/>
          <w:szCs w:val="16"/>
          <w:color w:val="auto"/>
        </w:rPr>
        <w:t>Accrued expenses and other liabilities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34925</wp:posOffset>
            </wp:positionV>
            <wp:extent cx="216090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905" cy="26035"/>
                    </a:xfrm>
                    <a:prstGeom prst="rect">
                      <a:avLst/>
                    </a:prstGeom>
                    <a:noFill/>
                  </pic:spPr>
                </pic:pic>
              </a:graphicData>
            </a:graphic>
          </wp:anchor>
        </w:drawing>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7"/>
              </w:rPr>
              <w:t>Gain (losses) on Derivative Instruments Recognized in Statements of Operations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52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22"/>
                <w:szCs w:val="22"/>
                <w:color w:val="auto"/>
              </w:rPr>
            </w:pPr>
          </w:p>
        </w:tc>
        <w:tc>
          <w:tcPr>
            <w:tcW w:w="308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FFC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FFCC"/>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FCC"/>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FFCC"/>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6"/>
        </w:trPr>
        <w:tc>
          <w:tcPr>
            <w:tcW w:w="2420" w:type="dxa"/>
            <w:vAlign w:val="bottom"/>
            <w:shd w:val="clear" w:color="auto" w:fill="CCFFCC"/>
          </w:tcPr>
          <w:p>
            <w:pPr>
              <w:ind w:left="40"/>
              <w:spacing w:after="0"/>
              <w:rPr>
                <w:sz w:val="20"/>
                <w:szCs w:val="20"/>
                <w:color w:val="auto"/>
              </w:rPr>
            </w:pPr>
            <w:r>
              <w:rPr>
                <w:rFonts w:ascii="Arial" w:cs="Arial" w:eastAsia="Arial" w:hAnsi="Arial"/>
                <w:sz w:val="16"/>
                <w:szCs w:val="16"/>
                <w:color w:val="auto"/>
              </w:rPr>
              <w:t>Foreign currency derivatives</w:t>
            </w:r>
          </w:p>
        </w:tc>
        <w:tc>
          <w:tcPr>
            <w:tcW w:w="1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vMerge w:val="restart"/>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vMerge w:val="restart"/>
            <w:shd w:val="clear" w:color="auto" w:fill="CCFFCC"/>
          </w:tcPr>
          <w:p>
            <w:pPr>
              <w:ind w:left="1280"/>
              <w:spacing w:after="0"/>
              <w:rPr>
                <w:sz w:val="20"/>
                <w:szCs w:val="20"/>
                <w:color w:val="auto"/>
              </w:rPr>
            </w:pPr>
            <w:r>
              <w:rPr>
                <w:rFonts w:ascii="Arial" w:cs="Arial" w:eastAsia="Arial" w:hAnsi="Arial"/>
                <w:sz w:val="16"/>
                <w:szCs w:val="16"/>
                <w:color w:val="auto"/>
              </w:rPr>
              <w:t>—</w:t>
            </w:r>
          </w:p>
        </w:tc>
        <w:tc>
          <w:tcPr>
            <w:tcW w:w="400" w:type="dxa"/>
            <w:vAlign w:val="bottom"/>
            <w:vMerge w:val="restart"/>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FFCC"/>
          </w:tcPr>
          <w:p>
            <w:pPr>
              <w:spacing w:after="0"/>
              <w:rPr>
                <w:sz w:val="17"/>
                <w:szCs w:val="17"/>
                <w:color w:val="auto"/>
              </w:rPr>
            </w:pPr>
          </w:p>
        </w:tc>
        <w:tc>
          <w:tcPr>
            <w:tcW w:w="400" w:type="dxa"/>
            <w:vAlign w:val="bottom"/>
            <w:vMerge w:val="restart"/>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FFC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FFCC"/>
          </w:tcPr>
          <w:p>
            <w:pPr>
              <w:spacing w:after="0"/>
              <w:rPr>
                <w:sz w:val="17"/>
                <w:szCs w:val="17"/>
                <w:color w:val="auto"/>
              </w:rPr>
            </w:pPr>
          </w:p>
        </w:tc>
        <w:tc>
          <w:tcPr>
            <w:tcW w:w="400" w:type="dxa"/>
            <w:vAlign w:val="bottom"/>
            <w:vMerge w:val="restart"/>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FFCC"/>
          </w:tcPr>
          <w:p>
            <w:pPr>
              <w:jc w:val="right"/>
              <w:ind w:right="23"/>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9"/>
        </w:trPr>
        <w:tc>
          <w:tcPr>
            <w:tcW w:w="2420" w:type="dxa"/>
            <w:vAlign w:val="bottom"/>
            <w:shd w:val="clear" w:color="auto" w:fill="CCFFCC"/>
          </w:tcPr>
          <w:p>
            <w:pPr>
              <w:ind w:left="40"/>
              <w:spacing w:after="0"/>
              <w:rPr>
                <w:sz w:val="20"/>
                <w:szCs w:val="20"/>
                <w:color w:val="auto"/>
              </w:rPr>
            </w:pPr>
            <w:r>
              <w:rPr>
                <w:rFonts w:ascii="Arial" w:cs="Arial" w:eastAsia="Arial" w:hAnsi="Arial"/>
                <w:sz w:val="16"/>
                <w:szCs w:val="16"/>
                <w:color w:val="auto"/>
              </w:rPr>
              <w:t>contracts</w:t>
            </w:r>
          </w:p>
        </w:tc>
        <w:tc>
          <w:tcPr>
            <w:tcW w:w="18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vMerge w:val="continue"/>
            <w:shd w:val="clear" w:color="auto" w:fill="CCFFCC"/>
          </w:tcPr>
          <w:p>
            <w:pPr>
              <w:spacing w:after="0"/>
              <w:rPr>
                <w:sz w:val="19"/>
                <w:szCs w:val="19"/>
                <w:color w:val="auto"/>
              </w:rPr>
            </w:pPr>
          </w:p>
        </w:tc>
        <w:tc>
          <w:tcPr>
            <w:tcW w:w="1700" w:type="dxa"/>
            <w:vAlign w:val="bottom"/>
            <w:gridSpan w:val="2"/>
            <w:vMerge w:val="continue"/>
            <w:shd w:val="clear" w:color="auto" w:fill="CCFFCC"/>
          </w:tcPr>
          <w:p>
            <w:pPr>
              <w:spacing w:after="0"/>
              <w:rPr>
                <w:sz w:val="19"/>
                <w:szCs w:val="19"/>
                <w:color w:val="auto"/>
              </w:rPr>
            </w:pPr>
          </w:p>
        </w:tc>
        <w:tc>
          <w:tcPr>
            <w:tcW w:w="400" w:type="dxa"/>
            <w:vAlign w:val="bottom"/>
            <w:vMerge w:val="continue"/>
            <w:shd w:val="clear" w:color="auto" w:fill="CCFFCC"/>
          </w:tcPr>
          <w:p>
            <w:pPr>
              <w:spacing w:after="0"/>
              <w:rPr>
                <w:sz w:val="19"/>
                <w:szCs w:val="19"/>
                <w:color w:val="auto"/>
              </w:rPr>
            </w:pPr>
          </w:p>
        </w:tc>
        <w:tc>
          <w:tcPr>
            <w:tcW w:w="1300" w:type="dxa"/>
            <w:vAlign w:val="bottom"/>
            <w:vMerge w:val="continue"/>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00" w:type="dxa"/>
            <w:vAlign w:val="bottom"/>
            <w:vMerge w:val="continue"/>
            <w:shd w:val="clear" w:color="auto" w:fill="CCFFCC"/>
          </w:tcPr>
          <w:p>
            <w:pPr>
              <w:spacing w:after="0"/>
              <w:rPr>
                <w:sz w:val="19"/>
                <w:szCs w:val="19"/>
                <w:color w:val="auto"/>
              </w:rPr>
            </w:pPr>
          </w:p>
        </w:tc>
        <w:tc>
          <w:tcPr>
            <w:tcW w:w="1280" w:type="dxa"/>
            <w:vAlign w:val="bottom"/>
            <w:vMerge w:val="continue"/>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00" w:type="dxa"/>
            <w:vAlign w:val="bottom"/>
            <w:vMerge w:val="continue"/>
            <w:shd w:val="clear" w:color="auto" w:fill="CCFFCC"/>
          </w:tcPr>
          <w:p>
            <w:pPr>
              <w:spacing w:after="0"/>
              <w:rPr>
                <w:sz w:val="19"/>
                <w:szCs w:val="19"/>
                <w:color w:val="auto"/>
              </w:rPr>
            </w:pPr>
          </w:p>
        </w:tc>
        <w:tc>
          <w:tcPr>
            <w:tcW w:w="1280" w:type="dxa"/>
            <w:vAlign w:val="bottom"/>
            <w:vMerge w:val="continue"/>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FFCC"/>
            </w:tcBorders>
          </w:tcPr>
          <w:p>
            <w:pPr>
              <w:spacing w:after="0" w:line="20" w:lineRule="exact"/>
              <w:rPr>
                <w:sz w:val="1"/>
                <w:szCs w:val="1"/>
                <w:color w:val="auto"/>
              </w:rPr>
            </w:pPr>
          </w:p>
        </w:tc>
        <w:tc>
          <w:tcPr>
            <w:tcW w:w="17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three months ended September 30, 2018 and 2017 was approximately $2.9 million and $2.3 million, respectively. Rental expense for operating leases for the nine months ended September 30, 2018 and 2017 was approximately $7.2 million and $7.3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$0.4 million and $0.3 million of employer matching contributions for both the three months ended September 30, 2018 and 2017, respectively. Salaries and related expenses include $1.2 million and $1.1 million of employer matching contributions for the nine months ended September 30, 2018 and 2017,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September 30, 2018, the Company has a $1.8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nine months ended September 30,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2018, there were 100,000,000 shares of common stock authorized, and 63,201,497 shares issued and outstanding. As of December 31, 2017, there were 100,000,000 shares of common stock authorized, and 59,663,969 shares issued and outstanding. The par value for common shares is $0.001.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2018 and December 31, 2017, there were 5,000,000 shares of preferred stock authorized, and zero shares issued and outstanding. The par value for preferred shares is $0.001.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February 16, 2016, the Company's Board of Directors increased the aggregate purchase price of the total stock repurchase program by an additional $14.0 million. On November 21, 2016, the Company's Board of Directors increased the aggregate purchase price of the stock repurchase program from $64.0 million to $74.0 million and extended the expiration date of the program out to December 31, 2017. On May 7, 2018, the Company's Board of Directors ratified the extension to December 31, 2018 of the repurchase program, effective as of January 1, 2018. There were 93,750 shares repurchased under this program during the nine months ended September 30, 2018, which were recorded in treasury stock at par on the condensed consolidated balance sheets as of September 30, 2018. As of September 30, 2018, approximately $17.1 million remained available for purchase under the program.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per share weighted average fair value of stock options granted was $10.13 and $5.02 during the three months ended September 30, 2018 and 2017, respectively, and $6.62 and $3.63 during the nine months ended September 30, 2018 and 2017, respectively. The fair value of each option grant is estimated on the date of grant using the Black-Scholes option-pricing model with the following weighted average assumptions: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0" w:type="dxa"/>
            <w:vAlign w:val="bottom"/>
            <w:gridSpan w:val="3"/>
          </w:tcPr>
          <w:p>
            <w:pPr>
              <w:jc w:val="center"/>
              <w:ind w:left="163"/>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2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6"/>
                <w:szCs w:val="16"/>
                <w:color w:val="auto"/>
              </w:rPr>
            </w:pPr>
          </w:p>
        </w:tc>
      </w:tr>
      <w:tr>
        <w:trPr>
          <w:trHeight w:val="276"/>
        </w:trPr>
        <w:tc>
          <w:tcPr>
            <w:tcW w:w="43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163"/>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2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436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8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36"/>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72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6"/>
                <w:szCs w:val="16"/>
                <w:color w:val="auto"/>
                <w:w w:val="93"/>
              </w:rPr>
              <w:t>0.0%</w:t>
            </w:r>
          </w:p>
        </w:tc>
        <w:tc>
          <w:tcPr>
            <w:tcW w:w="12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center"/>
              <w:ind w:right="501"/>
              <w:spacing w:after="0"/>
              <w:rPr>
                <w:sz w:val="20"/>
                <w:szCs w:val="20"/>
                <w:color w:val="auto"/>
              </w:rPr>
            </w:pPr>
            <w:r>
              <w:rPr>
                <w:rFonts w:ascii="Arial" w:cs="Arial" w:eastAsia="Arial" w:hAnsi="Arial"/>
                <w:sz w:val="16"/>
                <w:szCs w:val="16"/>
                <w:color w:val="auto"/>
                <w:w w:val="93"/>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72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6"/>
                <w:szCs w:val="16"/>
                <w:color w:val="auto"/>
                <w:w w:val="87"/>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70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6"/>
                <w:szCs w:val="16"/>
                <w:color w:val="auto"/>
                <w:w w:val="93"/>
              </w:rPr>
              <w:t>0.0%</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920" w:type="dxa"/>
            <w:vAlign w:val="bottom"/>
          </w:tcPr>
          <w:p>
            <w:pPr>
              <w:ind w:left="20"/>
              <w:spacing w:after="0"/>
              <w:rPr>
                <w:sz w:val="20"/>
                <w:szCs w:val="20"/>
                <w:color w:val="auto"/>
              </w:rPr>
            </w:pPr>
            <w:r>
              <w:rPr>
                <w:rFonts w:ascii="Arial" w:cs="Arial" w:eastAsia="Arial" w:hAnsi="Arial"/>
                <w:sz w:val="16"/>
                <w:szCs w:val="16"/>
                <w:color w:val="auto"/>
              </w:rPr>
              <w:t>- 2.9%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501"/>
              <w:spacing w:after="0"/>
              <w:rPr>
                <w:sz w:val="20"/>
                <w:szCs w:val="20"/>
                <w:color w:val="auto"/>
              </w:rPr>
            </w:pPr>
            <w:r>
              <w:rPr>
                <w:rFonts w:ascii="Arial" w:cs="Arial" w:eastAsia="Arial" w:hAnsi="Arial"/>
                <w:sz w:val="16"/>
                <w:szCs w:val="16"/>
                <w:color w:val="auto"/>
                <w:w w:val="93"/>
              </w:rPr>
              <w:t>1.8%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920" w:type="dxa"/>
            <w:vAlign w:val="bottom"/>
          </w:tcPr>
          <w:p>
            <w:pPr>
              <w:ind w:left="40"/>
              <w:spacing w:after="0"/>
              <w:rPr>
                <w:sz w:val="20"/>
                <w:szCs w:val="20"/>
                <w:color w:val="auto"/>
              </w:rPr>
            </w:pPr>
            <w:r>
              <w:rPr>
                <w:rFonts w:ascii="Arial" w:cs="Arial" w:eastAsia="Arial" w:hAnsi="Arial"/>
                <w:sz w:val="16"/>
                <w:szCs w:val="16"/>
                <w:color w:val="auto"/>
              </w:rPr>
              <w:t>- 2.9%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900" w:type="dxa"/>
            <w:vAlign w:val="bottom"/>
          </w:tcPr>
          <w:p>
            <w:pPr>
              <w:ind w:left="20"/>
              <w:spacing w:after="0"/>
              <w:rPr>
                <w:sz w:val="20"/>
                <w:szCs w:val="20"/>
                <w:color w:val="auto"/>
              </w:rPr>
            </w:pPr>
            <w:r>
              <w:rPr>
                <w:rFonts w:ascii="Arial" w:cs="Arial" w:eastAsia="Arial" w:hAnsi="Arial"/>
                <w:sz w:val="16"/>
                <w:szCs w:val="16"/>
                <w:color w:val="auto"/>
              </w:rPr>
              <w:t>- 1.9%</w:t>
            </w:r>
          </w:p>
        </w:tc>
      </w:tr>
      <w:tr>
        <w:trPr>
          <w:trHeight w:val="33"/>
        </w:trPr>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8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center"/>
              <w:ind w:right="723"/>
              <w:spacing w:after="0"/>
              <w:rPr>
                <w:sz w:val="20"/>
                <w:szCs w:val="20"/>
                <w:color w:val="auto"/>
              </w:rPr>
            </w:pPr>
            <w:r>
              <w:rPr>
                <w:rFonts w:ascii="Arial" w:cs="Arial" w:eastAsia="Arial" w:hAnsi="Arial"/>
                <w:sz w:val="16"/>
                <w:szCs w:val="16"/>
                <w:color w:val="auto"/>
                <w:w w:val="89"/>
              </w:rPr>
              <w:t>5</w:t>
            </w:r>
          </w:p>
        </w:tc>
        <w:tc>
          <w:tcPr>
            <w:tcW w:w="12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center"/>
              <w:ind w:right="481"/>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center"/>
              <w:ind w:right="723"/>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center"/>
              <w:ind w:right="739"/>
              <w:spacing w:after="0"/>
              <w:rPr>
                <w:sz w:val="20"/>
                <w:szCs w:val="20"/>
                <w:color w:val="auto"/>
              </w:rPr>
            </w:pPr>
            <w:r>
              <w:rPr>
                <w:rFonts w:ascii="Arial" w:cs="Arial" w:eastAsia="Arial" w:hAnsi="Arial"/>
                <w:sz w:val="16"/>
                <w:szCs w:val="16"/>
                <w:color w:val="auto"/>
                <w:w w:val="89"/>
              </w:rPr>
              <w:t>5</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800" w:type="dxa"/>
            <w:vAlign w:val="bottom"/>
          </w:tcPr>
          <w:p>
            <w:pPr>
              <w:jc w:val="right"/>
              <w:spacing w:after="0"/>
              <w:rPr>
                <w:sz w:val="20"/>
                <w:szCs w:val="20"/>
                <w:color w:val="auto"/>
              </w:rPr>
            </w:pPr>
            <w:r>
              <w:rPr>
                <w:rFonts w:ascii="Arial" w:cs="Arial" w:eastAsia="Arial" w:hAnsi="Arial"/>
                <w:sz w:val="16"/>
                <w:szCs w:val="16"/>
                <w:color w:val="auto"/>
              </w:rPr>
              <w:t>43.5%</w:t>
            </w:r>
          </w:p>
        </w:tc>
        <w:tc>
          <w:tcPr>
            <w:tcW w:w="920" w:type="dxa"/>
            <w:vAlign w:val="bottom"/>
          </w:tcPr>
          <w:p>
            <w:pPr>
              <w:ind w:left="20"/>
              <w:spacing w:after="0"/>
              <w:rPr>
                <w:sz w:val="20"/>
                <w:szCs w:val="20"/>
                <w:color w:val="auto"/>
              </w:rPr>
            </w:pPr>
            <w:r>
              <w:rPr>
                <w:rFonts w:ascii="Arial" w:cs="Arial" w:eastAsia="Arial" w:hAnsi="Arial"/>
                <w:sz w:val="16"/>
                <w:szCs w:val="16"/>
                <w:color w:val="auto"/>
              </w:rPr>
              <w:t>- 43.7%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501"/>
              <w:spacing w:after="0"/>
              <w:rPr>
                <w:sz w:val="20"/>
                <w:szCs w:val="20"/>
                <w:color w:val="auto"/>
              </w:rPr>
            </w:pPr>
            <w:r>
              <w:rPr>
                <w:rFonts w:ascii="Arial" w:cs="Arial" w:eastAsia="Arial" w:hAnsi="Arial"/>
                <w:sz w:val="16"/>
                <w:szCs w:val="16"/>
                <w:color w:val="auto"/>
                <w:w w:val="92"/>
              </w:rPr>
              <w:t>47.3%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43.5%</w:t>
            </w:r>
          </w:p>
        </w:tc>
        <w:tc>
          <w:tcPr>
            <w:tcW w:w="920" w:type="dxa"/>
            <w:vAlign w:val="bottom"/>
          </w:tcPr>
          <w:p>
            <w:pPr>
              <w:ind w:left="40"/>
              <w:spacing w:after="0"/>
              <w:rPr>
                <w:sz w:val="20"/>
                <w:szCs w:val="20"/>
                <w:color w:val="auto"/>
              </w:rPr>
            </w:pPr>
            <w:r>
              <w:rPr>
                <w:rFonts w:ascii="Arial" w:cs="Arial" w:eastAsia="Arial" w:hAnsi="Arial"/>
                <w:sz w:val="16"/>
                <w:szCs w:val="16"/>
                <w:color w:val="auto"/>
              </w:rPr>
              <w:t>- 48.4%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46.6%</w:t>
            </w:r>
          </w:p>
        </w:tc>
        <w:tc>
          <w:tcPr>
            <w:tcW w:w="900" w:type="dxa"/>
            <w:vAlign w:val="bottom"/>
          </w:tcPr>
          <w:p>
            <w:pPr>
              <w:ind w:left="20"/>
              <w:spacing w:after="0"/>
              <w:rPr>
                <w:sz w:val="20"/>
                <w:szCs w:val="20"/>
                <w:color w:val="auto"/>
              </w:rPr>
            </w:pPr>
            <w:r>
              <w:rPr>
                <w:rFonts w:ascii="Arial" w:cs="Arial" w:eastAsia="Arial" w:hAnsi="Arial"/>
                <w:sz w:val="16"/>
                <w:szCs w:val="16"/>
                <w:color w:val="auto"/>
              </w:rPr>
              <w:t>- 47.6%</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1998, the Company established the Stock Option and Restricted Stock Purchase Plan (the “1998 Plan”). Under the 1998 Plan, the Board of Directors could issue incentive stock options or nonqualified stock options or other equity-based awards in respect of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2000 Plan by approximately 4,150,000, thereby reserving for issuance 10,000,000 shares of common stock in the aggregate.</w:t>
      </w:r>
    </w:p>
    <w:p>
      <w:pPr>
        <w:spacing w:after="0" w:line="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ind w:firstLine="648"/>
        <w:spacing w:after="0" w:line="257" w:lineRule="auto"/>
        <w:rPr>
          <w:sz w:val="20"/>
          <w:szCs w:val="20"/>
          <w:color w:val="auto"/>
        </w:rPr>
      </w:pPr>
      <w:r>
        <w:rPr>
          <w:rFonts w:ascii="Arial" w:cs="Arial" w:eastAsia="Arial" w:hAnsi="Arial"/>
          <w:sz w:val="18"/>
          <w:szCs w:val="18"/>
          <w:color w:val="auto"/>
        </w:rPr>
        <w:t>On June 2, 2017, the Company's Board of Directors amended and restated the Amended 2009 Plan effective April 30, 2017. The amended and restated plan increased the number of shares authorized for issuance under the plan by an additional 4,000,000, thereby reserving for issuance 27,817,744 shares of common stock in the aggregate. Options to acquire common stock granted thereunder have 10-year terms. As of September 30, 2018, approximately 2.4 million shares of common stock were reserved for issuance under the Amended 2009 Plan (taking into account all option exercises and other equity award settlements through September 30,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 As of September 30, 2018, approximately 0.9 million shares of common stock were reserved for issuance under the Employee Stock Purchase Plan (taking into account all share purchases through September 30,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Plan</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January 2018, the Company established the Inducement Plan (the “2018 Plan”). Under the 2018 Plan, the Board of Directors can issue incentive stock options or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thereby reserving for issuance 2,000,000 shares of common stock in the aggregate. As of September 30, 2018, approximately 0.2 million shares of common stock were reserved for issuance under the Amended 2018 Plan (taking into account all option exercises and other equity award settlements through September 30,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2017</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7,959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15.03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(2,874)</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10.72</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September 30, 2018</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6,483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90,038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5,614</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79,474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September 30, 2018</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3,250</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48,604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fair value of stock options exercised during the nine months ended September 30, 2018 was approximately $15.2 million. As of September 30, 2018, there was approximately $16.1 million of total unrecognized compensation cost related to nonvested share-based compensation arrangements. That cost is expected to be recognized over a weighted average period of approximately 2.9 years.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September 30,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40" w:type="dxa"/>
            <w:vAlign w:val="bottom"/>
          </w:tcPr>
          <w:p>
            <w:pPr>
              <w:ind w:left="780"/>
              <w:spacing w:after="0"/>
              <w:rPr>
                <w:sz w:val="20"/>
                <w:szCs w:val="20"/>
                <w:color w:val="auto"/>
              </w:rPr>
            </w:pPr>
            <w:r>
              <w:rPr>
                <w:rFonts w:ascii="Arial" w:cs="Arial" w:eastAsia="Arial" w:hAnsi="Arial"/>
                <w:sz w:val="16"/>
                <w:szCs w:val="16"/>
                <w:b w:val="1"/>
                <w:bCs w:val="1"/>
                <w:color w:val="auto"/>
              </w:rPr>
              <w:t>Options Outstanding</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2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1"/>
              </w:rPr>
              <w:t>Weighted-Average Remaining</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Number of Shares (in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Weighted-Average</w:t>
            </w:r>
          </w:p>
        </w:tc>
      </w:tr>
      <w:tr>
        <w:trPr>
          <w:trHeight w:val="210"/>
        </w:trPr>
        <w:tc>
          <w:tcPr>
            <w:tcW w:w="220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5"/>
              </w:rPr>
              <w:t>thousands)</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3"/>
              </w:rPr>
              <w:t>Contractual Life (Years)</w:t>
            </w:r>
          </w:p>
        </w:tc>
        <w:tc>
          <w:tcPr>
            <w:tcW w:w="48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auto"/>
              </w:rPr>
              <w:t>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b w:val="1"/>
                <w:bCs w:val="1"/>
                <w:color w:val="auto"/>
              </w:rPr>
              <w:t>Exercise Price</w:t>
            </w:r>
          </w:p>
        </w:tc>
      </w:tr>
      <w:tr>
        <w:trPr>
          <w:trHeight w:val="33"/>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$1.79 - $7.60</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1,152</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6.47</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583</w:t>
            </w:r>
          </w:p>
        </w:tc>
        <w:tc>
          <w:tcPr>
            <w:tcW w:w="30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6.43</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$7.95 - $9.55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664</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6.35</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9.21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9.21</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$9.90 - $10.13</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659</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5.72</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10.09</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655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10.09</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$10.31 - $11.96</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674</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7.06</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11.01</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$12.09 - $12.32</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41</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2.85</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12.29</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12.29</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$12.45 - $12.45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9.38</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$12.46 - $13.59</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759</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3.76</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13.28</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13.26</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$14.30- $15.96</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697</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8.72</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15.94</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$16.05 - $21.75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721</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6.92</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18.09</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17.44</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$22.35 - $27.25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9.82</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23.84</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76"/>
        </w:trPr>
        <w:tc>
          <w:tcPr>
            <w:tcW w:w="20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60" w:type="dxa"/>
            <w:vAlign w:val="bottom"/>
            <w:tcBorders>
              <w:bottom w:val="single" w:sz="8" w:color="auto"/>
            </w:tcBorders>
            <w:shd w:val="clear" w:color="auto" w:fill="CCFFCC"/>
          </w:tcPr>
          <w:p>
            <w:pPr>
              <w:spacing w:after="0"/>
              <w:rPr>
                <w:sz w:val="15"/>
                <w:szCs w:val="15"/>
                <w:color w:val="auto"/>
              </w:rPr>
            </w:pPr>
          </w:p>
        </w:tc>
        <w:tc>
          <w:tcPr>
            <w:tcW w:w="264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140" w:type="dxa"/>
            <w:vAlign w:val="bottom"/>
            <w:tcBorders>
              <w:bottom w:val="single" w:sz="8" w:color="auto"/>
            </w:tcBorders>
            <w:shd w:val="clear" w:color="auto" w:fill="CCFFCC"/>
          </w:tcPr>
          <w:p>
            <w:pPr>
              <w:spacing w:after="0"/>
              <w:rPr>
                <w:sz w:val="15"/>
                <w:szCs w:val="15"/>
                <w:color w:val="auto"/>
              </w:rPr>
            </w:pPr>
          </w:p>
        </w:tc>
        <w:tc>
          <w:tcPr>
            <w:tcW w:w="980" w:type="dxa"/>
            <w:vAlign w:val="bottom"/>
            <w:tcBorders>
              <w:bottom w:val="single" w:sz="8" w:color="auto"/>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700" w:type="dxa"/>
            <w:vAlign w:val="bottom"/>
            <w:tcBorders>
              <w:bottom w:val="single" w:sz="8" w:color="auto"/>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0" w:type="dxa"/>
            <w:vAlign w:val="bottom"/>
            <w:tcBorders>
              <w:bottom w:val="single" w:sz="8" w:color="auto"/>
            </w:tcBorders>
            <w:shd w:val="clear" w:color="auto" w:fill="CCFFCC"/>
          </w:tcPr>
          <w:p>
            <w:pPr>
              <w:spacing w:after="0"/>
              <w:rPr>
                <w:sz w:val="15"/>
                <w:szCs w:val="15"/>
                <w:color w:val="auto"/>
              </w:rPr>
            </w:pPr>
          </w:p>
        </w:tc>
        <w:tc>
          <w:tcPr>
            <w:tcW w:w="1620" w:type="dxa"/>
            <w:vAlign w:val="bottom"/>
            <w:tcBorders>
              <w:bottom w:val="single" w:sz="8" w:color="auto"/>
            </w:tcBorders>
            <w:shd w:val="clear" w:color="auto" w:fill="CCFFCC"/>
          </w:tcPr>
          <w:p>
            <w:pPr>
              <w:spacing w:after="0"/>
              <w:rPr>
                <w:sz w:val="15"/>
                <w:szCs w:val="15"/>
                <w:color w:val="auto"/>
              </w:rPr>
            </w:pPr>
          </w:p>
        </w:tc>
      </w:tr>
      <w:tr>
        <w:trPr>
          <w:trHeight w:val="244"/>
        </w:trPr>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6,483</w:t>
            </w:r>
          </w:p>
        </w:tc>
        <w:tc>
          <w:tcPr>
            <w:tcW w:w="2640" w:type="dxa"/>
            <w:vAlign w:val="bottom"/>
          </w:tcPr>
          <w:p>
            <w:pPr>
              <w:spacing w:after="0"/>
              <w:rPr>
                <w:sz w:val="21"/>
                <w:szCs w:val="21"/>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6.91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11.00</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80" w:type="dxa"/>
            <w:vAlign w:val="bottom"/>
            <w:gridSpan w:val="5"/>
          </w:tcPr>
          <w:p>
            <w:pPr>
              <w:ind w:left="76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 Shares (in</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Aggregate Fair Value (in</w:t>
            </w:r>
          </w:p>
        </w:tc>
      </w:tr>
      <w:tr>
        <w:trPr>
          <w:trHeight w:val="210"/>
        </w:trPr>
        <w:tc>
          <w:tcPr>
            <w:tcW w:w="58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2017</w:t>
            </w:r>
          </w:p>
        </w:tc>
        <w:tc>
          <w:tcPr>
            <w:tcW w:w="1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Awarded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2,130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Released</w:t>
            </w:r>
          </w:p>
        </w:tc>
        <w:tc>
          <w:tcPr>
            <w:tcW w:w="1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74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and outstanding at September 30, 2018</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2,685</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14.71</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69,673</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Expected to vest</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48,741</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RSUs granted to employees generally vest over a three to four-year period or upon achievement of certain performance conditions. In accordance with ASU 2017-09, as of September 30, 2018, total unrecognized compensation cost, adjusted for estimated forfeitures, related to nonvested RSUs was approximately $35.9 million and the weighted-average remaining vesting period was 2.8 years.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restructuring costs relate to the wind-down of our legacy platform and severance costs associated with re-prioritizing and reallocating resources to focus on areas showing high growth potential within our Business Segment. The expense associated with this restructuring was approximately $0.7 million during the three months ended September 30, 2018 and approximately $2.8 million and $2.3 million during the nine months ended September 30, 2018 and 2017, respectively. There were no restructuring costs during the three months ended September 30, 2017. The Company expects to incur additional restructuring costs through December 31, 2019. The restructuring liability was approximately $1.2 million as of September 30, 2018 and $2.3 million as of December 31, 2017. It is classified as accrued expenses and other current liabilities on the condensed consolidated balance sheets.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7"/>
          <w:szCs w:val="17"/>
          <w:color w:val="auto"/>
        </w:rPr>
        <w:t>The following table presents the detail of the liability for the Company's restructuring charges for the periods presented (amounts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2018</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December 31, 2017</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the year</w:t>
            </w:r>
          </w:p>
        </w:tc>
        <w:tc>
          <w:tcPr>
            <w:tcW w:w="1760" w:type="dxa"/>
            <w:vAlign w:val="bottom"/>
            <w:tcBorders>
              <w:bottom w:val="single" w:sz="8" w:color="CCFFCC"/>
            </w:tcBorders>
            <w:shd w:val="clear" w:color="auto" w:fill="CCFFCC"/>
          </w:tcPr>
          <w:p>
            <w:pPr>
              <w:jc w:val="right"/>
              <w:ind w:right="15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2,551</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Severance and other associated costs</w:t>
            </w:r>
          </w:p>
        </w:tc>
        <w:tc>
          <w:tcPr>
            <w:tcW w:w="17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2,806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648</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payments</w:t>
            </w:r>
          </w:p>
        </w:tc>
        <w:tc>
          <w:tcPr>
            <w:tcW w:w="176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0"/>
              </w:rPr>
              <w:t>(3,895)</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(2,807)</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Wind down cost legacy platform</w:t>
            </w:r>
          </w:p>
        </w:tc>
        <w:tc>
          <w:tcPr>
            <w:tcW w:w="176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1,946</w:t>
            </w:r>
          </w:p>
        </w:tc>
      </w:tr>
      <w:tr>
        <w:trPr>
          <w:trHeight w:val="33"/>
        </w:trPr>
        <w:tc>
          <w:tcPr>
            <w:tcW w:w="6740" w:type="dxa"/>
            <w:vAlign w:val="bottom"/>
            <w:tcBorders>
              <w:bottom w:val="single" w:sz="8" w:color="CCFFC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End of period</w:t>
            </w:r>
          </w:p>
        </w:tc>
        <w:tc>
          <w:tcPr>
            <w:tcW w:w="1760" w:type="dxa"/>
            <w:vAlign w:val="bottom"/>
            <w:tcBorders>
              <w:bottom w:val="single" w:sz="8" w:color="auto"/>
            </w:tcBorders>
            <w:shd w:val="clear" w:color="auto" w:fill="CCFFCC"/>
          </w:tcPr>
          <w:p>
            <w:pPr>
              <w:jc w:val="right"/>
              <w:ind w:right="15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1,249</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2,338</w:t>
            </w:r>
          </w:p>
        </w:tc>
      </w:tr>
      <w:tr>
        <w:trPr>
          <w:trHeight w:val="20"/>
        </w:trPr>
        <w:tc>
          <w:tcPr>
            <w:tcW w:w="6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detail of expenses for the Company's restructuring charges for the three months ended September 30, 2018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8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September 30, 2018</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September 30, 2017</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Severance and other associated costs</w:t>
            </w:r>
          </w:p>
        </w:tc>
        <w:tc>
          <w:tcPr>
            <w:tcW w:w="1860" w:type="dxa"/>
            <w:vAlign w:val="bottom"/>
            <w:tcBorders>
              <w:bottom w:val="single" w:sz="8" w:color="CCFFCC"/>
            </w:tcBorders>
            <w:shd w:val="clear" w:color="auto" w:fill="CCFFCC"/>
          </w:tcPr>
          <w:p>
            <w:pPr>
              <w:jc w:val="right"/>
              <w:ind w:right="16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722</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Wind down cost legacy platform</w:t>
            </w:r>
          </w:p>
        </w:tc>
        <w:tc>
          <w:tcPr>
            <w:tcW w:w="18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940" w:type="dxa"/>
            <w:vAlign w:val="bottom"/>
          </w:tcPr>
          <w:p>
            <w:pPr>
              <w:jc w:val="right"/>
              <w:ind w:right="21"/>
              <w:spacing w:after="0"/>
              <w:rPr>
                <w:sz w:val="20"/>
                <w:szCs w:val="20"/>
                <w:color w:val="auto"/>
              </w:rPr>
            </w:pPr>
            <w:r>
              <w:rPr>
                <w:rFonts w:ascii="Arial" w:cs="Arial" w:eastAsia="Arial" w:hAnsi="Arial"/>
                <w:sz w:val="16"/>
                <w:szCs w:val="16"/>
                <w:color w:val="auto"/>
              </w:rPr>
              <w:t>31</w:t>
            </w:r>
          </w:p>
        </w:tc>
      </w:tr>
      <w:tr>
        <w:trPr>
          <w:trHeight w:val="33"/>
        </w:trPr>
        <w:tc>
          <w:tcPr>
            <w:tcW w:w="6740" w:type="dxa"/>
            <w:vAlign w:val="bottom"/>
            <w:tcBorders>
              <w:bottom w:val="single" w:sz="8" w:color="CCFFCC"/>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860" w:type="dxa"/>
            <w:vAlign w:val="bottom"/>
            <w:tcBorders>
              <w:bottom w:val="single" w:sz="8" w:color="auto"/>
            </w:tcBorders>
            <w:shd w:val="clear" w:color="auto" w:fill="CCFFCC"/>
          </w:tcPr>
          <w:p>
            <w:pPr>
              <w:jc w:val="right"/>
              <w:ind w:right="16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722</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 presents the detail of expenses for the Company's restructuring charges for the nine months ended September 30, 2018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September 30, 2017</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Severance and other associated costs</w:t>
            </w:r>
          </w:p>
        </w:tc>
        <w:tc>
          <w:tcPr>
            <w:tcW w:w="1800" w:type="dxa"/>
            <w:vAlign w:val="bottom"/>
            <w:tcBorders>
              <w:bottom w:val="single" w:sz="8" w:color="CCFFCC"/>
            </w:tcBorders>
            <w:shd w:val="clear" w:color="auto" w:fill="CCFFCC"/>
          </w:tcPr>
          <w:p>
            <w:pPr>
              <w:jc w:val="right"/>
              <w:ind w:right="16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4"/>
              </w:rPr>
              <w:t>2,806</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399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Wind down cost legacy platform</w:t>
            </w:r>
          </w:p>
        </w:tc>
        <w:tc>
          <w:tcPr>
            <w:tcW w:w="18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940" w:type="dxa"/>
            <w:vAlign w:val="bottom"/>
          </w:tcPr>
          <w:p>
            <w:pPr>
              <w:jc w:val="right"/>
              <w:ind w:right="21"/>
              <w:spacing w:after="0"/>
              <w:rPr>
                <w:sz w:val="20"/>
                <w:szCs w:val="20"/>
                <w:color w:val="auto"/>
              </w:rPr>
            </w:pPr>
            <w:r>
              <w:rPr>
                <w:rFonts w:ascii="Arial" w:cs="Arial" w:eastAsia="Arial" w:hAnsi="Arial"/>
                <w:sz w:val="16"/>
                <w:szCs w:val="16"/>
                <w:color w:val="auto"/>
              </w:rPr>
              <w:t>1,916</w:t>
            </w:r>
          </w:p>
        </w:tc>
      </w:tr>
      <w:tr>
        <w:trPr>
          <w:trHeight w:val="33"/>
        </w:trPr>
        <w:tc>
          <w:tcPr>
            <w:tcW w:w="6740" w:type="dxa"/>
            <w:vAlign w:val="bottom"/>
            <w:tcBorders>
              <w:bottom w:val="single" w:sz="8" w:color="CCFFCC"/>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800" w:type="dxa"/>
            <w:vAlign w:val="bottom"/>
            <w:tcBorders>
              <w:bottom w:val="single" w:sz="8" w:color="auto"/>
            </w:tcBorders>
            <w:shd w:val="clear" w:color="auto" w:fill="CCFFCC"/>
          </w:tcPr>
          <w:p>
            <w:pPr>
              <w:jc w:val="right"/>
              <w:ind w:right="16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94"/>
              </w:rPr>
              <w:t>2,806</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2,315</w:t>
            </w:r>
          </w:p>
        </w:tc>
      </w:tr>
      <w:tr>
        <w:trPr>
          <w:trHeight w:val="20"/>
        </w:trPr>
        <w:tc>
          <w:tcPr>
            <w:tcW w:w="67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Recent rulings by both the Court and the United States Patent Office in the Company’s favor have invalidated the majority of [24]7 patents that were asserted in the patent cases. Trial for the Company’s intellectual property and other claims asserted against [24]7 in the original litigation is currently set for April 1, 2019. The Company believes the claims filed by [24]7 are without merit and intends to defend them vigorously.</w:t>
      </w:r>
    </w:p>
    <w:p>
      <w:pPr>
        <w:spacing w:after="0" w:line="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3" w:lineRule="auto"/>
        <w:tabs>
          <w:tab w:leader="none" w:pos="3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statements as a whole or, if the amount of such adjustment cannot be reasonably estimated, disclose that an estimate cannot be made.</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AdvantageTec Inc.</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2018, the Company entered into a stock purchase agreement to acquire the outstanding equity interest of AdvantageTec, Inc. (“AdvantageTec”), a leading provider of texting solutions for service departments of automotive dealerships that helps enable conversational commerce across the entire dealership, including variable and fixed operations. The purchase agreement was for total consideration of approximately $16.6 million, which includes approximately $6.0 million in cash, approximately $4.5 million in shares of common stock and approximately $5.7 million of potential earn-out consideration in cash and shares of common stock. The earn-out is contingent upon achieving certain targeted financial, strategic and integration objectives and milestones and is included as part of the purchase price. The acquisition enhances the Company’s messaging platform available for the automotive industry.</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transaction will be accounted for under the purchase method of accounting. The Company is in the process of finalizing all fair value and purchase accounting adjustments.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LivePerson was incorporated in the State of Delaware in November 1995 and our service was introduced in November 1998. We make life easier by transforming how people communicate with brands. LiveEngage, our enterprise-class, cloud-based platform, enables businesses and consumers to connect through conversational interfaces, such as in-app and mobile messaging, while leveraging bots and Artificial Intelligence (AI) to increase efficiency. As consumers have reoriented their digital lives around the smartphone, messaging apps have become their preferred communication channel to connect with each other. We allow brands to align with this new consumer preference, and deploy messaging at scale for customer care, marketing and sales, instead of requiring that consumers use email or call a 1-800 number. More than 18,000 businesses, including Adobe, Citibank, EE, HSBC, IBM, L'Oreal, Orange, PNC, and The Home Depot employ our technology to keep pace with rising customer service expectations and to align with preferences for digital communication channels.</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a leading provider of online and mobile messaging solutions that transform how people communicate with brands. To accomplish this, we are focused on the following current initiatives:</w:t>
      </w:r>
    </w:p>
    <w:p>
      <w:pPr>
        <w:spacing w:after="0" w:line="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Strengthening Our Position in both Existing and New Markets and Growing Our Recurring Revenue Base. </w:t>
      </w:r>
      <w:r>
        <w:rPr>
          <w:rFonts w:ascii="Arial" w:cs="Arial" w:eastAsia="Arial" w:hAnsi="Arial"/>
          <w:sz w:val="17"/>
          <w:szCs w:val="17"/>
          <w:color w:val="auto"/>
        </w:rPr>
        <w:t>LivePerson plans to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 its market position by increasing its customer base, and expanding within its installed base. We will continue to focus primarily on key target markets: automotive, financial services, retail, technology, telecommunications, and travel/hospitality within both our enterprise and mid-market sectors, as well as the small business (SMB) sector. Healthcare, insurance, real estate and energy utilities are new target industries and natural extensions of our primary target markets. We plan to leverage our LiveEngage platform to replace a portion of calls traditionally made to 1-800 numbers with text and mobile messaging, and to increase adoption of real-time, campaign-based messaging across our customer’s online properties. We intend to collaborate with our large installed customer base to optimize the value and effectiveness that brands derive from our services. We are also focused on strengthening our recurring revenue stream by signing larger, long-term, and more strategic deals.</w:t>
      </w:r>
    </w:p>
    <w:p>
      <w:pPr>
        <w:spacing w:after="0" w:line="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One of the key ways we are developing our market position is by hosting customer summits for executive level attendees from our targeted enterprise customer base and prospects. These customer summits feature existing customers that have demonstrated strong success with messaging and bots on LiveEngage. We believe that scaled reference customers advocating the adoption of messaging on LiveEngage to targeted peer groups will be a key driver of our growth. In 2017, we increased the pacing and scale of these summits, a pattern that we have continued in 2018.</w:t>
      </w:r>
    </w:p>
    <w:p>
      <w:pPr>
        <w:spacing w:after="0" w:line="63" w:lineRule="exact"/>
        <w:rPr>
          <w:sz w:val="20"/>
          <w:szCs w:val="20"/>
          <w:color w:val="auto"/>
        </w:rPr>
      </w:pPr>
    </w:p>
    <w:p>
      <w:pPr>
        <w:jc w:val="both"/>
        <w:ind w:firstLine="333"/>
        <w:spacing w:after="0" w:line="297" w:lineRule="auto"/>
        <w:rPr>
          <w:sz w:val="20"/>
          <w:szCs w:val="20"/>
          <w:color w:val="auto"/>
        </w:rPr>
      </w:pPr>
      <w:r>
        <w:rPr>
          <w:rFonts w:ascii="Arial" w:cs="Arial" w:eastAsia="Arial" w:hAnsi="Arial"/>
          <w:sz w:val="16"/>
          <w:szCs w:val="16"/>
          <w:b w:val="1"/>
          <w:bCs w:val="1"/>
          <w:i w:val="1"/>
          <w:iCs w:val="1"/>
          <w:color w:val="auto"/>
        </w:rPr>
        <w:t xml:space="preserve">Fuel Increased Usage by Expanding Messaging Channels, Use Cases and Interaction Types. </w:t>
      </w:r>
      <w:r>
        <w:rPr>
          <w:rFonts w:ascii="Arial" w:cs="Arial" w:eastAsia="Arial" w:hAnsi="Arial"/>
          <w:sz w:val="16"/>
          <w:szCs w:val="16"/>
          <w:color w:val="auto"/>
        </w:rPr>
        <w:t>LiveEngage currently supports numerous messaging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endpoints including branded mobile apps, mobile and desktop web browsers, IVRs, SMS, Facebook Messenger and LINE. We intend to increase the number of endpoints supported by the LiveEngage platform to include additional third-party social apps and device-based systems. We also intend to broaden the use cases of LiveEngage across our customer base, to support care, sales, marketing and retail footprints. In addition, LivePerson continues to expand the breadth of interaction types available to customers on the platform. For example, in addition to our broad suite of messaging and real-time chat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technologies, customers have access to content delivery, analytics, cobrowse, and PCI compliance, as well as proprietary and third-party bot offerings. LivePerson offers a platform pricing model, which provides businesses access to our entire suite of messaging technologies across their entire agent pool for a pre-negotiated cost per interaction. We believe this model will lead to growth opportunities for LivePerson as customers adopt new messaging channels, use cases and interaction types.</w:t>
      </w:r>
    </w:p>
    <w:p>
      <w:pPr>
        <w:spacing w:after="0" w:line="79" w:lineRule="exact"/>
        <w:rPr>
          <w:sz w:val="20"/>
          <w:szCs w:val="20"/>
          <w:color w:val="auto"/>
        </w:rPr>
      </w:pPr>
    </w:p>
    <w:p>
      <w:pPr>
        <w:jc w:val="both"/>
        <w:ind w:firstLine="248"/>
        <w:spacing w:after="0" w:line="257" w:lineRule="auto"/>
        <w:rPr>
          <w:sz w:val="20"/>
          <w:szCs w:val="20"/>
          <w:color w:val="auto"/>
        </w:rPr>
      </w:pPr>
      <w:r>
        <w:rPr>
          <w:rFonts w:ascii="Arial" w:cs="Arial" w:eastAsia="Arial" w:hAnsi="Arial"/>
          <w:sz w:val="18"/>
          <w:szCs w:val="18"/>
          <w:b w:val="1"/>
          <w:bCs w:val="1"/>
          <w:i w:val="1"/>
          <w:iCs w:val="1"/>
          <w:color w:val="auto"/>
        </w:rPr>
        <w:t xml:space="preserve">Leverage Partners to Enhance our Offering. </w:t>
      </w:r>
      <w:r>
        <w:rPr>
          <w:rFonts w:ascii="Arial" w:cs="Arial" w:eastAsia="Arial" w:hAnsi="Arial"/>
          <w:sz w:val="18"/>
          <w:szCs w:val="18"/>
          <w:color w:val="auto"/>
        </w:rPr>
        <w:t>In addition to developing our own applications, we continue to cultivate a partner ecosystem capable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additional applications and services to our customers. The pace of our ecosystem expansion has accelerated in 2018, as we built on our existing integrations with Facebook Messenger and LINE, by adding integrations to Apple Business Chat, Google Rich Business Messenger, WhatsApp, Alexa and Google Home. These popular conversational interfaces enable brands the opportunity to connect to millions of consumers, which in turn can increase traffic on our platform.</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offering is vendor agnostic, empowering our customers to manage a mix of different bots, human agents and technologies from one control panel, thereby optimizing contact center efficiency. In 2017, LivePerson launched the LiveEngage for Bots program and we have subsequently integrated LiveEngage with multiple artificial intelligence/bots vendors, including IBM Watson. LivePerson's proprietary and third-party AI/bots enable brands to partially or fully automate communications with their customers.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 In 2017, we allocated additional resources to supporting partners and we expect this investment to increase as our partner network expands.</w:t>
      </w:r>
    </w:p>
    <w:p>
      <w:pPr>
        <w:spacing w:after="0" w:line="81" w:lineRule="exact"/>
        <w:rPr>
          <w:sz w:val="20"/>
          <w:szCs w:val="20"/>
          <w:color w:val="auto"/>
        </w:rPr>
      </w:pPr>
    </w:p>
    <w:p>
      <w:pPr>
        <w:jc w:val="both"/>
        <w:ind w:firstLine="549"/>
        <w:spacing w:after="0" w:line="272" w:lineRule="auto"/>
        <w:rPr>
          <w:sz w:val="20"/>
          <w:szCs w:val="20"/>
          <w:color w:val="auto"/>
        </w:rPr>
      </w:pPr>
      <w:r>
        <w:rPr>
          <w:rFonts w:ascii="Arial" w:cs="Arial" w:eastAsia="Arial" w:hAnsi="Arial"/>
          <w:sz w:val="17"/>
          <w:szCs w:val="17"/>
          <w:b w:val="1"/>
          <w:bCs w:val="1"/>
          <w:i w:val="1"/>
          <w:iCs w:val="1"/>
          <w:color w:val="auto"/>
        </w:rPr>
        <w:t xml:space="preserve">Maintaining Market Leadership in Technology and Security Expertise. </w:t>
      </w:r>
      <w:r>
        <w:rPr>
          <w:rFonts w:ascii="Arial" w:cs="Arial" w:eastAsia="Arial" w:hAnsi="Arial"/>
          <w:sz w:val="17"/>
          <w:szCs w:val="17"/>
          <w:color w:val="auto"/>
        </w:rPr>
        <w:t>As described above, we are devoting significant resources to creating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enabling technologies designed to accelerate innovation. In order to better support our customers and to attract the best talent, LivePerson is globalizing research and development. We now have tech centers in Israel; Mannheim, Germany; New York; Atlanta; Austin; San Francisco; and Seattle.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0" w:lineRule="exact"/>
        <w:rPr>
          <w:sz w:val="20"/>
          <w:szCs w:val="20"/>
          <w:color w:val="auto"/>
        </w:rPr>
      </w:pPr>
    </w:p>
    <w:p>
      <w:pPr>
        <w:jc w:val="both"/>
        <w:ind w:firstLine="522"/>
        <w:spacing w:after="0" w:line="312" w:lineRule="auto"/>
        <w:rPr>
          <w:sz w:val="20"/>
          <w:szCs w:val="20"/>
          <w:color w:val="auto"/>
        </w:rPr>
      </w:pPr>
      <w:r>
        <w:rPr>
          <w:rFonts w:ascii="Arial" w:cs="Arial" w:eastAsia="Arial" w:hAnsi="Arial"/>
          <w:sz w:val="16"/>
          <w:szCs w:val="16"/>
          <w:b w:val="1"/>
          <w:bCs w:val="1"/>
          <w:i w:val="1"/>
          <w:iCs w:val="1"/>
          <w:color w:val="auto"/>
        </w:rPr>
        <w:t xml:space="preserve">International Presence. </w:t>
      </w:r>
      <w:r>
        <w:rPr>
          <w:rFonts w:ascii="Arial" w:cs="Arial" w:eastAsia="Arial" w:hAnsi="Arial"/>
          <w:sz w:val="16"/>
          <w:szCs w:val="16"/>
          <w:color w:val="auto"/>
        </w:rPr>
        <w:t>LivePerson is focused on expanding its international revenue contribution, which increased to 37% of total revenue in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34% in 2016 and 33% in 2015. LivePerson generated positive results from previous investments in direct sales and services personnel in the United Kingdom and Western Europe. We also continued to focus on expanding our presence in the Asia Pacific region, leveraging our relationships with partners.</w:t>
      </w:r>
    </w:p>
    <w:p>
      <w:pPr>
        <w:spacing w:after="0" w:line="39" w:lineRule="exact"/>
        <w:rPr>
          <w:sz w:val="20"/>
          <w:szCs w:val="20"/>
          <w:color w:val="auto"/>
        </w:rPr>
      </w:pPr>
    </w:p>
    <w:p>
      <w:pPr>
        <w:jc w:val="both"/>
        <w:ind w:firstLine="603"/>
        <w:spacing w:after="0" w:line="289" w:lineRule="auto"/>
        <w:rPr>
          <w:sz w:val="20"/>
          <w:szCs w:val="20"/>
          <w:color w:val="auto"/>
        </w:rPr>
      </w:pPr>
      <w:r>
        <w:rPr>
          <w:rFonts w:ascii="Arial" w:cs="Arial" w:eastAsia="Arial" w:hAnsi="Arial"/>
          <w:sz w:val="16"/>
          <w:szCs w:val="16"/>
          <w:b w:val="1"/>
          <w:bCs w:val="1"/>
          <w:i w:val="1"/>
          <w:iCs w:val="1"/>
          <w:color w:val="auto"/>
        </w:rPr>
        <w:t xml:space="preserve">Continuing to Build Brand Recognition. </w:t>
      </w:r>
      <w:r>
        <w:rPr>
          <w:rFonts w:ascii="Arial" w:cs="Arial" w:eastAsia="Arial" w:hAnsi="Arial"/>
          <w:sz w:val="16"/>
          <w:szCs w:val="16"/>
          <w:color w:val="auto"/>
        </w:rPr>
        <w:t>As a pioneer of brand-to-consumer digital messaging, LivePerson enjoys strong brand recognition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credibility. We continue to develop relationships with the media, industry analysts and relevant business associations to enhance awareness of our leadership within the care, sales, tech and marketing industries. With a vision of becoming the leader in messaging, we’ve hosted several private executive events for our customers and prospects, highlighting our expertise and the breadth of our services. These private executive events have led us to close several high-profile deals and we are continuing them throughout 2018. Our focus on connecting large enterprise businesses and their millions of consumers securely and at scale is a primary differentiator for LivePerson and a key component of our marketing strategy. We strategically target decision makers and influencers within several key vertical markets, leveraging customer successes to generate increased awareness and demand for brand-to-consumer messaging. In addition, our brand name may also be visible to both business users and consumers on a brand’s website, within the dialog messaging window. We also engage in digital marketing campaigns that promote our brand on web searches and third-party sites.</w:t>
      </w:r>
    </w:p>
    <w:p>
      <w:pPr>
        <w:spacing w:after="0" w:line="59"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b w:val="1"/>
          <w:bCs w:val="1"/>
          <w:i w:val="1"/>
          <w:iCs w:val="1"/>
          <w:color w:val="auto"/>
        </w:rPr>
        <w:t xml:space="preserve">Increasing the Value of Our Service to Our Customers. </w:t>
      </w:r>
      <w:r>
        <w:rPr>
          <w:rFonts w:ascii="Arial" w:cs="Arial" w:eastAsia="Arial" w:hAnsi="Arial"/>
          <w:sz w:val="17"/>
          <w:szCs w:val="17"/>
          <w:color w:val="auto"/>
        </w:rPr>
        <w:t>Leveraging LiveEngage to shift communication between consumers and brands from 1-800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calls to AI and human-powered messaging is the most important initiative in LivePerson's history. We believe that adoption of LiveEngage will align brands with consumer communication preferences, improve the customer experience and reduce contact center costs. Our platform strategy makes available the full suite of LivePerson’s capabilities through a single solution. In addition, the open architecture of LiveEngage will enable LivePerson to rapidly add new capabilities either directly or through partners. For example, we see opportunities for additional efficiencies in the contact center through the integration of artificial intelligence and bots. Because we directly manage the server infrastructure, we can make new features available to our customers immediately upon release, without customer or end-user installation of software or hardware. Our strategy is to continue to enhance the LiveEngage messaging platform and to leverage the substantial amount of mobile and online consumer data we collect, with the aim of increasing agent efficiency, decreasing customer care costs, improving the customer experience and increasing customer lifetime value.</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Evaluating Strategic Alliances and Acquisitions When Appropriate. </w:t>
      </w:r>
      <w:r>
        <w:rPr>
          <w:rFonts w:ascii="Arial" w:cs="Arial" w:eastAsia="Arial" w:hAnsi="Arial"/>
          <w:sz w:val="18"/>
          <w:szCs w:val="18"/>
          <w:color w:val="auto"/>
        </w:rPr>
        <w:t>We have successfully integrated several acquisitions over the past decade.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September 30, 2018 compared to the three months ended September 30, 2017:</w:t>
      </w:r>
    </w:p>
    <w:p>
      <w:pPr>
        <w:spacing w:after="0" w:line="117" w:lineRule="exact"/>
        <w:rPr>
          <w:sz w:val="20"/>
          <w:szCs w:val="20"/>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revenue increased 14% to $64.2 million from $56.5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from our Business segment increased 14% to $59.3 million from $52.1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profit margin increased to 76% from 74%.</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and expenses increased 22% to $69.0 million from $56.7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loss increased to $7.0 million from $1.3 million.</w:t>
      </w:r>
    </w:p>
    <w:p>
      <w:pPr>
        <w:spacing w:after="0" w:line="63"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annual revenue per enterprise and mid-market customer was greater than $270,000 over the trailing twelve months ended September 30, 2018, as compared to greater than $215,000 for the trailing twelve months ended September 30, 2017.</w:t>
      </w:r>
    </w:p>
    <w:p>
      <w:pPr>
        <w:spacing w:after="0" w:line="8" w:lineRule="exact"/>
        <w:rPr>
          <w:rFonts w:ascii="Arial" w:cs="Arial" w:eastAsia="Arial" w:hAnsi="Arial"/>
          <w:sz w:val="18"/>
          <w:szCs w:val="18"/>
          <w:color w:val="auto"/>
        </w:rPr>
      </w:pPr>
    </w:p>
    <w:p>
      <w:pPr>
        <w:jc w:val="both"/>
        <w:ind w:left="1140" w:hanging="322"/>
        <w:spacing w:after="0" w:line="286" w:lineRule="auto"/>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revenue retention rate for full service customers on LiveEngage was greater than 100% over the trailing twelve months ended September 30, 2018, continuing the trend of 100% plus revenue retention that we reported in 2017. Revenue retention rate measures the percentage of revenue retained at quarter end, from full service customers that were on LiveEngage at the same period a year ago.</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which is a non-GAAP financial measure. The adjusted EBITDA table below presents a reconciliation of adjusted EBITDA to net loss, the most directly comparable GAAP financial measure.</w:t>
      </w:r>
    </w:p>
    <w:p>
      <w:pPr>
        <w:spacing w:after="0" w:line="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included adjusted EBITDA in this Quarterly Report on Form 10-Q because it is a key measure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provides useful information to investors and others in understanding and evaluating our operating results in the same manner as our management and board of directors.</w:t>
      </w:r>
    </w:p>
    <w:p>
      <w:pPr>
        <w:spacing w:after="0" w:line="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consider the impact of other non-recurring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04"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6"/>
          <w:szCs w:val="16"/>
          <w:color w:val="auto"/>
        </w:rPr>
        <w:t>Because of these limitations, you should consider adjusted EBITDA alongside other financial performance measures, including net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our other GAAP results. The following table presents a reconciliation of adjusted EBITDA for each of the periods indicated (amounts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3"/>
              </w:rPr>
              <w:t>Three Months Ended September 30,</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3"/>
              </w:rPr>
              <w:t>Nine Months Ended September 30,</w:t>
            </w:r>
          </w:p>
        </w:tc>
        <w:tc>
          <w:tcPr>
            <w:tcW w:w="680" w:type="dxa"/>
            <w:vAlign w:val="bottom"/>
          </w:tcPr>
          <w:p>
            <w:pPr>
              <w:spacing w:after="0"/>
              <w:rPr>
                <w:sz w:val="16"/>
                <w:szCs w:val="16"/>
                <w:color w:val="auto"/>
              </w:rPr>
            </w:pPr>
          </w:p>
        </w:tc>
      </w:tr>
      <w:tr>
        <w:trPr>
          <w:trHeight w:val="263"/>
        </w:trPr>
        <w:tc>
          <w:tcPr>
            <w:tcW w:w="55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22"/>
                <w:szCs w:val="22"/>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EBITDA</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5500" w:type="dxa"/>
            <w:vAlign w:val="bottom"/>
            <w:shd w:val="clear" w:color="auto" w:fill="CCFFCC"/>
          </w:tcPr>
          <w:p>
            <w:pPr>
              <w:ind w:left="40"/>
              <w:spacing w:after="0"/>
              <w:rPr>
                <w:sz w:val="20"/>
                <w:szCs w:val="20"/>
                <w:color w:val="auto"/>
              </w:rPr>
            </w:pPr>
            <w:r>
              <w:rPr>
                <w:rFonts w:ascii="Arial" w:cs="Arial" w:eastAsia="Arial" w:hAnsi="Arial"/>
                <w:sz w:val="14"/>
                <w:szCs w:val="14"/>
                <w:color w:val="auto"/>
              </w:rPr>
              <w:t>GAAP net loss</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(7,043)</w:t>
            </w: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(1,310)</w:t>
            </w:r>
          </w:p>
        </w:tc>
        <w:tc>
          <w:tcPr>
            <w:tcW w:w="340" w:type="dxa"/>
            <w:vAlign w:val="bottom"/>
            <w:shd w:val="clear" w:color="auto" w:fill="CCFFCC"/>
          </w:tcPr>
          <w:p>
            <w:pPr>
              <w:spacing w:after="0"/>
              <w:rPr>
                <w:sz w:val="24"/>
                <w:szCs w:val="24"/>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(18,567)</w:t>
            </w:r>
          </w:p>
        </w:tc>
        <w:tc>
          <w:tcPr>
            <w:tcW w:w="340" w:type="dxa"/>
            <w:vAlign w:val="bottom"/>
            <w:shd w:val="clear" w:color="auto" w:fill="CCFFCC"/>
          </w:tcPr>
          <w:p>
            <w:pPr>
              <w:spacing w:after="0"/>
              <w:rPr>
                <w:sz w:val="24"/>
                <w:szCs w:val="24"/>
                <w:color w:val="auto"/>
              </w:rPr>
            </w:pPr>
          </w:p>
        </w:tc>
        <w:tc>
          <w:tcPr>
            <w:tcW w:w="2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(14,519)</w:t>
            </w:r>
          </w:p>
        </w:tc>
        <w:tc>
          <w:tcPr>
            <w:tcW w:w="680" w:type="dxa"/>
            <w:vAlign w:val="bottom"/>
            <w:shd w:val="clear" w:color="auto" w:fill="CCFFCC"/>
          </w:tcPr>
          <w:p>
            <w:pPr>
              <w:spacing w:after="0"/>
              <w:rPr>
                <w:sz w:val="24"/>
                <w:szCs w:val="24"/>
                <w:color w:val="auto"/>
              </w:rPr>
            </w:pPr>
          </w:p>
        </w:tc>
      </w:tr>
      <w:tr>
        <w:trPr>
          <w:trHeight w:val="264"/>
        </w:trPr>
        <w:tc>
          <w:tcPr>
            <w:tcW w:w="550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709</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1,109</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2,131</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3,968</w:t>
            </w:r>
          </w:p>
        </w:tc>
        <w:tc>
          <w:tcPr>
            <w:tcW w:w="680" w:type="dxa"/>
            <w:vAlign w:val="bottom"/>
          </w:tcPr>
          <w:p>
            <w:pPr>
              <w:spacing w:after="0"/>
              <w:rPr>
                <w:sz w:val="22"/>
                <w:szCs w:val="22"/>
                <w:color w:val="auto"/>
              </w:rPr>
            </w:pPr>
          </w:p>
        </w:tc>
      </w:tr>
      <w:tr>
        <w:trPr>
          <w:trHeight w:val="276"/>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4,074</w:t>
            </w:r>
          </w:p>
        </w:tc>
        <w:tc>
          <w:tcPr>
            <w:tcW w:w="36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1,843</w:t>
            </w:r>
          </w:p>
        </w:tc>
        <w:tc>
          <w:tcPr>
            <w:tcW w:w="3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10,338</w:t>
            </w:r>
          </w:p>
        </w:tc>
        <w:tc>
          <w:tcPr>
            <w:tcW w:w="34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6,103</w:t>
            </w:r>
          </w:p>
        </w:tc>
        <w:tc>
          <w:tcPr>
            <w:tcW w:w="680" w:type="dxa"/>
            <w:vAlign w:val="bottom"/>
            <w:shd w:val="clear" w:color="auto" w:fill="CCFFCC"/>
          </w:tcPr>
          <w:p>
            <w:pPr>
              <w:spacing w:after="0"/>
              <w:rPr>
                <w:sz w:val="24"/>
                <w:szCs w:val="24"/>
                <w:color w:val="auto"/>
              </w:rPr>
            </w:pPr>
          </w:p>
        </w:tc>
      </w:tr>
      <w:tr>
        <w:trPr>
          <w:trHeight w:val="264"/>
        </w:trPr>
        <w:tc>
          <w:tcPr>
            <w:tcW w:w="550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3,557</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3,179</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10,343</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9,017</w:t>
            </w:r>
          </w:p>
        </w:tc>
        <w:tc>
          <w:tcPr>
            <w:tcW w:w="680" w:type="dxa"/>
            <w:vAlign w:val="bottom"/>
          </w:tcPr>
          <w:p>
            <w:pPr>
              <w:spacing w:after="0"/>
              <w:rPr>
                <w:sz w:val="22"/>
                <w:szCs w:val="22"/>
                <w:color w:val="auto"/>
              </w:rPr>
            </w:pPr>
          </w:p>
        </w:tc>
      </w:tr>
      <w:tr>
        <w:trPr>
          <w:trHeight w:val="276"/>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non-recurring costs</w:t>
            </w:r>
          </w:p>
        </w:tc>
        <w:tc>
          <w:tcPr>
            <w:tcW w:w="10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1,608</w:t>
            </w:r>
          </w:p>
        </w:tc>
        <w:tc>
          <w:tcPr>
            <w:tcW w:w="360" w:type="dxa"/>
            <w:vAlign w:val="bottom"/>
            <w:shd w:val="clear" w:color="auto" w:fill="CCFFCC"/>
          </w:tcPr>
          <w:p>
            <w:pPr>
              <w:jc w:val="right"/>
              <w:ind w:right="162"/>
              <w:spacing w:after="0"/>
              <w:rPr>
                <w:sz w:val="20"/>
                <w:szCs w:val="20"/>
                <w:color w:val="auto"/>
              </w:rPr>
            </w:pPr>
            <w:r>
              <w:rPr>
                <w:rFonts w:ascii="Arial" w:cs="Arial" w:eastAsia="Arial" w:hAnsi="Arial"/>
                <w:sz w:val="9"/>
                <w:szCs w:val="9"/>
                <w:color w:val="auto"/>
              </w:rPr>
              <w:t>(1)</w:t>
            </w:r>
          </w:p>
        </w:tc>
        <w:tc>
          <w:tcPr>
            <w:tcW w:w="24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1,640</w:t>
            </w:r>
          </w:p>
        </w:tc>
        <w:tc>
          <w:tcPr>
            <w:tcW w:w="340" w:type="dxa"/>
            <w:vAlign w:val="bottom"/>
            <w:shd w:val="clear" w:color="auto" w:fill="CCFFCC"/>
          </w:tcPr>
          <w:p>
            <w:pPr>
              <w:jc w:val="right"/>
              <w:ind w:right="175"/>
              <w:spacing w:after="0"/>
              <w:rPr>
                <w:sz w:val="20"/>
                <w:szCs w:val="20"/>
                <w:color w:val="auto"/>
              </w:rPr>
            </w:pPr>
            <w:r>
              <w:rPr>
                <w:rFonts w:ascii="Arial" w:cs="Arial" w:eastAsia="Arial" w:hAnsi="Arial"/>
                <w:sz w:val="9"/>
                <w:szCs w:val="9"/>
                <w:color w:val="auto"/>
                <w:w w:val="90"/>
              </w:rPr>
              <w:t>(2)</w:t>
            </w:r>
          </w:p>
        </w:tc>
        <w:tc>
          <w:tcPr>
            <w:tcW w:w="140" w:type="dxa"/>
            <w:vAlign w:val="bottom"/>
            <w:shd w:val="clear" w:color="auto" w:fill="CCFFCC"/>
          </w:tcPr>
          <w:p>
            <w:pPr>
              <w:spacing w:after="0"/>
              <w:rPr>
                <w:sz w:val="24"/>
                <w:szCs w:val="24"/>
                <w:color w:val="auto"/>
              </w:rPr>
            </w:pPr>
          </w:p>
        </w:tc>
        <w:tc>
          <w:tcPr>
            <w:tcW w:w="9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4,646</w:t>
            </w:r>
          </w:p>
        </w:tc>
        <w:tc>
          <w:tcPr>
            <w:tcW w:w="340" w:type="dxa"/>
            <w:vAlign w:val="bottom"/>
            <w:shd w:val="clear" w:color="auto" w:fill="CCFFCC"/>
          </w:tcPr>
          <w:p>
            <w:pPr>
              <w:jc w:val="right"/>
              <w:ind w:right="175"/>
              <w:spacing w:after="0"/>
              <w:rPr>
                <w:sz w:val="20"/>
                <w:szCs w:val="20"/>
                <w:color w:val="auto"/>
              </w:rPr>
            </w:pPr>
            <w:r>
              <w:rPr>
                <w:rFonts w:ascii="Arial" w:cs="Arial" w:eastAsia="Arial" w:hAnsi="Arial"/>
                <w:sz w:val="9"/>
                <w:szCs w:val="9"/>
                <w:color w:val="auto"/>
                <w:w w:val="90"/>
              </w:rPr>
              <w:t>(3)</w:t>
            </w:r>
          </w:p>
        </w:tc>
        <w:tc>
          <w:tcPr>
            <w:tcW w:w="2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4,998</w:t>
            </w:r>
          </w:p>
        </w:tc>
        <w:tc>
          <w:tcPr>
            <w:tcW w:w="680" w:type="dxa"/>
            <w:vAlign w:val="bottom"/>
            <w:shd w:val="clear" w:color="auto" w:fill="CCFFCC"/>
          </w:tcPr>
          <w:p>
            <w:pPr>
              <w:jc w:val="right"/>
              <w:ind w:right="495"/>
              <w:spacing w:after="0"/>
              <w:rPr>
                <w:sz w:val="20"/>
                <w:szCs w:val="20"/>
                <w:color w:val="auto"/>
              </w:rPr>
            </w:pPr>
            <w:r>
              <w:rPr>
                <w:rFonts w:ascii="Arial" w:cs="Arial" w:eastAsia="Arial" w:hAnsi="Arial"/>
                <w:sz w:val="9"/>
                <w:szCs w:val="9"/>
                <w:color w:val="auto"/>
              </w:rPr>
              <w:t>(2)</w:t>
            </w:r>
          </w:p>
        </w:tc>
      </w:tr>
      <w:tr>
        <w:trPr>
          <w:trHeight w:val="264"/>
        </w:trPr>
        <w:tc>
          <w:tcPr>
            <w:tcW w:w="5500" w:type="dxa"/>
            <w:vAlign w:val="bottom"/>
          </w:tcPr>
          <w:p>
            <w:pPr>
              <w:ind w:left="280"/>
              <w:spacing w:after="0"/>
              <w:rPr>
                <w:sz w:val="20"/>
                <w:szCs w:val="20"/>
                <w:color w:val="auto"/>
              </w:rPr>
            </w:pPr>
            <w:r>
              <w:rPr>
                <w:rFonts w:ascii="Arial" w:cs="Arial" w:eastAsia="Arial" w:hAnsi="Arial"/>
                <w:sz w:val="14"/>
                <w:szCs w:val="14"/>
                <w:color w:val="auto"/>
              </w:rPr>
              <w:t>Restructuring costs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722</w:t>
            </w:r>
          </w:p>
        </w:tc>
        <w:tc>
          <w:tcPr>
            <w:tcW w:w="360" w:type="dxa"/>
            <w:vAlign w:val="bottom"/>
          </w:tcPr>
          <w:p>
            <w:pPr>
              <w:jc w:val="right"/>
              <w:ind w:right="162"/>
              <w:spacing w:after="0"/>
              <w:rPr>
                <w:sz w:val="20"/>
                <w:szCs w:val="20"/>
                <w:color w:val="auto"/>
              </w:rPr>
            </w:pPr>
            <w:r>
              <w:rPr>
                <w:rFonts w:ascii="Arial" w:cs="Arial" w:eastAsia="Arial" w:hAnsi="Arial"/>
                <w:sz w:val="9"/>
                <w:szCs w:val="9"/>
                <w:color w:val="auto"/>
              </w:rPr>
              <w:t>(4)</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2,806</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(5)</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2,315</w:t>
            </w:r>
          </w:p>
        </w:tc>
        <w:tc>
          <w:tcPr>
            <w:tcW w:w="680" w:type="dxa"/>
            <w:vAlign w:val="bottom"/>
          </w:tcPr>
          <w:p>
            <w:pPr>
              <w:jc w:val="right"/>
              <w:ind w:right="495"/>
              <w:spacing w:after="0"/>
              <w:rPr>
                <w:sz w:val="20"/>
                <w:szCs w:val="20"/>
                <w:color w:val="auto"/>
              </w:rPr>
            </w:pPr>
            <w:r>
              <w:rPr>
                <w:rFonts w:ascii="Arial" w:cs="Arial" w:eastAsia="Arial" w:hAnsi="Arial"/>
                <w:sz w:val="9"/>
                <w:szCs w:val="9"/>
                <w:color w:val="auto"/>
              </w:rPr>
              <w:t>(6)</w:t>
            </w:r>
          </w:p>
        </w:tc>
      </w:tr>
      <w:tr>
        <w:trPr>
          <w:trHeight w:val="276"/>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2,004</w:t>
            </w:r>
          </w:p>
        </w:tc>
        <w:tc>
          <w:tcPr>
            <w:tcW w:w="36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1,256</w:t>
            </w:r>
          </w:p>
        </w:tc>
        <w:tc>
          <w:tcPr>
            <w:tcW w:w="3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2,051</w:t>
            </w:r>
          </w:p>
        </w:tc>
        <w:tc>
          <w:tcPr>
            <w:tcW w:w="34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3,000</w:t>
            </w:r>
          </w:p>
        </w:tc>
        <w:tc>
          <w:tcPr>
            <w:tcW w:w="680" w:type="dxa"/>
            <w:vAlign w:val="bottom"/>
            <w:shd w:val="clear" w:color="auto" w:fill="CCFFCC"/>
          </w:tcPr>
          <w:p>
            <w:pPr>
              <w:spacing w:after="0"/>
              <w:rPr>
                <w:sz w:val="24"/>
                <w:szCs w:val="24"/>
                <w:color w:val="auto"/>
              </w:rPr>
            </w:pPr>
          </w:p>
        </w:tc>
      </w:tr>
      <w:tr>
        <w:trPr>
          <w:trHeight w:val="264"/>
        </w:trPr>
        <w:tc>
          <w:tcPr>
            <w:tcW w:w="5500" w:type="dxa"/>
            <w:vAlign w:val="bottom"/>
            <w:tcBorders>
              <w:bottom w:val="single" w:sz="8" w:color="CCFFCC"/>
            </w:tcBorders>
          </w:tcPr>
          <w:p>
            <w:pPr>
              <w:ind w:left="280"/>
              <w:spacing w:after="0"/>
              <w:rPr>
                <w:sz w:val="20"/>
                <w:szCs w:val="20"/>
                <w:color w:val="auto"/>
              </w:rPr>
            </w:pPr>
            <w:r>
              <w:rPr>
                <w:rFonts w:ascii="Arial" w:cs="Arial" w:eastAsia="Arial" w:hAnsi="Arial"/>
                <w:sz w:val="14"/>
                <w:szCs w:val="14"/>
                <w:color w:val="auto"/>
              </w:rPr>
              <w:t>Other expense (income), net</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w:t>
            </w:r>
          </w:p>
        </w:tc>
        <w:tc>
          <w:tcPr>
            <w:tcW w:w="360" w:type="dxa"/>
            <w:vAlign w:val="bottom"/>
            <w:tcBorders>
              <w:bottom w:val="single" w:sz="8" w:color="CCFFC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34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34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w:t>
            </w:r>
          </w:p>
        </w:tc>
        <w:tc>
          <w:tcPr>
            <w:tcW w:w="680" w:type="dxa"/>
            <w:vAlign w:val="bottom"/>
            <w:tcBorders>
              <w:bottom w:val="single" w:sz="8" w:color="CCFFCC"/>
            </w:tcBorders>
          </w:tcPr>
          <w:p>
            <w:pPr>
              <w:spacing w:after="0"/>
              <w:rPr>
                <w:sz w:val="22"/>
                <w:szCs w:val="22"/>
                <w:color w:val="auto"/>
              </w:rPr>
            </w:pPr>
          </w:p>
        </w:tc>
      </w:tr>
      <w:tr>
        <w:trPr>
          <w:trHeight w:val="243"/>
        </w:trPr>
        <w:tc>
          <w:tcPr>
            <w:tcW w:w="5500" w:type="dxa"/>
            <w:vAlign w:val="bottom"/>
            <w:shd w:val="clear" w:color="auto" w:fill="CCFFCC"/>
          </w:tcPr>
          <w:p>
            <w:pPr>
              <w:ind w:left="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5,844</w:t>
            </w: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7,526</w:t>
            </w:r>
          </w:p>
        </w:tc>
        <w:tc>
          <w:tcPr>
            <w:tcW w:w="34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13,801</w:t>
            </w:r>
          </w:p>
        </w:tc>
        <w:tc>
          <w:tcPr>
            <w:tcW w:w="340" w:type="dxa"/>
            <w:vAlign w:val="bottom"/>
            <w:shd w:val="clear" w:color="auto" w:fill="CCFFCC"/>
          </w:tcPr>
          <w:p>
            <w:pPr>
              <w:spacing w:after="0"/>
              <w:rPr>
                <w:sz w:val="21"/>
                <w:szCs w:val="21"/>
                <w:color w:val="auto"/>
              </w:rPr>
            </w:pPr>
          </w:p>
        </w:tc>
        <w:tc>
          <w:tcPr>
            <w:tcW w:w="2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14,470</w:t>
            </w:r>
          </w:p>
        </w:tc>
        <w:tc>
          <w:tcPr>
            <w:tcW w:w="680" w:type="dxa"/>
            <w:vAlign w:val="bottom"/>
            <w:shd w:val="clear" w:color="auto" w:fill="CCFFCC"/>
          </w:tcPr>
          <w:p>
            <w:pPr>
              <w:spacing w:after="0"/>
              <w:rPr>
                <w:sz w:val="21"/>
                <w:szCs w:val="21"/>
                <w:color w:val="auto"/>
              </w:rPr>
            </w:pPr>
          </w:p>
        </w:tc>
      </w:tr>
      <w:tr>
        <w:trPr>
          <w:trHeight w:val="20"/>
        </w:trPr>
        <w:tc>
          <w:tcPr>
            <w:tcW w:w="55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FFC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3" w:lineRule="exact"/>
        <w:rPr>
          <w:sz w:val="20"/>
          <w:szCs w:val="20"/>
          <w:color w:val="auto"/>
        </w:rPr>
      </w:pPr>
    </w:p>
    <w:p>
      <w:pPr>
        <w:ind w:left="180" w:hanging="145"/>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litigation costs of $1.1 million and consulting costs of $0.5 million for the three months ended September 30, 2018.</w:t>
      </w:r>
    </w:p>
    <w:p>
      <w:pPr>
        <w:spacing w:after="0" w:line="109" w:lineRule="exact"/>
        <w:rPr>
          <w:rFonts w:ascii="Arial" w:cs="Arial" w:eastAsia="Arial" w:hAnsi="Arial"/>
          <w:sz w:val="9"/>
          <w:szCs w:val="9"/>
          <w:color w:val="auto"/>
        </w:rPr>
      </w:pPr>
    </w:p>
    <w:p>
      <w:pPr>
        <w:ind w:left="180" w:hanging="145"/>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litigation costs of $1.6 million and $5.0 million for the three and nine months ended September 30, 2017, respectively.</w:t>
      </w:r>
    </w:p>
    <w:p>
      <w:pPr>
        <w:spacing w:after="0" w:line="41" w:lineRule="exact"/>
        <w:rPr>
          <w:rFonts w:ascii="Arial" w:cs="Arial" w:eastAsia="Arial" w:hAnsi="Arial"/>
          <w:sz w:val="9"/>
          <w:szCs w:val="9"/>
          <w:color w:val="auto"/>
        </w:rPr>
      </w:pPr>
    </w:p>
    <w:p>
      <w:pPr>
        <w:ind w:left="40" w:right="700" w:hanging="5"/>
        <w:spacing w:after="0" w:line="253" w:lineRule="auto"/>
        <w:tabs>
          <w:tab w:leader="none" w:pos="181"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litigation costs of $3.2 million, consulting costs of $0.9 million, executive recruitment costs of $0.3 million, and executive relocation costs of $0.2 million for the nine months ended September 30, 2018.</w:t>
      </w:r>
    </w:p>
    <w:p>
      <w:pPr>
        <w:spacing w:after="0" w:line="79" w:lineRule="exact"/>
        <w:rPr>
          <w:rFonts w:ascii="Arial" w:cs="Arial" w:eastAsia="Arial" w:hAnsi="Arial"/>
          <w:sz w:val="9"/>
          <w:szCs w:val="9"/>
          <w:color w:val="auto"/>
        </w:rPr>
      </w:pPr>
    </w:p>
    <w:p>
      <w:pPr>
        <w:ind w:left="180" w:hanging="145"/>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severance costs of $0.1 million and other compensation-related costs of $0.6 million for the three months ended September 30, 2018.</w:t>
      </w:r>
    </w:p>
    <w:p>
      <w:pPr>
        <w:spacing w:after="0" w:line="109" w:lineRule="exact"/>
        <w:rPr>
          <w:rFonts w:ascii="Arial" w:cs="Arial" w:eastAsia="Arial" w:hAnsi="Arial"/>
          <w:sz w:val="9"/>
          <w:szCs w:val="9"/>
          <w:color w:val="auto"/>
        </w:rPr>
      </w:pPr>
    </w:p>
    <w:p>
      <w:pPr>
        <w:ind w:left="180" w:hanging="145"/>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severance costs of $2.2 million and other compensation-related costs of $0.6 million for the nine months ended September 30, 2018.</w:t>
      </w:r>
    </w:p>
    <w:p>
      <w:pPr>
        <w:spacing w:after="0" w:line="109" w:lineRule="exact"/>
        <w:rPr>
          <w:rFonts w:ascii="Arial" w:cs="Arial" w:eastAsia="Arial" w:hAnsi="Arial"/>
          <w:sz w:val="9"/>
          <w:szCs w:val="9"/>
          <w:color w:val="auto"/>
        </w:rPr>
      </w:pPr>
    </w:p>
    <w:p>
      <w:pPr>
        <w:ind w:left="180" w:hanging="145"/>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wind down costs of legacy platform of $1.9 million and severance costs of $0.4 million for the 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Revenues are recognized when control of these services is transferred to our customers, in an amount that reflects the consideration we expect to be entitled to in exchange for those services.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44" w:lineRule="exact"/>
        <w:rPr>
          <w:sz w:val="20"/>
          <w:szCs w:val="20"/>
          <w:color w:val="auto"/>
        </w:rPr>
      </w:pPr>
    </w:p>
    <w:p>
      <w:pPr>
        <w:ind w:left="1360" w:hanging="204"/>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3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Total revenue of $64.2 million and $184.1 million recognized during the three months and nine months ended September 30, 2018, respectively, under ASU No. 2014-09, "Revenue from Contracts with Customers" ("Topic 606"), was not materially different from what would have been recognized under Topic 605.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Hosted Services Business revenue is reported at the amount that reflects the ultimate consideration expected to be received and primarily consist of fees that provide customers access to LiveEngage,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 through an arrangement with one or more of several qualified vendors. For most of these customers, we pass the fee we incur with the labor provider and the fee for the hosted services through to our customers in the form of a fixed fee for each order placed via our online engagement solutions. For these Pay for Performance ("PFP") arrangements in accordance with ASC 606, "Principal Agent Considerations", we act as a principal in a transaction if it controls the specified goods or services before they are transferred to the customer.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revenue is recognized at an amount net of Expert fees in accordance with ASC 606,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record deferred revenues when cash payments are received or due in advance of our performance. The increase in the deferred revenue balance for the nine months ended September 30, 2018 is primarily driven by cash payments received or due in advance of satisfying our performance obligations, partially offset by $31.7 million of revenues recognized that were included in the deferred revenue balance as of December 31, 2017.</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2018, there was approximately $16.1 million of total unrecognized compensation cost related to nonvested share-based compensation arrangements. That cost is expected to be recognized over a weighted average period of approximately 2.9 years. As of September 30, 2018, there was approximately $35.9 million of total unrecognized compensation cost related to nonvested restricted stock units. That cost is expected to be recognized over the remaining weighted average period of approximately 2.8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three and nine months ended September 30, 2018 and 2017. No customer accounted for approximately 10% of accounts receivable as of September 30, 2018 and December 31, 2017.</w:t>
      </w:r>
    </w:p>
    <w:p>
      <w:pPr>
        <w:spacing w:after="0" w:line="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 During the nine months ended September 30, 2018, our allowance for doubtful accounts increased by $0.6 million to approximately $2.0 million. During 2017, we decreased our allowance for doubtful accounts by $0.4 million to approximately $1.3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Financial Accounting Standards Board (“FASB”) issued ASU No. 2011-08, Intangibles — Goodwill and Other (Topic 350) (“ASU 2011-08”).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jc w:val="both"/>
        <w:ind w:right="20" w:firstLine="648"/>
        <w:spacing w:after="0" w:line="227" w:lineRule="auto"/>
        <w:rPr>
          <w:sz w:val="20"/>
          <w:szCs w:val="20"/>
          <w:color w:val="auto"/>
        </w:rPr>
      </w:pPr>
      <w:r>
        <w:rPr>
          <w:rFonts w:ascii="Arial" w:cs="Arial" w:eastAsia="Arial" w:hAnsi="Arial"/>
          <w:sz w:val="17"/>
          <w:szCs w:val="17"/>
          <w:color w:val="auto"/>
        </w:rPr>
        <w:t>We evaluate for goodwill impairment annually on September 30</w:t>
      </w:r>
      <w:r>
        <w:rPr>
          <w:rFonts w:ascii="Arial" w:cs="Arial" w:eastAsia="Arial" w:hAnsi="Arial"/>
          <w:sz w:val="24"/>
          <w:szCs w:val="24"/>
          <w:color w:val="auto"/>
          <w:vertAlign w:val="superscript"/>
        </w:rPr>
        <w:t>th</w:t>
      </w:r>
      <w:r>
        <w:rPr>
          <w:rFonts w:ascii="Arial" w:cs="Arial" w:eastAsia="Arial" w:hAnsi="Arial"/>
          <w:sz w:val="17"/>
          <w:szCs w:val="17"/>
          <w:color w:val="auto"/>
        </w:rPr>
        <w:t>. On September 30, 2018,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We do not have any long-lived assets, including intangible assets, which we consider to be impaired.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Condensed Consolidated Financial Statements for additional information on our legal proceedings and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 of the Notes to Condensed Consolidated Financial Statements for a full description of recently issued accounting standards.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 of the Notes to Condensed Consolidated Financial Statements for a full description of recently adopted accounting pronouncements.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majority of our revenue is generated from monthly service revenues and related professional services from the sale of the LivePerson services. We charge a monthly, quarterly or annual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 Revenues are recognized when control of the promised goods or services is transferred to our customers, in an amount that reflects the consideration we expect to be entitled to in exchange for those goods or services.</w:t>
      </w:r>
    </w:p>
    <w:p>
      <w:pPr>
        <w:spacing w:after="0" w:line="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 from our Business segment accounted for 92% of total revenue for the three and nine months ended September 30, 2018 and 2017. Revenue attributable to our monthly hosted Business services accounted for 84% and 86% of total Business revenue for the three and nine months ended September 30, 2018, respectively. Revenue attributable to our monthly hosted Business services accounted for 89% of total Business revenue for the three and nine months ended September 30, 2017.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or less time between contract signing and recognizing revenue in certain situations.</w:t>
      </w:r>
    </w:p>
    <w:p>
      <w:pPr>
        <w:spacing w:after="0" w:line="5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8% of total revenue for the three and nine months ended September 30, 2018 and 2017.</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left="60"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are as follows:</w:t>
      </w:r>
    </w:p>
    <w:p>
      <w:pPr>
        <w:sectPr>
          <w:pgSz w:w="11900" w:h="16838" w:orient="portrait"/>
          <w:cols w:equalWidth="0" w:num="1">
            <w:col w:w="11420"/>
          </w:cols>
          <w:pgMar w:left="240" w:top="584" w:right="239" w:bottom="1440" w:gutter="0" w:footer="0" w:header="0"/>
        </w:sectPr>
      </w:pPr>
    </w:p>
    <w:p>
      <w:pPr>
        <w:spacing w:after="0" w:line="338"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81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1981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89"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31115</wp:posOffset>
            </wp:positionV>
            <wp:extent cx="1920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14" w:lineRule="exact"/>
        <w:rPr>
          <w:sz w:val="20"/>
          <w:szCs w:val="20"/>
          <w:color w:val="auto"/>
        </w:rPr>
      </w:pPr>
    </w:p>
    <w:p>
      <w:pPr>
        <w:ind w:left="140"/>
        <w:spacing w:after="0"/>
        <w:tabs>
          <w:tab w:leader="none" w:pos="16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23495</wp:posOffset>
            </wp:positionV>
            <wp:extent cx="19208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(in thousands)</w:t>
      </w:r>
    </w:p>
    <w:p>
      <w:pPr>
        <w:spacing w:after="0" w:line="81" w:lineRule="exact"/>
        <w:rPr>
          <w:sz w:val="20"/>
          <w:szCs w:val="20"/>
          <w:color w:val="auto"/>
        </w:rPr>
      </w:pPr>
    </w:p>
    <w:p>
      <w:pPr>
        <w:sectPr>
          <w:pgSz w:w="11900" w:h="16838" w:orient="portrait"/>
          <w:cols w:equalWidth="0" w:num="2">
            <w:col w:w="8120" w:space="720"/>
            <w:col w:w="2580"/>
          </w:cols>
          <w:pgMar w:left="240" w:top="584" w:right="239" w:bottom="1440" w:gutter="0" w:footer="0" w:header="0"/>
          <w:type w:val="continuous"/>
        </w:sectPr>
      </w:pPr>
    </w:p>
    <w:p>
      <w:pPr>
        <w:ind w:left="40"/>
        <w:spacing w:after="0"/>
        <w:tabs>
          <w:tab w:leader="none" w:pos="5160" w:val="left"/>
          <w:tab w:leader="none" w:pos="6140" w:val="left"/>
          <w:tab w:leader="none" w:pos="6780" w:val="left"/>
          <w:tab w:leader="none" w:pos="7760" w:val="left"/>
          <w:tab w:leader="none" w:pos="8400" w:val="left"/>
          <w:tab w:leader="none" w:pos="9280" w:val="left"/>
          <w:tab w:leader="none" w:pos="9960" w:val="left"/>
          <w:tab w:leader="none" w:pos="1092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4,074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1,843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10,338</w:t>
        <w:tab/>
        <w:t>$</w:t>
      </w:r>
      <w:r>
        <w:rPr>
          <w:sz w:val="20"/>
          <w:szCs w:val="20"/>
          <w:color w:val="auto"/>
        </w:rPr>
        <w:tab/>
      </w:r>
      <w:r>
        <w:rPr>
          <w:rFonts w:ascii="Arial" w:cs="Arial" w:eastAsia="Arial" w:hAnsi="Arial"/>
          <w:sz w:val="15"/>
          <w:szCs w:val="15"/>
          <w:color w:val="auto"/>
        </w:rPr>
        <w:t>6,103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2018 and 2017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281"/>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381"/>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r>
      <w:tr>
        <w:trPr>
          <w:trHeight w:val="263"/>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59,337</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52,138</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169,606</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148,501</w:t>
            </w:r>
          </w:p>
        </w:tc>
        <w:tc>
          <w:tcPr>
            <w:tcW w:w="1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20"/>
                <w:szCs w:val="20"/>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4,876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4,355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14,508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12,985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r>
      <w:tr>
        <w:trPr>
          <w:trHeight w:val="244"/>
        </w:trPr>
        <w:tc>
          <w:tcPr>
            <w:tcW w:w="51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64,213</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56,493</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184,114</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161,486</w:t>
            </w:r>
          </w:p>
        </w:tc>
        <w:tc>
          <w:tcPr>
            <w:tcW w:w="1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type w:val="continuous"/>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Business revenue increased by 14% to $59.3 million in the three months ended September 30, 2018 from $52.1 million in the comparable period in 2017. This variance was primarily attributable to the increase in revenue from professional services of approximately $3.6 million, in revenue from new customers of approximately $2.1 million and in revenue from existing customers of approximately $2.0 million. This was partially offset by decreases in revenue that is variable principally based on pay for performance of approximately $0.5 million.</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revenue increased by 14% to $169.6 million in the nine months ended September 30, 2018 from $148.5 million in the comparable period in 2017. This variance was primarily attributable to the increase in revenue from professional services of approximately $7.3 million, in revenue from existing customers of approximately $7.3 million, in revenue from new customers of approximately $5.8 million, and in revenue that is variable principally based on pay for performance of approximately $0.7 million.</w:t>
      </w:r>
    </w:p>
    <w:p>
      <w:pPr>
        <w:spacing w:after="0" w:line="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2017, we had notified the majority of our customers about the end of life on the legacy offering, and not every legacy customer elected to move to LiveEngage. After we finished the migration of current customers from our old platform to our new LiveEngage platform, our focus shifted back to selling and expanding our base of messaging customers. We continued to see a decrease in existing customer cancellations quarter over quarter. During the fourth quarter of 2017, we returned to year over year revenue growth. This trend continued through the nine months ended September 30, 2018.</w:t>
      </w:r>
    </w:p>
    <w:p>
      <w:pPr>
        <w:spacing w:after="0" w:line="4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Consumer revenue increased by 12% to $4.9 million and $14.5 million in the three and nine months ended September 30, 2018, respectively, from $4.4 million and $13.0 million in the comparable periods in 2017. This variance is driven by an increase in price per minute and in volume of chat minutes.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3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September 30,</w:t>
            </w:r>
          </w:p>
        </w:tc>
        <w:tc>
          <w:tcPr>
            <w:tcW w:w="28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00" w:type="dxa"/>
            <w:vAlign w:val="bottom"/>
          </w:tcPr>
          <w:p>
            <w:pPr>
              <w:spacing w:after="0"/>
              <w:rPr>
                <w:sz w:val="22"/>
                <w:szCs w:val="22"/>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00" w:type="dxa"/>
            <w:vAlign w:val="bottom"/>
          </w:tcPr>
          <w:p>
            <w:pPr>
              <w:spacing w:after="0"/>
              <w:rPr>
                <w:sz w:val="22"/>
                <w:szCs w:val="22"/>
                <w:color w:val="auto"/>
              </w:rPr>
            </w:pPr>
          </w:p>
        </w:tc>
        <w:tc>
          <w:tcPr>
            <w:tcW w:w="200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Cost of revenue - business</w:t>
            </w: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   14,695</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13,681</w:t>
            </w: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7 %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42,699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40,794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33"/>
        </w:trPr>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23%</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23%</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207</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228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207</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228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w:t>
            </w:r>
          </w:p>
        </w:tc>
      </w:tr>
    </w:tbl>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Cost of revenue increased by 7% to $14.7 million in the three months ended September 30, 2018, from $13.7 million in the comparable period in 2017. This variance was primarily attributable to increases in total compensation and related costs for customer service and network operations personnel of approximately $0.7 million, in outsourced labor and other business services of approximately $0.4 million and in depreciation of fixed assets of approximately $0.2 million. This was partially offset by decreases in amortization expense of approximately $0.3 million.</w:t>
      </w:r>
    </w:p>
    <w:p>
      <w:pPr>
        <w:spacing w:after="0" w:line="6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Cost of revenue increased by 5% to $42.7 million in the nine months ended September 30, 2018, from $40.8 million in the comparable period in 2017. This variance was primarily attributable to increases in total compensation and related costs for customer service and network operations personnel of approximately $1.8 million, in outsourced labor and other business services of approximately $1.8 million, and in depreciation of fixed assets of approximately $0.3 million. This was partially offset by decreases in amortization expense of approximately $1.7 million and in primary and backup server facilities and allocated overhead related to costs supporting our server and network infrastructure of approximately $0.3 million.</w:t>
      </w:r>
    </w:p>
    <w:p>
      <w:pPr>
        <w:spacing w:after="0" w:line="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margin for our business segment increased to 75% in the three and nine months ended September 30, 2018, respectively, from 74% and 73% in the comparable periods in 2017. The increase in gross margin was tied to our ability to operationalize cost savings by moving brands off of our legacy platform and realigning our go-to-market strategy around LiveEngage.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994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860</w:t>
            </w:r>
          </w:p>
        </w:tc>
        <w:tc>
          <w:tcPr>
            <w:tcW w:w="1440" w:type="dxa"/>
            <w:vAlign w:val="bottom"/>
            <w:gridSpan w:val="4"/>
          </w:tcPr>
          <w:p>
            <w:pPr>
              <w:jc w:val="right"/>
              <w:ind w:right="120"/>
              <w:spacing w:after="0"/>
              <w:rPr>
                <w:sz w:val="20"/>
                <w:szCs w:val="20"/>
                <w:color w:val="auto"/>
              </w:rPr>
            </w:pPr>
            <w:r>
              <w:rPr>
                <w:rFonts w:ascii="Arial" w:cs="Arial" w:eastAsia="Arial" w:hAnsi="Arial"/>
                <w:sz w:val="16"/>
                <w:szCs w:val="16"/>
                <w:color w:val="auto"/>
              </w:rPr>
              <w:t>16 %  $</w:t>
            </w:r>
          </w:p>
        </w:tc>
        <w:tc>
          <w:tcPr>
            <w:tcW w:w="760" w:type="dxa"/>
            <w:vAlign w:val="bottom"/>
          </w:tcPr>
          <w:p>
            <w:pPr>
              <w:jc w:val="right"/>
              <w:ind w:right="123"/>
              <w:spacing w:after="0"/>
              <w:rPr>
                <w:sz w:val="20"/>
                <w:szCs w:val="20"/>
                <w:color w:val="auto"/>
              </w:rPr>
            </w:pPr>
            <w:r>
              <w:rPr>
                <w:rFonts w:ascii="Arial" w:cs="Arial" w:eastAsia="Arial" w:hAnsi="Arial"/>
                <w:sz w:val="16"/>
                <w:szCs w:val="16"/>
                <w:color w:val="auto"/>
              </w:rPr>
              <w:t>2,980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2,662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12 %</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0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0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23"/>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increased by 16% to $1.0 million in the three months ended September 30, 2018, from $0.9 million in the comparable period in 2017. This variance was primarily attributable to increases in credit card processing fees and depreciation expense and offset by decreases in backup server facilities and allocated occupancy costs and overhead.</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increased by 12% to $3.0 million in the nine months ended September 30, 2018, from $2.7 million in the comparable period in 2017. This variance was primarily attributable to increases in depreciation expense, salary and related employee expenses, and credit card processing fees partially offset by decreases in backup server facilities and allocated occupancy costs and overhead.</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8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8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Sales and marketing - business</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24,391</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19,554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69,453</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60,338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5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333</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288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333</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288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by 25% to $24.4 million in the three months ended September 30, 2018 from $19.6 million in the comparable period in 2017. This variance was primarily attributable to increases in salaries and related costs for sales and marketing personnel of approximately $2.6 million, in marketing events, advertising, public relations, and tradeshow exhibit expenses of approximately $1.8 million, in recruiting expenses of approximately $0.3 million, and in allocated occupancy costs and overhead of approximately $0.1 million.</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increased by 15% to $69.5 million in the nine months ended September 30, 2018 from $60.3 million in the comparable period in 2017. This variance was primarily attributable to increases in salaries and related costs for sales and marketing personnel of approximately $3.3 million, in marketing events, advertising, public relations, and tradeshow exhibit expenses of approximately $2.4 million, in outsourced labor and other business services of approximately $1.9 million, in recruiting expenses of approximately $1.4 million, and in allocated occupancy costs and overhead of approximately $0.2 million.</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realigned our go-to-market strategy around LiveEngage. Our outreach efforts are primarily focused on fostering a community of thought and industry leadership by targeting a few hundred of the world's largest brands through conference calls and events.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323"/>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36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Pr>
          <w:p>
            <w:pPr>
              <w:jc w:val="right"/>
              <w:ind w:right="8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2,357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1"/>
              <w:spacing w:after="0"/>
              <w:rPr>
                <w:sz w:val="20"/>
                <w:szCs w:val="20"/>
                <w:color w:val="auto"/>
              </w:rPr>
            </w:pPr>
            <w:r>
              <w:rPr>
                <w:rFonts w:ascii="Arial" w:cs="Arial" w:eastAsia="Arial" w:hAnsi="Arial"/>
                <w:sz w:val="16"/>
                <w:szCs w:val="16"/>
                <w:color w:val="auto"/>
              </w:rPr>
              <w:t>2,049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6,818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6,357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0"/>
                <w:szCs w:val="20"/>
                <w:color w:val="auto"/>
              </w:rPr>
            </w:pPr>
          </w:p>
        </w:tc>
        <w:tc>
          <w:tcPr>
            <w:tcW w:w="740" w:type="dxa"/>
            <w:vAlign w:val="bottom"/>
          </w:tcPr>
          <w:p>
            <w:pPr>
              <w:jc w:val="right"/>
              <w:ind w:right="10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and marketing expenses increased by 15% to $2.4 million in the three months ended September 30, 2018 from $2.0 million in the comparable periods in 2017. This variance was primarily attributable to increases in advertising and online expenses.</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increased by 7% to $6.8 million in the nine months ended September 30, 2018 from $6.4 million in the comparable periods in 2017. This variance was primarily attributable to increases in salaries and related costs for sales and marketing personnel, in outsourced labor, and in advertising and online expenses.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8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98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11,972</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10,398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33,594</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30,528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4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19%</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128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101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128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101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27%</w:t>
            </w:r>
          </w:p>
        </w:tc>
      </w:tr>
    </w:tbl>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increased by 15% to $12.0 million in the three months ended September 30, 2018 from $10.4 million in the comparable period in 2017. This variance was primarily attributable to increases in total compensation and related employee expenses of approximately $2.8 million and in business services and outsourced labor of approximately $0.1 million. This was partially offset by decreases in allocated occupancy costs, related overhead, information technology and other general corporate expenses of approximately $1.3 million. Non-recurring costs remained relatively flat. Litigation costs decreased by approximately $0.5 million which were offset by consulting fees relating to cost efficiency analysis of approximately $0.5 million.</w:t>
      </w:r>
    </w:p>
    <w:p>
      <w:pPr>
        <w:spacing w:after="0" w:line="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increased by 10% to $33.6 million in the nine months ended September 30, 2018 from $30.5 million in the comparable period in 2017. This variance was primarily attributable to increases in total compensation and related employee expenses of approximately $3.9 million and in business services and outsourced labor of approximately $0.6 million. This was partially offset by a decrease in allocated occupancy costs, related overhead, information technology and other general corporate expenses of approximately $1.1 million and a net decrease in non-recurring costs of approximately $0.3 million. Non-recurring costs consisted of a decrease in litigation costs of approximately $1.7 million, partially offset by $0.9 million in consulting fees relating to pricing and cost efficiency analysis, executive recruitment costs of $0.3 million and executive relocation costs of approximately $0.2 million.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8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80" w:type="dxa"/>
            <w:vAlign w:val="bottom"/>
          </w:tcPr>
          <w:p>
            <w:pPr>
              <w:spacing w:after="0"/>
              <w:rPr>
                <w:sz w:val="22"/>
                <w:szCs w:val="22"/>
                <w:color w:val="auto"/>
              </w:rPr>
            </w:pPr>
          </w:p>
        </w:tc>
        <w:tc>
          <w:tcPr>
            <w:tcW w:w="200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13,484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9,726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40,955</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29,011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22%</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379</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306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379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306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24%</w:t>
            </w: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84" w:right="239" w:bottom="1440" w:gutter="0" w:footer="0" w:header="0"/>
          <w:type w:val="continuous"/>
        </w:sectPr>
      </w:pPr>
    </w:p>
    <w:bookmarkStart w:id="36" w:name="page37"/>
    <w:bookmarkEnd w:id="36"/>
    <w:p>
      <w:pPr>
        <w:jc w:val="both"/>
        <w:ind w:firstLine="648"/>
        <w:spacing w:after="0" w:line="297" w:lineRule="auto"/>
        <w:rPr>
          <w:sz w:val="20"/>
          <w:szCs w:val="20"/>
          <w:color w:val="auto"/>
        </w:rPr>
      </w:pPr>
      <w:r>
        <w:rPr>
          <w:rFonts w:ascii="Arial" w:cs="Arial" w:eastAsia="Arial" w:hAnsi="Arial"/>
          <w:sz w:val="16"/>
          <w:szCs w:val="16"/>
          <w:color w:val="auto"/>
        </w:rPr>
        <w:t>Product development costs increased by 39% and 41% to $13.5 million and $41.0 million in the three and nine months ended September 30, 2018 from $9.7 million and $29.0 million in the comparable periods in 2017. This variance was primarily attributable to increases in total compensation, outside labor, recruiting expense and associated costs for existing product development personnel of approximately $2.5 million and $8.6 million, respectively, in depreciation expense and backup server facilities and allocated overhead related to costs of supporting our server and network infrastructure of approximately $1.2 and $3.1 million, respectively, and in outsourcing and business services of approximately $0.1 million and $0.3 million, respectively.</w:t>
      </w:r>
    </w:p>
    <w:p>
      <w:pPr>
        <w:spacing w:after="0" w:line="5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continue to invest in new product development efforts to expand the capability of LiveEngage. We recognize that every brand is unique and employs an individualized and complex approach to managing their users. In accordance with ASC 350-40 - "Internal- Use Software", as new projects are initiated that provide functionality to the LiveEngage platform, the associated development and employee costs will be capitalized. Upon completion, the project costs will be depreciated over five years. In the three and nine months ended September 30, 2018, $2.5 million and $7.2 million were capitalized, respectively. In the three and nine months ended September 30, 2017, $2.0 million and $6.1 million were capitalized, respectively.</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Restructuring costs consist of reprioritizing and reallocating resources to focus on areas showing high growth potential.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740" w:type="dxa"/>
            <w:vAlign w:val="bottom"/>
          </w:tcPr>
          <w:p>
            <w:pPr>
              <w:jc w:val="right"/>
              <w:ind w:right="26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44"/>
              <w:spacing w:after="0"/>
              <w:rPr>
                <w:sz w:val="20"/>
                <w:szCs w:val="20"/>
                <w:color w:val="auto"/>
              </w:rPr>
            </w:pPr>
            <w:r>
              <w:rPr>
                <w:rFonts w:ascii="Arial" w:cs="Arial" w:eastAsia="Arial" w:hAnsi="Arial"/>
                <w:sz w:val="16"/>
                <w:szCs w:val="16"/>
                <w:color w:val="auto"/>
              </w:rPr>
              <w:t>722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00" w:type="dxa"/>
            <w:vAlign w:val="bottom"/>
            <w:gridSpan w:val="3"/>
          </w:tcPr>
          <w:p>
            <w:pPr>
              <w:ind w:left="640"/>
              <w:spacing w:after="0"/>
              <w:rPr>
                <w:sz w:val="20"/>
                <w:szCs w:val="20"/>
                <w:color w:val="auto"/>
              </w:rPr>
            </w:pPr>
            <w:r>
              <w:rPr>
                <w:rFonts w:ascii="Arial" w:cs="Arial" w:eastAsia="Arial" w:hAnsi="Arial"/>
                <w:sz w:val="16"/>
                <w:szCs w:val="16"/>
                <w:color w:val="auto"/>
              </w:rPr>
              <w:t>—%  $</w:t>
            </w:r>
          </w:p>
        </w:tc>
        <w:tc>
          <w:tcPr>
            <w:tcW w:w="780" w:type="dxa"/>
            <w:vAlign w:val="bottom"/>
          </w:tcPr>
          <w:p>
            <w:pPr>
              <w:jc w:val="right"/>
              <w:ind w:right="144"/>
              <w:spacing w:after="0"/>
              <w:rPr>
                <w:sz w:val="20"/>
                <w:szCs w:val="20"/>
                <w:color w:val="auto"/>
              </w:rPr>
            </w:pPr>
            <w:r>
              <w:rPr>
                <w:rFonts w:ascii="Arial" w:cs="Arial" w:eastAsia="Arial" w:hAnsi="Arial"/>
                <w:sz w:val="16"/>
                <w:szCs w:val="16"/>
                <w:color w:val="auto"/>
              </w:rPr>
              <w:t>2,806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2,315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200" w:type="dxa"/>
            <w:vAlign w:val="bottom"/>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shd w:val="clear" w:color="auto" w:fill="CCFFCC"/>
          </w:tcPr>
          <w:p>
            <w:pPr>
              <w:spacing w:after="0"/>
              <w:rPr>
                <w:sz w:val="20"/>
                <w:szCs w:val="20"/>
                <w:color w:val="auto"/>
              </w:rPr>
            </w:pPr>
          </w:p>
        </w:tc>
        <w:tc>
          <w:tcPr>
            <w:tcW w:w="780" w:type="dxa"/>
            <w:vAlign w:val="bottom"/>
            <w:shd w:val="clear" w:color="auto" w:fill="CCFFCC"/>
          </w:tcPr>
          <w:p>
            <w:pPr>
              <w:jc w:val="right"/>
              <w:ind w:right="4"/>
              <w:spacing w:after="0"/>
              <w:rPr>
                <w:sz w:val="20"/>
                <w:szCs w:val="20"/>
                <w:color w:val="auto"/>
              </w:rPr>
            </w:pPr>
            <w:r>
              <w:rPr>
                <w:rFonts w:ascii="Arial" w:cs="Arial" w:eastAsia="Arial" w:hAnsi="Arial"/>
                <w:sz w:val="16"/>
                <w:szCs w:val="16"/>
                <w:color w:val="auto"/>
              </w:rPr>
              <w:t>1%</w:t>
            </w:r>
          </w:p>
        </w:tc>
        <w:tc>
          <w:tcPr>
            <w:tcW w:w="260" w:type="dxa"/>
            <w:vAlign w:val="bottom"/>
            <w:shd w:val="clear" w:color="auto" w:fill="CCFFCC"/>
          </w:tcPr>
          <w:p>
            <w:pPr>
              <w:spacing w:after="0"/>
              <w:rPr>
                <w:sz w:val="20"/>
                <w:szCs w:val="20"/>
                <w:color w:val="auto"/>
              </w:rPr>
            </w:pPr>
          </w:p>
        </w:tc>
        <w:tc>
          <w:tcPr>
            <w:tcW w:w="720" w:type="dxa"/>
            <w:vAlign w:val="bottom"/>
            <w:shd w:val="clear" w:color="auto" w:fill="CCFFCC"/>
          </w:tcPr>
          <w:p>
            <w:pPr>
              <w:ind w:left="40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780" w:type="dxa"/>
            <w:vAlign w:val="bottom"/>
            <w:shd w:val="clear" w:color="auto" w:fill="CCFFCC"/>
          </w:tcPr>
          <w:p>
            <w:pPr>
              <w:jc w:val="right"/>
              <w:ind w:right="4"/>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r>
      <w:tr>
        <w:trPr>
          <w:trHeight w:val="33"/>
        </w:trPr>
        <w:tc>
          <w:tcPr>
            <w:tcW w:w="52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Restructuring costs of $0.7 million relating to severance were incurred during the three months ended September 30, 2018. Restructuring costs increased by 21% to approximately $2.8 million during the nine months ended September 30, 2018 from $2.3 million in the comparable periods in 2017. This variance was primarily attributable to an increase of severance costs of approximately $2.4 million. This was offset partially by wind-down costs of our legacy platform of $1.9 million during nine months ended September 30, 2017. Severance costs are associated with re-prioritizing and reallocating resources to focus on areas showing high growth potential.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6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FFCC"/>
            </w:tcBorders>
          </w:tcPr>
          <w:p>
            <w:pPr>
              <w:spacing w:after="0"/>
              <w:rPr>
                <w:sz w:val="22"/>
                <w:szCs w:val="22"/>
                <w:color w:val="auto"/>
              </w:rPr>
            </w:pPr>
          </w:p>
        </w:tc>
        <w:tc>
          <w:tcPr>
            <w:tcW w:w="100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00" w:type="dxa"/>
            <w:vAlign w:val="bottom"/>
            <w:tcBorders>
              <w:top w:val="single" w:sz="8" w:color="auto"/>
              <w:bottom w:val="single" w:sz="8" w:color="CCFFCC"/>
            </w:tcBorders>
          </w:tcPr>
          <w:p>
            <w:pPr>
              <w:spacing w:after="0"/>
              <w:rPr>
                <w:sz w:val="22"/>
                <w:szCs w:val="22"/>
                <w:color w:val="auto"/>
              </w:rPr>
            </w:pPr>
          </w:p>
        </w:tc>
      </w:tr>
      <w:tr>
        <w:trPr>
          <w:trHeight w:val="250"/>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424</w:t>
            </w:r>
          </w:p>
        </w:tc>
        <w:tc>
          <w:tcPr>
            <w:tcW w:w="2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470</w:t>
            </w:r>
          </w:p>
        </w:tc>
        <w:tc>
          <w:tcPr>
            <w:tcW w:w="144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6"/>
                <w:szCs w:val="16"/>
                <w:color w:val="auto"/>
              </w:rPr>
              <w:t>(10)%  $</w:t>
            </w:r>
          </w:p>
        </w:tc>
        <w:tc>
          <w:tcPr>
            <w:tcW w:w="76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1,272</w:t>
            </w:r>
          </w:p>
        </w:tc>
        <w:tc>
          <w:tcPr>
            <w:tcW w:w="2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1,412</w:t>
            </w:r>
          </w:p>
        </w:tc>
        <w:tc>
          <w:tcPr>
            <w:tcW w:w="11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0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Amortization expense for purchased intangibles decreased by 10% to $0.4 million and $1.3 million in the three and nine months ended September 30, 2018, respectively, from $0.5 million and $1.4 million in the comparable periods in 2017. This variance was primarily attributable to a decrease in amortization of our CAO! and Synchronite intangible assets. This was partially offset by amortization of the 2018 BotCentral assets acquired.</w:t>
      </w:r>
    </w:p>
    <w:p>
      <w:pPr>
        <w:spacing w:after="0" w:line="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 amortization expense in the amount of $0.3 million and $0.6 million in the three months ended September 30, 2018 and 2017, respectively, and $0.9 million and $2.6 million in the nine months ended September 30, 2018 and 2017, respectively, is included in cost of revenue. The decrease is primarily attributable to the full amortization of Amadesa during the third quarter of 2017.</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(expense) income , net</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(213)</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191</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(212)%  $</w:t>
            </w:r>
          </w:p>
        </w:tc>
        <w:tc>
          <w:tcPr>
            <w:tcW w:w="720" w:type="dxa"/>
            <w:vAlign w:val="bottom"/>
            <w:shd w:val="clear" w:color="auto" w:fill="CCFFCC"/>
          </w:tcPr>
          <w:p>
            <w:pPr>
              <w:jc w:val="right"/>
              <w:ind w:right="26"/>
              <w:spacing w:after="0"/>
              <w:rPr>
                <w:sz w:val="20"/>
                <w:szCs w:val="20"/>
                <w:color w:val="auto"/>
              </w:rPr>
            </w:pPr>
            <w:r>
              <w:rPr>
                <w:rFonts w:ascii="Arial" w:cs="Arial" w:eastAsia="Arial" w:hAnsi="Arial"/>
                <w:sz w:val="16"/>
                <w:szCs w:val="16"/>
                <w:color w:val="auto"/>
              </w:rPr>
              <w:t>(53)</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412</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(113)%</w:t>
            </w:r>
          </w:p>
        </w:tc>
      </w:tr>
      <w:tr>
        <w:trPr>
          <w:trHeight w:val="33"/>
        </w:trPr>
        <w:tc>
          <w:tcPr>
            <w:tcW w:w="52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ind w:right="20" w:firstLine="648"/>
        <w:spacing w:after="0" w:line="277" w:lineRule="auto"/>
        <w:rPr>
          <w:sz w:val="20"/>
          <w:szCs w:val="20"/>
          <w:color w:val="auto"/>
        </w:rPr>
      </w:pPr>
      <w:r>
        <w:rPr>
          <w:rFonts w:ascii="Arial" w:cs="Arial" w:eastAsia="Arial" w:hAnsi="Arial"/>
          <w:sz w:val="18"/>
          <w:szCs w:val="18"/>
          <w:color w:val="auto"/>
        </w:rPr>
        <w:t>Other (expense) income, net increased 212% in the three months ended September 30, 2018 from the comparable period in 2017 due to a loss on foreign exchange of approximately $0.3 million and a decrease in other financial income of approximately $0.1 million.</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(expense) income, net increased 113% in the nine months ended September 30, 2018 from the comparable period in 2017 due to an increase in finance hedging expense of approximately $0.3 million and loss on foreign exchange of approximately $0.2 million.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2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2"/>
                <w:szCs w:val="22"/>
                <w:color w:val="auto"/>
              </w:rPr>
            </w:pPr>
          </w:p>
        </w:tc>
        <w:tc>
          <w:tcPr>
            <w:tcW w:w="700" w:type="dxa"/>
            <w:vAlign w:val="bottom"/>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4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2,004</w:t>
            </w:r>
          </w:p>
        </w:tc>
        <w:tc>
          <w:tcPr>
            <w:tcW w:w="3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1,256</w:t>
            </w:r>
          </w:p>
        </w:tc>
        <w:tc>
          <w:tcPr>
            <w:tcW w:w="138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60%  $</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2,051</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3,000</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534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Provision for income taxes increased by 60% to $2.0 million from $1.3 million for the three months ended September 30, 2018 and decreased by 32% to $2.1 million from $3.0 million for nine months ended September 30, 2018 in the comparable periods in 2017. Our consolidated effective tax rate was impacted by the statutory income tax rates applicable to each of the jurisdictions in which we operate.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$7.0 million in the three months ended September 30, 2018 compared to a net loss of $1.3 million for the three months ended September 30, 2017. During the three months ended September 30, 2018, there were increases in revenue of approximately $7.7 million, in operating expenses of approximately $12.3 million, in other (expense) income, net of approximately $0.4 million, and in provision for income taxes of approximately $0.7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$18.6 million in the nine months ended September 30, 2018 compared to a net loss of $14.5 million for the nine months ended September 30, 2017. During the nine months ended September 30, 2018, there were increases in revenue of approximately $22.6 million, increases in operating expenses of approximately $27.2 million, decreases in other (expense) income, net of approximately $0.5 million, and decreases in provision for income taxes by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center"/>
              <w:ind w:right="181"/>
              <w:spacing w:after="0"/>
              <w:rPr>
                <w:sz w:val="20"/>
                <w:szCs w:val="20"/>
                <w:color w:val="auto"/>
              </w:rPr>
            </w:pPr>
            <w:r>
              <w:rPr>
                <w:rFonts w:ascii="Arial" w:cs="Arial" w:eastAsia="Arial" w:hAnsi="Arial"/>
                <w:sz w:val="14"/>
                <w:szCs w:val="14"/>
                <w:b w:val="1"/>
                <w:bCs w:val="1"/>
                <w:color w:val="auto"/>
                <w:w w:val="94"/>
              </w:rPr>
              <w:t>Nine Months Ended</w:t>
            </w:r>
          </w:p>
        </w:tc>
      </w:tr>
      <w:tr>
        <w:trPr>
          <w:trHeight w:val="27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50"/>
        </w:trPr>
        <w:tc>
          <w:tcPr>
            <w:tcW w:w="40" w:type="dxa"/>
            <w:vAlign w:val="bottom"/>
            <w:tcBorders>
              <w:bottom w:val="single" w:sz="8" w:color="CCFFCC"/>
            </w:tcBorders>
          </w:tcPr>
          <w:p>
            <w:pPr>
              <w:spacing w:after="0"/>
              <w:rPr>
                <w:sz w:val="21"/>
                <w:szCs w:val="21"/>
                <w:color w:val="auto"/>
              </w:rPr>
            </w:pPr>
          </w:p>
        </w:tc>
        <w:tc>
          <w:tcPr>
            <w:tcW w:w="3160" w:type="dxa"/>
            <w:vAlign w:val="bottom"/>
            <w:tcBorders>
              <w:bottom w:val="single" w:sz="8" w:color="CCFFCC"/>
            </w:tcBorders>
          </w:tcPr>
          <w:p>
            <w:pPr>
              <w:spacing w:after="0"/>
              <w:rPr>
                <w:sz w:val="21"/>
                <w:szCs w:val="21"/>
                <w:color w:val="auto"/>
              </w:rPr>
            </w:pPr>
          </w:p>
        </w:tc>
        <w:tc>
          <w:tcPr>
            <w:tcW w:w="560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Borders>
              <w:bottom w:val="single" w:sz="8" w:color="auto"/>
            </w:tcBorders>
          </w:tcPr>
          <w:p>
            <w:pPr>
              <w:spacing w:after="0"/>
              <w:rPr>
                <w:sz w:val="21"/>
                <w:szCs w:val="21"/>
                <w:color w:val="auto"/>
              </w:rPr>
            </w:pPr>
          </w:p>
        </w:tc>
      </w:tr>
      <w:tr>
        <w:trPr>
          <w:trHeight w:val="202"/>
        </w:trPr>
        <w:tc>
          <w:tcPr>
            <w:tcW w:w="8800" w:type="dxa"/>
            <w:vAlign w:val="bottom"/>
            <w:gridSpan w:val="3"/>
            <w:shd w:val="clear" w:color="auto" w:fill="CCFFCC"/>
          </w:tcPr>
          <w:p>
            <w:pPr>
              <w:ind w:left="40"/>
              <w:spacing w:after="0"/>
              <w:rPr>
                <w:sz w:val="20"/>
                <w:szCs w:val="20"/>
                <w:color w:val="auto"/>
              </w:rPr>
            </w:pPr>
            <w:r>
              <w:rPr>
                <w:rFonts w:ascii="Arial" w:cs="Arial" w:eastAsia="Arial" w:hAnsi="Arial"/>
                <w:sz w:val="16"/>
                <w:szCs w:val="16"/>
                <w:b w:val="1"/>
                <w:bCs w:val="1"/>
                <w:color w:val="auto"/>
              </w:rPr>
              <w:t>Consolidated Statements of Cash Flows Data:</w:t>
            </w: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r>
      <w:tr>
        <w:trPr>
          <w:trHeight w:val="48"/>
        </w:trPr>
        <w:tc>
          <w:tcPr>
            <w:tcW w:w="40" w:type="dxa"/>
            <w:vAlign w:val="bottom"/>
            <w:tcBorders>
              <w:top w:val="single" w:sz="8" w:color="CCFFCC"/>
            </w:tcBorders>
            <w:shd w:val="clear" w:color="auto" w:fill="CCFFCC"/>
          </w:tcPr>
          <w:p>
            <w:pPr>
              <w:spacing w:after="0"/>
              <w:rPr>
                <w:sz w:val="4"/>
                <w:szCs w:val="4"/>
                <w:color w:val="auto"/>
              </w:rPr>
            </w:pPr>
          </w:p>
        </w:tc>
        <w:tc>
          <w:tcPr>
            <w:tcW w:w="3160" w:type="dxa"/>
            <w:vAlign w:val="bottom"/>
            <w:tcBorders>
              <w:top w:val="single" w:sz="8" w:color="auto"/>
            </w:tcBorders>
            <w:shd w:val="clear" w:color="auto" w:fill="CCFFCC"/>
          </w:tcPr>
          <w:p>
            <w:pPr>
              <w:spacing w:after="0"/>
              <w:rPr>
                <w:sz w:val="4"/>
                <w:szCs w:val="4"/>
                <w:color w:val="auto"/>
              </w:rPr>
            </w:pPr>
          </w:p>
        </w:tc>
        <w:tc>
          <w:tcPr>
            <w:tcW w:w="5600" w:type="dxa"/>
            <w:vAlign w:val="bottom"/>
            <w:tcBorders>
              <w:top w:val="single" w:sz="8" w:color="CCFFCC"/>
            </w:tcBorders>
            <w:shd w:val="clear" w:color="auto" w:fill="CCFFCC"/>
          </w:tcPr>
          <w:p>
            <w:pPr>
              <w:spacing w:after="0"/>
              <w:rPr>
                <w:sz w:val="4"/>
                <w:szCs w:val="4"/>
                <w:color w:val="auto"/>
              </w:rPr>
            </w:pPr>
          </w:p>
        </w:tc>
        <w:tc>
          <w:tcPr>
            <w:tcW w:w="280" w:type="dxa"/>
            <w:vAlign w:val="bottom"/>
            <w:tcBorders>
              <w:top w:val="single" w:sz="8" w:color="CCFFCC"/>
            </w:tcBorders>
            <w:shd w:val="clear" w:color="auto" w:fill="CCFFCC"/>
          </w:tcPr>
          <w:p>
            <w:pPr>
              <w:spacing w:after="0"/>
              <w:rPr>
                <w:sz w:val="4"/>
                <w:szCs w:val="4"/>
                <w:color w:val="auto"/>
              </w:rPr>
            </w:pPr>
          </w:p>
        </w:tc>
        <w:tc>
          <w:tcPr>
            <w:tcW w:w="1020" w:type="dxa"/>
            <w:vAlign w:val="bottom"/>
            <w:tcBorders>
              <w:top w:val="single" w:sz="8" w:color="CCFFCC"/>
            </w:tcBorders>
            <w:shd w:val="clear" w:color="auto" w:fill="CCFFCC"/>
          </w:tcPr>
          <w:p>
            <w:pPr>
              <w:spacing w:after="0"/>
              <w:rPr>
                <w:sz w:val="4"/>
                <w:szCs w:val="4"/>
                <w:color w:val="auto"/>
              </w:rPr>
            </w:pPr>
          </w:p>
        </w:tc>
        <w:tc>
          <w:tcPr>
            <w:tcW w:w="540" w:type="dxa"/>
            <w:vAlign w:val="bottom"/>
            <w:tcBorders>
              <w:top w:val="single" w:sz="8" w:color="CCFFCC"/>
            </w:tcBorders>
            <w:shd w:val="clear" w:color="auto" w:fill="CCFFCC"/>
          </w:tcPr>
          <w:p>
            <w:pPr>
              <w:spacing w:after="0"/>
              <w:rPr>
                <w:sz w:val="4"/>
                <w:szCs w:val="4"/>
                <w:color w:val="auto"/>
              </w:rPr>
            </w:pPr>
          </w:p>
        </w:tc>
        <w:tc>
          <w:tcPr>
            <w:tcW w:w="780" w:type="dxa"/>
            <w:vAlign w:val="bottom"/>
            <w:tcBorders>
              <w:top w:val="single" w:sz="8" w:color="CCFFCC"/>
            </w:tcBorders>
            <w:shd w:val="clear" w:color="auto" w:fill="CCFFCC"/>
          </w:tcPr>
          <w:p>
            <w:pPr>
              <w:spacing w:after="0"/>
              <w:rPr>
                <w:sz w:val="4"/>
                <w:szCs w:val="4"/>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(used in) provided by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4"/>
              <w:spacing w:after="0"/>
              <w:rPr>
                <w:sz w:val="20"/>
                <w:szCs w:val="20"/>
                <w:color w:val="auto"/>
              </w:rPr>
            </w:pPr>
            <w:r>
              <w:rPr>
                <w:rFonts w:ascii="Arial" w:cs="Arial" w:eastAsia="Arial" w:hAnsi="Arial"/>
                <w:sz w:val="16"/>
                <w:szCs w:val="16"/>
                <w:color w:val="auto"/>
              </w:rPr>
              <w:t>(7,108)</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3,518</w:t>
            </w:r>
          </w:p>
        </w:tc>
      </w:tr>
      <w:tr>
        <w:trPr>
          <w:trHeight w:val="33"/>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FFCC"/>
            </w:tcBorders>
            <w:gridSpan w:val="3"/>
            <w:shd w:val="clear" w:color="auto" w:fill="CCFFCC"/>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(13,883)</w:t>
            </w:r>
          </w:p>
        </w:tc>
        <w:tc>
          <w:tcPr>
            <w:tcW w:w="5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(10,010)</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provided by financing activities</w:t>
            </w:r>
          </w:p>
        </w:tc>
        <w:tc>
          <w:tcPr>
            <w:tcW w:w="280" w:type="dxa"/>
            <w:vAlign w:val="bottom"/>
          </w:tcPr>
          <w:p>
            <w:pPr>
              <w:spacing w:after="0"/>
              <w:rPr>
                <w:sz w:val="20"/>
                <w:szCs w:val="20"/>
                <w:color w:val="auto"/>
              </w:rPr>
            </w:pPr>
          </w:p>
        </w:tc>
        <w:tc>
          <w:tcPr>
            <w:tcW w:w="1020" w:type="dxa"/>
            <w:vAlign w:val="bottom"/>
          </w:tcPr>
          <w:p>
            <w:pPr>
              <w:jc w:val="right"/>
              <w:ind w:right="184"/>
              <w:spacing w:after="0"/>
              <w:rPr>
                <w:sz w:val="20"/>
                <w:szCs w:val="20"/>
                <w:color w:val="auto"/>
              </w:rPr>
            </w:pPr>
            <w:r>
              <w:rPr>
                <w:rFonts w:ascii="Arial" w:cs="Arial" w:eastAsia="Arial" w:hAnsi="Arial"/>
                <w:sz w:val="16"/>
                <w:szCs w:val="16"/>
                <w:color w:val="auto"/>
              </w:rPr>
              <w:t>31,367</w:t>
            </w:r>
          </w:p>
        </w:tc>
        <w:tc>
          <w:tcPr>
            <w:tcW w:w="5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6,007</w:t>
            </w:r>
          </w:p>
        </w:tc>
      </w:tr>
    </w:tbl>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September 30, 2018, we had approximately $66.4 million in cash and cash equivalents, an increase of approximately $10.2 million from December 31, 2017. The increase is primarily attributable to cash provided by financing activities relating to issuance of common stock, as well as cash provided by operating activities related to deferred revenue and non-cash expenses. This was partially offset by cash flows used in investing relating to purchases of fixed assets for our co-location facilities and capitalization of internally developed software, as well as cash used in operating activities related to increases in accounts receivable, prepaid expenses and other current assets and decreases in accrued expenses.</w:t>
      </w:r>
    </w:p>
    <w:p>
      <w:pPr>
        <w:spacing w:after="0" w:line="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used in operating activities was $7.1 million for the nine months ended September 30, 2018 and consisted primarily of net loss, an increase in accounts receivable, prepaid expenses and other current assets, and a decrease in accrued expenses. This was partially offset by increases in deferred revenue and non-cash expenses related to depreciation, stock compensation, and amortization of purchased intangibles. The increase in accounts receivable and deferred revenue was primarily related to changes in our billing terms for some of our larger customers. Net cash provided by operating activities was $3.5 million for the nine months ended September 30, 2017 and consisted primarily of increases in deferred revenue and non-cash expenses related to depreciation, stock compensation, and amortization of purchased intangibles. This was offset partially by net loss, increases in accounts receivable and prepaid expenses, and decreases in accounts payable and accrued expenses.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was $13.9 million in the nine months ended September 30, 2018 and was due primarily to the purchase of fixed assets for our co-location facilities, capitalization of internally developed software, and the acquisition of Conversable Inc. assets, partially offset by a release of restricted cash used with foreign currency forward contracts. Net cash used in investing activities was $10.0 million in the nine months ended September 30, 2017 and was due primarily to the purchase of fixed assets for our co-location facilities and capitalization of internally developed software, partially offset by a release of restricted cash used with foreign currency forward contracts</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was $31.4 million and $6.0 million in the nine months ended September 30, 2018 and 2017, respectively. This was due primarily to proceeds from the issuance of common stock in connection with the exercise of stock options by employees, partially offset by repurchase of our common stock</w:t>
      </w:r>
    </w:p>
    <w:p>
      <w:pPr>
        <w:spacing w:after="0" w:line="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September 30, 2018, we had an accumulated deficit of approximately $181.0 million.</w:t>
      </w:r>
    </w:p>
    <w:p>
      <w:pPr>
        <w:spacing w:after="0" w:line="6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principle source of liquidity is our cash generated by operating activities. 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engage in off-balance sheet financing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three and nine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months ended September 30, 2018 was approximately $2.9 million and $7.2 million, respectively and $2.3 million and $7.3 million in the same periods in 2017, respectively.</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2018, our principal commitments were approximately $24.8 million under various operating leases, of which approximately $2.5 million is due in 2018. We currently expect that our principal commitments for the year ending December 31, 2018 will not exceed $16.0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September 30, 2018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24,797</w:t>
            </w: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8,132</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FFCC"/>
          </w:tcPr>
          <w:p>
            <w:pPr>
              <w:jc w:val="right"/>
              <w:ind w:right="42"/>
              <w:spacing w:after="0"/>
              <w:rPr>
                <w:sz w:val="20"/>
                <w:szCs w:val="20"/>
                <w:color w:val="auto"/>
              </w:rPr>
            </w:pPr>
            <w:r>
              <w:rPr>
                <w:rFonts w:ascii="Arial" w:cs="Arial" w:eastAsia="Arial" w:hAnsi="Arial"/>
                <w:sz w:val="16"/>
                <w:szCs w:val="16"/>
                <w:color w:val="auto"/>
              </w:rPr>
              <w:t>11,007</w:t>
            </w:r>
          </w:p>
        </w:tc>
        <w:tc>
          <w:tcPr>
            <w:tcW w:w="120" w:type="dxa"/>
            <w:vAlign w:val="bottom"/>
            <w:shd w:val="clear" w:color="auto" w:fill="CCFFCC"/>
          </w:tcPr>
          <w:p>
            <w:pPr>
              <w:spacing w:after="0"/>
              <w:rPr>
                <w:sz w:val="21"/>
                <w:szCs w:val="21"/>
                <w:color w:val="auto"/>
              </w:rPr>
            </w:pPr>
          </w:p>
        </w:tc>
        <w:tc>
          <w:tcPr>
            <w:tcW w:w="26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4,697</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961</w:t>
            </w:r>
          </w:p>
        </w:tc>
      </w:tr>
      <w:tr>
        <w:trPr>
          <w:trHeight w:val="20"/>
        </w:trPr>
        <w:tc>
          <w:tcPr>
            <w:tcW w:w="35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Israeli operations have currency rate fluctuation risk associated with the exchange rate movement of the U.S. dollar against the New Israeli Shekel (“NIS”). During the three months ended September 30, 2018, the U.S. dollar appreciated by approximately 2% as compared to the NIS. During the nine months ended September 30, 2018, the U.S. dollar depreciated by approximately 1% as compared to the NIS. During the three and nine months ended September 30, 2018, expenses generated by our Israeli operations totaled approximately $15.9 million and $50.3 million, respectively. During 2018, we hedged our foreign currency risk exposure relating to the NIS.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Italy and France is the Euro; the functional currency of our operations in Australia is the Australian Dollar; the functional currency of our operations in Singapore is the Singapore Dollar and the functional currency of our operations in Japan is the Japanese Yen.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the nine months ended September 30, 2018, our allowance for doubtful accounts increased by $0.6 million to approximately $2.0 million. During 2017, we decreased our allowance for doubtful accounts from $1.7 million to approximately $1.3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September 30, 2018. Based on that evaluation, the Chief Executive Officer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302" w:lineRule="auto"/>
        <w:rPr>
          <w:sz w:val="20"/>
          <w:szCs w:val="20"/>
          <w:color w:val="auto"/>
        </w:rPr>
      </w:pPr>
      <w:r>
        <w:rPr>
          <w:rFonts w:ascii="Arial" w:cs="Arial" w:eastAsia="Arial" w:hAnsi="Arial"/>
          <w:sz w:val="16"/>
          <w:szCs w:val="16"/>
          <w:color w:val="auto"/>
        </w:rPr>
        <w:t>Chief Financial Officer concluded that our disclosure controls and procedures were effective as of September 30, 2018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2018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Recent rulings by both the Court and the United States Patent Office in our favor have invalidated the majority of [24]7 patents that were asserted in the patent cases. Trial for our intellectual property and other claims asserted against [24]7 in the original litigation is currently set for April 1, 2019. We believe the claims filed by [24]7 are without merit and intend to defend them vigorously.</w:t>
      </w:r>
    </w:p>
    <w:p>
      <w:pPr>
        <w:spacing w:after="0" w:line="71" w:lineRule="exact"/>
        <w:rPr>
          <w:sz w:val="20"/>
          <w:szCs w:val="20"/>
          <w:color w:val="auto"/>
        </w:rPr>
      </w:pPr>
    </w:p>
    <w:p>
      <w:pPr>
        <w:jc w:val="both"/>
        <w:ind w:firstLine="242"/>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2017, filed on March 15, 2018,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repurchase activity for the three months ended September 30, 2018 appears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Total Number of</w:t>
            </w: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3"/>
            <w:vMerge w:val="continue"/>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3"/>
              </w:rPr>
              <w:t>Total 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 per</w:t>
            </w:r>
          </w:p>
        </w:tc>
        <w:tc>
          <w:tcPr>
            <w:tcW w:w="2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5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FFCC"/>
            </w:tcBorders>
            <w:vMerge w:val="continue"/>
          </w:tcPr>
          <w:p>
            <w:pPr>
              <w:spacing w:after="0"/>
              <w:rPr>
                <w:sz w:val="16"/>
                <w:szCs w:val="16"/>
                <w:color w:val="auto"/>
              </w:rPr>
            </w:pPr>
          </w:p>
        </w:tc>
        <w:tc>
          <w:tcPr>
            <w:tcW w:w="18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8"/>
                <w:szCs w:val="8"/>
                <w:b w:val="1"/>
                <w:bCs w:val="1"/>
                <w:color w:val="auto"/>
              </w:rPr>
              <w:t>(1) (2)</w:t>
            </w:r>
          </w:p>
        </w:tc>
        <w:tc>
          <w:tcPr>
            <w:tcW w:w="120" w:type="dxa"/>
            <w:vAlign w:val="bottom"/>
            <w:tcBorders>
              <w:bottom w:val="single" w:sz="8" w:color="CCFFCC"/>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100" w:type="dxa"/>
            <w:vAlign w:val="bottom"/>
            <w:tcBorders>
              <w:bottom w:val="single" w:sz="8" w:color="CCFFC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4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9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540" w:type="dxa"/>
            <w:vAlign w:val="bottom"/>
            <w:tcBorders>
              <w:bottom w:val="single" w:sz="8" w:color="CCFFCC"/>
            </w:tcBorders>
            <w:gridSpan w:val="3"/>
            <w:shd w:val="clear" w:color="auto" w:fill="CCFFCC"/>
          </w:tcPr>
          <w:p>
            <w:pPr>
              <w:ind w:left="22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7/1/2018 – 7/31/2018</w:t>
            </w:r>
          </w:p>
        </w:tc>
        <w:tc>
          <w:tcPr>
            <w:tcW w:w="18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2540" w:type="dxa"/>
            <w:vAlign w:val="bottom"/>
            <w:gridSpan w:val="3"/>
          </w:tcPr>
          <w:p>
            <w:pPr>
              <w:ind w:left="18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8/1/2018 – 8/31/2018</w:t>
            </w:r>
          </w:p>
        </w:tc>
        <w:tc>
          <w:tcPr>
            <w:tcW w:w="184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shd w:val="clear" w:color="auto" w:fill="CCFFCC"/>
          </w:tcPr>
          <w:p>
            <w:pPr>
              <w:spacing w:after="0"/>
              <w:rPr>
                <w:sz w:val="21"/>
                <w:szCs w:val="21"/>
                <w:color w:val="auto"/>
              </w:rPr>
            </w:pPr>
          </w:p>
        </w:tc>
        <w:tc>
          <w:tcPr>
            <w:tcW w:w="2040" w:type="dxa"/>
            <w:vAlign w:val="bottom"/>
            <w:tcBorders>
              <w:bottom w:val="single" w:sz="8" w:color="CCFFCC"/>
            </w:tcBorders>
            <w:gridSpan w:val="2"/>
            <w:shd w:val="clear" w:color="auto" w:fill="CCFFCC"/>
          </w:tcPr>
          <w:p>
            <w:pPr>
              <w:ind w:left="164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CCFFCC"/>
            </w:tcBorders>
            <w:gridSpan w:val="3"/>
            <w:shd w:val="clear" w:color="auto" w:fill="CCFFCC"/>
          </w:tcPr>
          <w:p>
            <w:pPr>
              <w:ind w:left="18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9/1/2018 – 9/30/2018</w:t>
            </w:r>
          </w:p>
        </w:tc>
        <w:tc>
          <w:tcPr>
            <w:tcW w:w="18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2540" w:type="dxa"/>
            <w:vAlign w:val="bottom"/>
            <w:gridSpan w:val="3"/>
          </w:tcPr>
          <w:p>
            <w:pPr>
              <w:ind w:left="18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FFCC"/>
            </w:tcBorders>
            <w:gridSpan w:val="2"/>
            <w:shd w:val="clear" w:color="auto" w:fill="CCFFCC"/>
          </w:tcPr>
          <w:p>
            <w:pPr>
              <w:ind w:left="164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CCFFCC"/>
            </w:tcBorders>
            <w:gridSpan w:val="3"/>
            <w:shd w:val="clear" w:color="auto" w:fill="CCFFCC"/>
          </w:tcPr>
          <w:p>
            <w:pPr>
              <w:ind w:left="1860"/>
              <w:spacing w:after="0"/>
              <w:rPr>
                <w:sz w:val="20"/>
                <w:szCs w:val="20"/>
                <w:color w:val="auto"/>
              </w:rPr>
            </w:pPr>
            <w:r>
              <w:rPr>
                <w:rFonts w:ascii="Arial" w:cs="Arial" w:eastAsia="Arial" w:hAnsi="Arial"/>
                <w:sz w:val="18"/>
                <w:szCs w:val="18"/>
                <w:color w:val="auto"/>
              </w:rPr>
              <w:t>—   $</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December 10, 2012, we announced that our Board of Directors approved a share repurchase program through June 30, 2014. Under the stock repurchase program, we were authorized to repurchase shares of our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70"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of June 30, 2014, approximately $1.1 million remained available for purchases under the program as in effect at that time. On July 23, 2014, our Board of Directors extended the expiration date of the program out to December 31, 2014 and also increased the aggregate purchase price of the stock repurchase program from $40.0 million to $50.0 million. On March 5, 2015, our Board of Directors extended the expiration date of the program out to December 31, 2016. On February 16, 2016, our Board of Directors increased the aggregate purchase price of the total stock repurchase program by an additional $14.0 million. On November 21, 2016, our Board of Directors increased the aggregate purchase price of the stock repurchase program from $64.0 million to $74.0 million and extended the expiration date of the program out to December 31, 2017. On May 7, 2018, the Company's Board of Directors ratified the extension to December 31, 2018 of the repurchase program, effective as of January 1, 2018. As of September 30, 2018, approximately $17.1 million remained available for purchases under the program.</w:t>
      </w:r>
    </w:p>
    <w:p>
      <w:pPr>
        <w:spacing w:after="0" w:line="73" w:lineRule="exact"/>
        <w:rPr>
          <w:rFonts w:ascii="Arial" w:cs="Arial" w:eastAsia="Arial" w:hAnsi="Arial"/>
          <w:sz w:val="17"/>
          <w:szCs w:val="17"/>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11040" w:type="dxa"/>
            <w:vAlign w:val="bottom"/>
            <w:gridSpan w:val="6"/>
          </w:tcPr>
          <w:p>
            <w:pPr>
              <w:ind w:left="260"/>
              <w:spacing w:after="0"/>
              <w:rPr>
                <w:sz w:val="20"/>
                <w:szCs w:val="20"/>
                <w:color w:val="auto"/>
              </w:rPr>
            </w:pPr>
            <w:r>
              <w:rPr>
                <w:rFonts w:ascii="Arial" w:cs="Arial" w:eastAsia="Arial" w:hAnsi="Arial"/>
                <w:sz w:val="18"/>
                <w:szCs w:val="18"/>
                <w:color w:val="auto"/>
              </w:rPr>
              <w:t>The following exhibits are filed as part of this Quarterly Report on Form 10-Q:</w:t>
            </w:r>
          </w:p>
        </w:tc>
      </w:tr>
      <w:tr>
        <w:trPr>
          <w:trHeight w:val="446"/>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97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Certification by Chief Executive Officer pursuant to Exchange Act Rule 13a-14(a), as adopted pursuant to Section 302 of the Sarbanes-</w:t>
              </w:r>
            </w:hyperlink>
          </w:p>
        </w:tc>
      </w:tr>
      <w:tr>
        <w:trPr>
          <w:trHeight w:val="196"/>
        </w:trPr>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Oxley Act of 2002</w:t>
              </w:r>
            </w:hyperlink>
          </w:p>
        </w:tc>
      </w:tr>
      <w:tr>
        <w:trPr>
          <w:trHeight w:val="20"/>
        </w:trPr>
        <w:tc>
          <w:tcPr>
            <w:tcW w:w="1520" w:type="dxa"/>
            <w:vAlign w:val="bottom"/>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974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Certification by Chief Financial Officer pursuant to Exchange Act Rule 13a-14(a), as adopted pursuant to Section 302 of the Sarbanes-</w:t>
              </w:r>
            </w:hyperlink>
          </w:p>
        </w:tc>
        <w:tc>
          <w:tcPr>
            <w:tcW w:w="2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Oxley Act of 2002</w:t>
              </w:r>
            </w:hyperlink>
          </w:p>
        </w:tc>
      </w:tr>
      <w:tr>
        <w:trPr>
          <w:trHeight w:val="20"/>
        </w:trPr>
        <w:tc>
          <w:tcPr>
            <w:tcW w:w="1520" w:type="dxa"/>
            <w:vAlign w:val="bottom"/>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97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Certification by Chief Executive Officer pursuant to 18 U.S.C. Section 1350, as adopted pursuant to Section 906 of the Sarbanes-Oxley</w:t>
              </w:r>
            </w:hyperlink>
          </w:p>
        </w:tc>
      </w:tr>
      <w:tr>
        <w:trPr>
          <w:trHeight w:val="196"/>
        </w:trPr>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Act of 2002</w:t>
              </w:r>
            </w:hyperlink>
          </w:p>
        </w:tc>
      </w:tr>
      <w:tr>
        <w:trPr>
          <w:trHeight w:val="20"/>
        </w:trPr>
        <w:tc>
          <w:tcPr>
            <w:tcW w:w="1520" w:type="dxa"/>
            <w:vAlign w:val="bottom"/>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972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Certification by Chief Financial Officer pursuant to 18 U.S.C. Section 1350, as adopted pursuant to Section 906 of the Sarbanes-Oxley</w:t>
              </w:r>
            </w:hyperlink>
          </w:p>
        </w:tc>
        <w:tc>
          <w:tcPr>
            <w:tcW w:w="4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Act of 2002</w:t>
              </w:r>
            </w:hyperlink>
          </w:p>
        </w:tc>
      </w:tr>
      <w:tr>
        <w:trPr>
          <w:trHeight w:val="20"/>
        </w:trPr>
        <w:tc>
          <w:tcPr>
            <w:tcW w:w="1520" w:type="dxa"/>
            <w:vAlign w:val="bottom"/>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00" w:type="dxa"/>
            <w:vAlign w:val="bottom"/>
            <w:gridSpan w:val="4"/>
          </w:tcPr>
          <w:p>
            <w:pPr>
              <w:spacing w:after="0" w:line="20" w:lineRule="exact"/>
              <w:rPr>
                <w:sz w:val="1"/>
                <w:szCs w:val="1"/>
                <w:color w:val="auto"/>
              </w:rPr>
            </w:pPr>
          </w:p>
        </w:tc>
      </w:tr>
      <w:tr>
        <w:trPr>
          <w:trHeight w:val="588"/>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6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594"/>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6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6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5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40" w:type="dxa"/>
            <w:vAlign w:val="bottom"/>
            <w:gridSpan w:val="6"/>
          </w:tcPr>
          <w:p>
            <w:pPr>
              <w:ind w:left="120"/>
              <w:spacing w:after="0"/>
              <w:rPr>
                <w:sz w:val="20"/>
                <w:szCs w:val="20"/>
                <w:color w:val="auto"/>
              </w:rPr>
            </w:pPr>
            <w:r>
              <w:rPr>
                <w:rFonts w:ascii="Arial" w:cs="Arial" w:eastAsia="Arial" w:hAnsi="Arial"/>
                <w:sz w:val="18"/>
                <w:szCs w:val="18"/>
                <w:color w:val="auto"/>
              </w:rPr>
              <w:t>Furnished herewith</w:t>
            </w:r>
          </w:p>
        </w:tc>
      </w:tr>
      <w:tr>
        <w:trPr>
          <w:trHeight w:val="567"/>
        </w:trPr>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720" w:type="dxa"/>
            <w:vAlign w:val="bottom"/>
            <w:gridSpan w:val="3"/>
          </w:tcPr>
          <w:p>
            <w:pPr>
              <w:ind w:left="410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80"/>
          </w:cols>
          <w:pgMar w:left="240" w:top="580" w:right="37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60"/>
              <w:spacing w:after="0"/>
              <w:rPr>
                <w:sz w:val="20"/>
                <w:szCs w:val="20"/>
                <w:color w:val="auto"/>
              </w:rPr>
            </w:pPr>
            <w:r>
              <w:rPr>
                <w:rFonts w:ascii="Arial" w:cs="Arial" w:eastAsia="Arial" w:hAnsi="Arial"/>
                <w:sz w:val="18"/>
                <w:szCs w:val="18"/>
                <w:color w:val="auto"/>
              </w:rPr>
              <w:t>November 9, 2018</w:t>
            </w:r>
          </w:p>
        </w:tc>
        <w:tc>
          <w:tcPr>
            <w:tcW w:w="2020" w:type="dxa"/>
            <w:vAlign w:val="bottom"/>
          </w:tcPr>
          <w:p>
            <w:pPr>
              <w:ind w:left="152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60"/>
              <w:spacing w:after="0"/>
              <w:rPr>
                <w:sz w:val="20"/>
                <w:szCs w:val="20"/>
                <w:color w:val="auto"/>
              </w:rPr>
            </w:pPr>
            <w:r>
              <w:rPr>
                <w:rFonts w:ascii="Arial" w:cs="Arial" w:eastAsia="Arial" w:hAnsi="Arial"/>
                <w:sz w:val="18"/>
                <w:szCs w:val="18"/>
                <w:color w:val="auto"/>
              </w:rPr>
              <w:t>November 9, 2018</w:t>
            </w:r>
          </w:p>
        </w:tc>
        <w:tc>
          <w:tcPr>
            <w:tcW w:w="2020" w:type="dxa"/>
            <w:vAlign w:val="bottom"/>
          </w:tcPr>
          <w:p>
            <w:pPr>
              <w:ind w:left="152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CHRISTOPHER E. GREINER</w:t>
            </w:r>
          </w:p>
        </w:tc>
      </w:tr>
      <w:tr>
        <w:trPr>
          <w:trHeight w:val="27"/>
        </w:trPr>
        <w:tc>
          <w:tcPr>
            <w:tcW w:w="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Christopher E. Greiner</w:t>
            </w:r>
          </w:p>
        </w:tc>
      </w:tr>
      <w:tr>
        <w:trPr>
          <w:trHeight w:val="270"/>
        </w:trPr>
        <w:tc>
          <w:tcPr>
            <w:tcW w:w="5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44</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260"/>
              <w:spacing w:after="0"/>
              <w:rPr>
                <w:sz w:val="20"/>
                <w:szCs w:val="20"/>
                <w:color w:val="auto"/>
              </w:rPr>
            </w:pPr>
            <w:r>
              <w:rPr>
                <w:rFonts w:ascii="Arial" w:cs="Arial" w:eastAsia="Arial" w:hAnsi="Arial"/>
                <w:sz w:val="18"/>
                <w:szCs w:val="18"/>
                <w:color w:val="auto"/>
              </w:rPr>
              <w:t>November 9, 2018</w:t>
            </w:r>
          </w:p>
        </w:tc>
        <w:tc>
          <w:tcPr>
            <w:tcW w:w="2340" w:type="dxa"/>
            <w:vAlign w:val="bottom"/>
          </w:tcPr>
          <w:p>
            <w:pPr>
              <w:ind w:left="158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340" w:type="dxa"/>
            <w:vAlign w:val="bottom"/>
            <w:vMerge w:val="restart"/>
          </w:tcPr>
          <w:p>
            <w:pPr>
              <w:ind w:left="158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34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340" w:type="dxa"/>
            <w:vAlign w:val="bottom"/>
          </w:tcPr>
          <w:p>
            <w:pPr>
              <w:ind w:left="158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E. Greiner, certify that:</w:t>
      </w:r>
    </w:p>
    <w:p>
      <w:pPr>
        <w:spacing w:after="0" w:line="17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60"/>
              <w:spacing w:after="0"/>
              <w:rPr>
                <w:sz w:val="20"/>
                <w:szCs w:val="20"/>
                <w:color w:val="auto"/>
              </w:rPr>
            </w:pPr>
            <w:r>
              <w:rPr>
                <w:rFonts w:ascii="Arial" w:cs="Arial" w:eastAsia="Arial" w:hAnsi="Arial"/>
                <w:sz w:val="18"/>
                <w:szCs w:val="18"/>
                <w:color w:val="auto"/>
              </w:rPr>
              <w:t>November 9, 2018</w:t>
            </w:r>
          </w:p>
        </w:tc>
        <w:tc>
          <w:tcPr>
            <w:tcW w:w="2240" w:type="dxa"/>
            <w:vAlign w:val="bottom"/>
          </w:tcPr>
          <w:p>
            <w:pPr>
              <w:ind w:left="148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CHRISTOPHER E. GREINER</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vMerge w:val="restart"/>
          </w:tcPr>
          <w:p>
            <w:pPr>
              <w:ind w:left="148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4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Christopher E. Greiner</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240" w:type="dxa"/>
            <w:vAlign w:val="bottom"/>
          </w:tcPr>
          <w:p>
            <w:pPr>
              <w:ind w:left="148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jc w:val="both"/>
        <w:ind w:left="660" w:right="94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2018, as filed with the Securities and Exchange Commission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00"/>
              <w:spacing w:after="0"/>
              <w:rPr>
                <w:sz w:val="20"/>
                <w:szCs w:val="20"/>
                <w:color w:val="auto"/>
              </w:rPr>
            </w:pPr>
            <w:r>
              <w:rPr>
                <w:rFonts w:ascii="Arial" w:cs="Arial" w:eastAsia="Arial" w:hAnsi="Arial"/>
                <w:sz w:val="18"/>
                <w:szCs w:val="18"/>
                <w:color w:val="auto"/>
              </w:rPr>
              <w:t>November 9, 2018</w:t>
            </w:r>
          </w:p>
        </w:tc>
        <w:tc>
          <w:tcPr>
            <w:tcW w:w="2360" w:type="dxa"/>
            <w:vAlign w:val="bottom"/>
          </w:tcPr>
          <w:p>
            <w:pPr>
              <w:ind w:left="162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60" w:type="dxa"/>
            <w:vAlign w:val="bottom"/>
            <w:vMerge w:val="restart"/>
          </w:tcPr>
          <w:p>
            <w:pPr>
              <w:ind w:left="162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36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360" w:type="dxa"/>
            <w:vAlign w:val="bottom"/>
          </w:tcPr>
          <w:p>
            <w:pPr>
              <w:ind w:left="162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 Christopher E. Greiner, Chief Financial Officer of LivePerson, Inc. (the “Company”),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jc w:val="both"/>
        <w:ind w:left="660" w:right="94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2018, as filed with the Securities and Exchange Commission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300"/>
              <w:spacing w:after="0"/>
              <w:rPr>
                <w:sz w:val="20"/>
                <w:szCs w:val="20"/>
                <w:color w:val="auto"/>
              </w:rPr>
            </w:pPr>
            <w:r>
              <w:rPr>
                <w:rFonts w:ascii="Arial" w:cs="Arial" w:eastAsia="Arial" w:hAnsi="Arial"/>
                <w:sz w:val="18"/>
                <w:szCs w:val="18"/>
                <w:color w:val="auto"/>
              </w:rPr>
              <w:t>November 9, 2018</w:t>
            </w:r>
          </w:p>
        </w:tc>
        <w:tc>
          <w:tcPr>
            <w:tcW w:w="2400" w:type="dxa"/>
            <w:vAlign w:val="bottom"/>
          </w:tcPr>
          <w:p>
            <w:pPr>
              <w:ind w:left="164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CHRISTOPHER E. GREINER</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00" w:type="dxa"/>
            <w:vAlign w:val="bottom"/>
            <w:vMerge w:val="restart"/>
          </w:tcPr>
          <w:p>
            <w:pPr>
              <w:ind w:left="164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Christopher E. Greiner</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400" w:type="dxa"/>
            <w:vAlign w:val="bottom"/>
          </w:tcPr>
          <w:p>
            <w:pPr>
              <w:ind w:left="164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5"/>
    </w:lvl>
  </w:abstractNum>
  <w:abstractNum w:abstractNumId="10">
    <w:nsid w:val="333AB105"/>
    <w:multiLevelType w:val="hybridMultilevel"/>
    <w:lvl w:ilvl="0">
      <w:lvlJc w:val="left"/>
      <w:lvlText w:val="%1."/>
      <w:numFmt w:val="decimal"/>
      <w:start w:val="6"/>
    </w:lvl>
  </w:abstractNum>
  <w:abstractNum w:abstractNumId="11">
    <w:nsid w:val="721DA317"/>
    <w:multiLevelType w:val="hybridMultilevel"/>
    <w:lvl w:ilvl="0">
      <w:lvlJc w:val="left"/>
      <w:lvlText w:val="%1."/>
      <w:numFmt w:val="decimal"/>
      <w:start w:val="7"/>
    </w:lvl>
  </w:abstractNum>
  <w:abstractNum w:abstractNumId="12">
    <w:nsid w:val="2443A858"/>
    <w:multiLevelType w:val="hybridMultilevel"/>
    <w:lvl w:ilvl="0">
      <w:lvlJc w:val="left"/>
      <w:lvlText w:val="%1."/>
      <w:numFmt w:val="decimal"/>
      <w:start w:val="8"/>
    </w:lvl>
  </w:abstractNum>
  <w:abstractNum w:abstractNumId="13">
    <w:nsid w:val="2D1D5AE9"/>
    <w:multiLevelType w:val="hybridMultilevel"/>
    <w:lvl w:ilvl="0">
      <w:lvlJc w:val="left"/>
      <w:lvlText w:val="%1."/>
      <w:numFmt w:val="decimal"/>
      <w:start w:val="9"/>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450"/>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2019-12-28T18:16:11Z</dcterms:created>
  <dcterms:modified xsi:type="dcterms:W3CDTF">2019-12-28T18:16:11Z</dcterms:modified>
</cp:coreProperties>
</file>