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1, 2018, 60,717,887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March 31, 2018 and December 31,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Operations for the Three Months Ended March 31,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3"/>
              </w:rPr>
              <w:t>Condensed Consolidated Statements of Comprehensive Loss for the Three Months Ended March 31,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2018 and 2017</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57,480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56,115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1,451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$1,553 and $1,318 as of March 31, 2018 and December 31,</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2017, respectively</w:t>
            </w:r>
          </w:p>
        </w:tc>
        <w:tc>
          <w:tcPr>
            <w:tcW w:w="26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45,897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37,926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13,194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7,352</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116,787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102,844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36,328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34,705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12,937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12,366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80,595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80,531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1,600</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249,060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5,602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48,011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52,374</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35,563</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96,187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89,055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3,110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2,766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102,943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92,736</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313,698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305,676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(165,662)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(163,135)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146,117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140,063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249,060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232,799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928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r>
      <w:tr>
        <w:trPr>
          <w:trHeight w:val="256"/>
        </w:trPr>
        <w:tc>
          <w:tcPr>
            <w:tcW w:w="9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58,241</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50,919</w:t>
            </w:r>
          </w:p>
        </w:tc>
      </w:tr>
      <w:tr>
        <w:trPr>
          <w:trHeight w:val="250"/>
        </w:trPr>
        <w:tc>
          <w:tcPr>
            <w:tcW w:w="928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0"/>
        </w:trPr>
        <w:tc>
          <w:tcPr>
            <w:tcW w:w="928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13,954</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13,781</w:t>
            </w:r>
          </w:p>
        </w:tc>
      </w:tr>
      <w:tr>
        <w:trPr>
          <w:trHeight w:val="237"/>
        </w:trPr>
        <w:tc>
          <w:tcPr>
            <w:tcW w:w="928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24,131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21,700</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10,123</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9,692</w:t>
            </w:r>
          </w:p>
        </w:tc>
      </w:tr>
      <w:tr>
        <w:trPr>
          <w:trHeight w:val="237"/>
        </w:trPr>
        <w:tc>
          <w:tcPr>
            <w:tcW w:w="928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13,252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9,958</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240</w:t>
            </w:r>
          </w:p>
        </w:tc>
      </w:tr>
      <w:tr>
        <w:trPr>
          <w:trHeight w:val="237"/>
        </w:trPr>
        <w:tc>
          <w:tcPr>
            <w:tcW w:w="928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472</w:t>
            </w:r>
          </w:p>
        </w:tc>
      </w:tr>
      <w:tr>
        <w:trPr>
          <w:trHeight w:val="33"/>
        </w:trPr>
        <w:tc>
          <w:tcPr>
            <w:tcW w:w="928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62,062</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55,843</w:t>
            </w:r>
          </w:p>
        </w:tc>
      </w:tr>
      <w:tr>
        <w:trPr>
          <w:trHeight w:val="217"/>
        </w:trPr>
        <w:tc>
          <w:tcPr>
            <w:tcW w:w="928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(4,924)</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320</w:t>
            </w:r>
          </w:p>
        </w:tc>
      </w:tr>
      <w:tr>
        <w:trPr>
          <w:trHeight w:val="217"/>
        </w:trPr>
        <w:tc>
          <w:tcPr>
            <w:tcW w:w="9280" w:type="dxa"/>
            <w:vAlign w:val="bottom"/>
          </w:tcPr>
          <w:p>
            <w:pPr>
              <w:ind w:left="40"/>
              <w:spacing w:after="0"/>
              <w:rPr>
                <w:sz w:val="20"/>
                <w:szCs w:val="20"/>
                <w:color w:val="auto"/>
              </w:rPr>
            </w:pPr>
            <w:r>
              <w:rPr>
                <w:rFonts w:ascii="Arial" w:cs="Arial" w:eastAsia="Arial" w:hAnsi="Arial"/>
                <w:sz w:val="16"/>
                <w:szCs w:val="16"/>
                <w:color w:val="auto"/>
              </w:rPr>
              <w:t>Loss before (benefit from) provision for income taxes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(4,604)</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1,072</w:t>
            </w:r>
          </w:p>
        </w:tc>
      </w:tr>
      <w:tr>
        <w:trPr>
          <w:trHeight w:val="284"/>
        </w:trPr>
        <w:tc>
          <w:tcPr>
            <w:tcW w:w="928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(3,203)</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(5,676)</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(0.10)</w:t>
            </w: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928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928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w w:val="94"/>
              </w:rPr>
              <w:t>57,309,707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55,975,093</w:t>
            </w: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928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57,309,707</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55,975,093</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928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928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928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75</w:t>
            </w:r>
          </w:p>
        </w:tc>
      </w:tr>
      <w:tr>
        <w:trPr>
          <w:trHeight w:val="276"/>
        </w:trPr>
        <w:tc>
          <w:tcPr>
            <w:tcW w:w="928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654</w:t>
            </w:r>
          </w:p>
        </w:tc>
      </w:tr>
      <w:tr>
        <w:trPr>
          <w:trHeight w:val="264"/>
        </w:trPr>
        <w:tc>
          <w:tcPr>
            <w:tcW w:w="928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662</w:t>
            </w:r>
          </w:p>
        </w:tc>
      </w:tr>
      <w:tr>
        <w:trPr>
          <w:trHeight w:val="276"/>
        </w:trPr>
        <w:tc>
          <w:tcPr>
            <w:tcW w:w="928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522</w:t>
            </w:r>
          </w:p>
        </w:tc>
      </w:tr>
      <w:tr>
        <w:trPr>
          <w:trHeight w:val="270"/>
        </w:trPr>
        <w:tc>
          <w:tcPr>
            <w:tcW w:w="9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28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928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1,916</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1,765</w:t>
            </w:r>
          </w:p>
        </w:tc>
      </w:tr>
      <w:tr>
        <w:trPr>
          <w:trHeight w:val="276"/>
        </w:trPr>
        <w:tc>
          <w:tcPr>
            <w:tcW w:w="928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381</w:t>
            </w:r>
          </w:p>
        </w:tc>
      </w:tr>
      <w:tr>
        <w:trPr>
          <w:trHeight w:val="264"/>
        </w:trPr>
        <w:tc>
          <w:tcPr>
            <w:tcW w:w="928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249</w:t>
            </w:r>
          </w:p>
        </w:tc>
      </w:tr>
      <w:tr>
        <w:trPr>
          <w:trHeight w:val="276"/>
        </w:trPr>
        <w:tc>
          <w:tcPr>
            <w:tcW w:w="928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3"/>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398</w:t>
            </w:r>
          </w:p>
        </w:tc>
      </w:tr>
      <w:tr>
        <w:trPr>
          <w:trHeight w:val="270"/>
        </w:trPr>
        <w:tc>
          <w:tcPr>
            <w:tcW w:w="9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28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928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3"/>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959</w:t>
            </w:r>
          </w:p>
        </w:tc>
      </w:tr>
      <w:tr>
        <w:trPr>
          <w:trHeight w:val="290"/>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24"/>
                <w:szCs w:val="24"/>
                <w:color w:val="auto"/>
              </w:rPr>
            </w:pPr>
          </w:p>
        </w:tc>
      </w:tr>
      <w:tr>
        <w:trPr>
          <w:trHeight w:val="264"/>
        </w:trPr>
        <w:tc>
          <w:tcPr>
            <w:tcW w:w="936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(3,203)</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(5,676)</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(3,398)</w:t>
            </w:r>
          </w:p>
        </w:tc>
      </w:tr>
      <w:tr>
        <w:trPr>
          <w:trHeight w:val="33"/>
        </w:trPr>
        <w:tc>
          <w:tcPr>
            <w:tcW w:w="93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(9,074)</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1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(3,203)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(5,676)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3,358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2,793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1,431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451</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(8,467)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2,686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(5,841)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(2,548)</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(1,117)</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(9,782)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(8,998)</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19,921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5,942</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84</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operating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(3,102)</w:t>
            </w:r>
          </w:p>
        </w:tc>
      </w:tr>
      <w:tr>
        <w:trPr>
          <w:trHeight w:val="297"/>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(2,729)</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(98)</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(3,623)</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(2,844)</w:t>
            </w:r>
          </w:p>
        </w:tc>
      </w:tr>
      <w:tr>
        <w:trPr>
          <w:trHeight w:val="297"/>
        </w:trPr>
        <w:tc>
          <w:tcPr>
            <w:tcW w:w="8340" w:type="dxa"/>
            <w:vAlign w:val="bottom"/>
            <w:shd w:val="clear" w:color="auto" w:fill="CCFFCC"/>
          </w:tcPr>
          <w:p>
            <w:pPr>
              <w:spacing w:after="0"/>
              <w:rPr>
                <w:sz w:val="24"/>
                <w:szCs w:val="24"/>
                <w:color w:val="auto"/>
              </w:rPr>
            </w:pP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5,949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460</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4,604</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(516)</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3,332</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1,365</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(3,130)</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56,115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50,889</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40" w:type="dxa"/>
            <w:vAlign w:val="bottom"/>
            <w:tcBorders>
              <w:bottom w:val="single" w:sz="8" w:color="auto"/>
            </w:tcBorders>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7"/>
              </w:rPr>
              <w:t>57,480</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47,759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40" w:type="dxa"/>
            <w:vAlign w:val="bottom"/>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682</w:t>
            </w:r>
          </w:p>
        </w:tc>
      </w:tr>
      <w:tr>
        <w:trPr>
          <w:trHeight w:val="258"/>
        </w:trPr>
        <w:tc>
          <w:tcPr>
            <w:tcW w:w="8340" w:type="dxa"/>
            <w:vAlign w:val="bottom"/>
          </w:tcPr>
          <w:p>
            <w:pPr>
              <w:ind w:left="180"/>
              <w:spacing w:after="0"/>
              <w:rPr>
                <w:sz w:val="20"/>
                <w:szCs w:val="20"/>
                <w:color w:val="auto"/>
              </w:rPr>
            </w:pPr>
            <w:r>
              <w:rPr>
                <w:rFonts w:ascii="Arial" w:cs="Arial" w:eastAsia="Arial" w:hAnsi="Arial"/>
                <w:sz w:val="14"/>
                <w:szCs w:val="14"/>
                <w:color w:val="auto"/>
              </w:rPr>
              <w:t>Issuance of 85,861 shares of common stock in connection with the BotCentral transaction on January 24, 2018</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Mountain View (California), and international offices in Amsterdam (Netherlands), Berlin (Germany) , London (United Kingdom), Mannheim (Germany) , Melbourne (Australia), Milan (Italy), Paris (France), Ra'anana (Israel), Reading (United Kingdom), Tel Aviv (Israel), and Tokyo (Japan).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w:t>
      </w:r>
    </w:p>
    <w:p>
      <w:pPr>
        <w:spacing w:after="0" w:line="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LiveEngage was designed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services (SMS), social media and third-party consumer messaging platforms. Brands can also use LiveEngage to message consumers when they dial a 1-800 number instead of having them navigate interactive voice response systems (IVR) and wait on hold. The platform seamlessly integrates with third-party bots, enabling brands to manage both AI- based agents and human agents from a single console.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March 31, 2018 and for the three months ended March 31, 2018 and 2017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2018, and the consolidated results of operations, comprehensive loss and cash flows for the interim periods ended March 31, 2018 and 2017.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2017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2017 included in the Company’s Annual Report on Form 10-K filed with the SEC on March 15,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2018, the Financial Accounting Standards Board (“FASB”) issued Accounting Standards Update ("ASU") No.2018-05 "Income Taxes (Topic 740): Amendments to SEC Paragraphs Pursuant to SEC Staff Accounting Bulletin No. 118" ("ASU 2018-05"). This new standard adds SEC paragraphs pursuant to the SEC Staff Accounting Bulletin No. 118, which expresses the view of the staff regarding application of Topic 740, Income Taxes, in the reporting period that includes December 22, 2017 - the date on which the Tax Cuts and Jobs Act (H.R.1, An Act to Provide for Reconciliation Pursuant to Titles II and V of the Concurrent Resolution on the Budget for Fiscal Year 2018) was signed into law. ASU 2018-05 is effective upon inclusion in the FASB Codification. The Company is currently evaluating the impact of this updated standard, but does not believe this update will have a significant impact on its consolidated financial statements.</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2018, the FASB issued Accounting Standards Update No. 2018-02 "Income Statement—Reporting Comprehensive Income (Topic 220): Reclassification of Certain Tax Effects from Accumulated Other Comprehensive Income" ("ASU 2018-02"). This new standard allows a reclassification from accumulated other comprehensive income to retained earnings for stranded tax effects resulting from the Tax Cuts and Jobs Act of 2017. The amendments in ASU 2018-02 affects any entity that is required to apply the provisions of Topic 220, Income Statement-Reporting Comprehensive Income, and has items of other comprehensive income for which the related tax effects are presented in other comprehensive income as required by GAAP. The Company is currently evaluating the impact of this updated standard, but does not believe this update will have a significant impact on its consolidated financial statements.</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Accounting Standards Update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The Company is currently assessing the provisions of this guidance and evaluating the timing and impact the guidance will have on its consolidated financial statements and related disclosures. The Company is also in the process of aggregating lease documentation for review. The adoption of this ASU primarily impacts the balance sheet through the recognition of a right-of-use asset and a lease liability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for all leases with terms in excess of twelve months. This guidance is effective January 1, 2019 using a modified retrospective transition approach with early adoption permitted.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("Topic 606"). Topic 606 supersedes the revenue recognition requirements in Accounting Standards Codification ("ASC") Topic 605, "Revenue Recognition" ("Topic 605"), and requires the recognition of revenue when promised goods or services are transferred to customers in an amount that reflects the considerations to which the entity expects to be entitled to in exchange for those goods or services. Topic 606 also includes Subtopic 340-40, "Other Assets and Deferred Costs - Contracts with Customers", which requires the deferral of incremental costs of obtaining a contract with a customer. Collectively, the Company refers to Topic 606 and Subtopic 340-40 as the "new standard."</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adopted the requirements of the new standard as of January 1, 2018, utilizing the modified retrospective method applied to those contracts which were not completed as of January 1, 2018. Results for the reporting periods beginning after January 1, 2018 are presented under the new standard, while prior period amounts are not adjusted and continue to be reported in accordance with its historic accounting under Topic 605.</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impact of adopting the new standard as of January 1, 2018 on revenues was not material. The primary impact of adopting the new standard relates to the deferral of incremental commission costs of obtaining subscription contracts. The Company recorded an addition to opening retained earnings of $0.7 million as of January 1, 2018 due to the impact of adopting the new standard, with the impact related to the deferral of incremental commission costs. Under Topic 605, the Company deferred only direct and incremental commission costs to obtain a contract and amortized those costs on a straight-line basis over the term of the related subscription contract, which was generally one year. Under the new standard, the Company defers all incremental commission costs to obtain the contract. The prepaid commission balance as of March 31, 2018 is $5.5 million. The Company amortizes these costs over the related period of benefit using the customer expected life that the Company determined to be three to five years which is consistent with the transfer to the customer of the services to which the asset relates.</w:t>
      </w:r>
    </w:p>
    <w:p>
      <w:pPr>
        <w:spacing w:after="0" w:line="29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revenues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ASC-606, "Principal Agent Considerations", the Company acts as a principal in a transaction if it controls the specified goods or services before they are transferred to the customer.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revenues primarily consist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of $58.2 million recognized during the three months ended March 31, 2018, under Topic 606, was not materially different from what it would have been recognized under Topic 605.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records deferred revenues when cash payments are received or due in advance of our performance. The increase in the deferred revenue balance for the three months ended March 31, 2018 is primarily driven by cash payments received or due in advance of satisfying its performance obligations, partially offset by $16.2 million of revenues recognized that were included in the deferred revenue balance as of December 31, 2017.</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disaggregated by revenue source (amounts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left="2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Borders>
              <w:bottom w:val="single" w:sz="8" w:color="auto"/>
            </w:tcBorders>
          </w:tcPr>
          <w:p>
            <w:pPr>
              <w:spacing w:after="0"/>
              <w:rPr>
                <w:sz w:val="16"/>
                <w:szCs w:val="16"/>
                <w:color w:val="auto"/>
              </w:rPr>
            </w:pPr>
          </w:p>
        </w:tc>
      </w:tr>
      <w:tr>
        <w:trPr>
          <w:trHeight w:val="250"/>
        </w:trPr>
        <w:tc>
          <w:tcPr>
            <w:tcW w:w="8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64"/>
        </w:trPr>
        <w:tc>
          <w:tcPr>
            <w:tcW w:w="856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CFFCC"/>
            </w:tcBorders>
          </w:tcPr>
          <w:p>
            <w:pPr>
              <w:jc w:val="right"/>
              <w:ind w:right="95"/>
              <w:spacing w:after="0"/>
              <w:rPr>
                <w:sz w:val="20"/>
                <w:szCs w:val="20"/>
                <w:color w:val="auto"/>
              </w:rPr>
            </w:pPr>
            <w:r>
              <w:rPr>
                <w:rFonts w:ascii="Arial" w:cs="Arial" w:eastAsia="Arial" w:hAnsi="Arial"/>
                <w:sz w:val="9"/>
                <w:szCs w:val="9"/>
                <w:b w:val="1"/>
                <w:bCs w:val="1"/>
                <w:color w:val="auto"/>
              </w:rPr>
              <w:t>(1)</w:t>
            </w:r>
          </w:p>
        </w:tc>
      </w:tr>
      <w:tr>
        <w:trPr>
          <w:trHeight w:val="250"/>
        </w:trPr>
        <w:tc>
          <w:tcPr>
            <w:tcW w:w="8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8560" w:type="dxa"/>
            <w:vAlign w:val="bottom"/>
          </w:tcPr>
          <w:p>
            <w:pPr>
              <w:ind w:left="160"/>
              <w:spacing w:after="0"/>
              <w:rPr>
                <w:sz w:val="20"/>
                <w:szCs w:val="20"/>
                <w:color w:val="auto"/>
              </w:rPr>
            </w:pPr>
            <w:r>
              <w:rPr>
                <w:rFonts w:ascii="Arial" w:cs="Arial" w:eastAsia="Arial" w:hAnsi="Arial"/>
                <w:sz w:val="16"/>
                <w:szCs w:val="16"/>
                <w:color w:val="auto"/>
              </w:rPr>
              <w:t>Hosted services – Business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47,427</w:t>
            </w:r>
          </w:p>
        </w:tc>
        <w:tc>
          <w:tcPr>
            <w:tcW w:w="68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41,493</w:t>
            </w:r>
          </w:p>
        </w:tc>
        <w:tc>
          <w:tcPr>
            <w:tcW w:w="340" w:type="dxa"/>
            <w:vAlign w:val="bottom"/>
          </w:tcPr>
          <w:p>
            <w:pPr>
              <w:spacing w:after="0"/>
              <w:rPr>
                <w:sz w:val="20"/>
                <w:szCs w:val="20"/>
                <w:color w:val="auto"/>
              </w:rPr>
            </w:pPr>
          </w:p>
        </w:tc>
      </w:tr>
      <w:tr>
        <w:trPr>
          <w:trHeight w:val="33"/>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85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shd w:val="clear" w:color="auto" w:fill="CCFFCC"/>
              </w:rPr>
              <w:t>Hosted services – Consumer</w:t>
            </w: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4,680</w:t>
            </w:r>
          </w:p>
        </w:tc>
        <w:tc>
          <w:tcPr>
            <w:tcW w:w="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4,170</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8560" w:type="dxa"/>
            <w:vAlign w:val="bottom"/>
          </w:tcPr>
          <w:p>
            <w:pPr>
              <w:ind w:left="16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5,256</w:t>
            </w:r>
          </w:p>
        </w:tc>
        <w:tc>
          <w:tcPr>
            <w:tcW w:w="340" w:type="dxa"/>
            <w:vAlign w:val="bottom"/>
          </w:tcPr>
          <w:p>
            <w:pPr>
              <w:spacing w:after="0"/>
              <w:rPr>
                <w:sz w:val="20"/>
                <w:szCs w:val="20"/>
                <w:color w:val="auto"/>
              </w:rPr>
            </w:pPr>
          </w:p>
        </w:tc>
      </w:tr>
      <w:tr>
        <w:trPr>
          <w:trHeight w:val="33"/>
        </w:trPr>
        <w:tc>
          <w:tcPr>
            <w:tcW w:w="85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50"/>
        </w:trPr>
        <w:tc>
          <w:tcPr>
            <w:tcW w:w="85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58,241</w:t>
            </w:r>
          </w:p>
        </w:tc>
        <w:tc>
          <w:tcPr>
            <w:tcW w:w="680" w:type="dxa"/>
            <w:vAlign w:val="bottom"/>
            <w:tcBorders>
              <w:bottom w:val="single" w:sz="8" w:color="CCFFCC"/>
            </w:tcBorders>
            <w:gridSpan w:val="3"/>
            <w:shd w:val="clear" w:color="auto" w:fill="CCFFCC"/>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50,919</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78"/>
        </w:trPr>
        <w:tc>
          <w:tcPr>
            <w:tcW w:w="8560" w:type="dxa"/>
            <w:vAlign w:val="bottom"/>
          </w:tcPr>
          <w:p>
            <w:pPr>
              <w:ind w:left="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As noted above, prior period amounts have not been adjusted under the modified retrospective method.</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8560" w:type="dxa"/>
            <w:vAlign w:val="bottom"/>
          </w:tcPr>
          <w:p>
            <w:pPr>
              <w:ind w:left="560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50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r>
      <w:tr>
        <w:trPr>
          <w:trHeight w:val="276"/>
        </w:trPr>
        <w:tc>
          <w:tcPr>
            <w:tcW w:w="8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r>
      <w:tr>
        <w:trPr>
          <w:trHeight w:val="33"/>
        </w:trPr>
        <w:tc>
          <w:tcPr>
            <w:tcW w:w="83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CCFFCC"/>
            </w:tcBorders>
            <w:shd w:val="clear" w:color="auto" w:fill="CCFFC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9"/>
              </w:rPr>
              <w:t>34,071</w:t>
            </w: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31,684</w:t>
            </w:r>
          </w:p>
        </w:tc>
      </w:tr>
      <w:tr>
        <w:trPr>
          <w:trHeight w:val="27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FFCC"/>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w:t>
            </w: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9"/>
              </w:rPr>
              <w:t>35,330</w:t>
            </w: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33,656</w:t>
            </w:r>
          </w:p>
        </w:tc>
      </w:tr>
      <w:tr>
        <w:trPr>
          <w:trHeight w:val="270"/>
        </w:trPr>
        <w:tc>
          <w:tcPr>
            <w:tcW w:w="83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920" w:type="dxa"/>
            <w:vAlign w:val="bottom"/>
          </w:tcPr>
          <w:p>
            <w:pPr>
              <w:spacing w:after="0"/>
              <w:rPr>
                <w:sz w:val="23"/>
                <w:szCs w:val="23"/>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w w:val="89"/>
              </w:rPr>
              <w:t>16,919</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13,513</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5,992</w:t>
            </w:r>
          </w:p>
        </w:tc>
        <w:tc>
          <w:tcPr>
            <w:tcW w:w="100" w:type="dxa"/>
            <w:vAlign w:val="bottom"/>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3,750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58,241</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50,919</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left="180" w:hanging="172"/>
        <w:spacing w:after="0" w:line="191"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revenues from the United Kingdom of $11.7 million and $9.0 million for the three months ended March 31, 2018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pacing w:after="0" w:line="6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6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9"/>
              </w:rPr>
              <w:t>Unbilled Receivable</w:t>
            </w: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Deferred Revenue</w:t>
            </w:r>
          </w:p>
        </w:tc>
        <w:tc>
          <w:tcPr>
            <w:tcW w:w="1460" w:type="dxa"/>
            <w:vAlign w:val="bottom"/>
          </w:tcPr>
          <w:p>
            <w:pPr>
              <w:jc w:val="right"/>
              <w:ind w:right="103"/>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(current)</w:t>
            </w:r>
          </w:p>
        </w:tc>
        <w:tc>
          <w:tcPr>
            <w:tcW w:w="1460" w:type="dxa"/>
            <w:vAlign w:val="bottom"/>
          </w:tcPr>
          <w:p>
            <w:pPr>
              <w:jc w:val="right"/>
              <w:ind w:right="323"/>
              <w:spacing w:after="0"/>
              <w:rPr>
                <w:sz w:val="20"/>
                <w:szCs w:val="20"/>
                <w:color w:val="auto"/>
              </w:rPr>
            </w:pPr>
            <w:r>
              <w:rPr>
                <w:rFonts w:ascii="Arial" w:cs="Arial" w:eastAsia="Arial" w:hAnsi="Arial"/>
                <w:sz w:val="14"/>
                <w:szCs w:val="14"/>
                <w:b w:val="1"/>
                <w:bCs w:val="1"/>
                <w:color w:val="auto"/>
              </w:rPr>
              <w:t>(long term)</w:t>
            </w:r>
          </w:p>
        </w:tc>
        <w:tc>
          <w:tcPr>
            <w:tcW w:w="0" w:type="dxa"/>
            <w:vAlign w:val="bottom"/>
          </w:tcPr>
          <w:p>
            <w:pPr>
              <w:spacing w:after="0"/>
              <w:rPr>
                <w:sz w:val="1"/>
                <w:szCs w:val="1"/>
                <w:color w:val="auto"/>
              </w:rPr>
            </w:pPr>
          </w:p>
        </w:tc>
      </w:tr>
      <w:tr>
        <w:trPr>
          <w:trHeight w:val="236"/>
        </w:trPr>
        <w:tc>
          <w:tcPr>
            <w:tcW w:w="51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Opening Balance as of December 31, 2017</w:t>
            </w:r>
          </w:p>
        </w:tc>
        <w:tc>
          <w:tcPr>
            <w:tcW w:w="150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30,342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46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7,584</w:t>
            </w:r>
          </w:p>
        </w:tc>
        <w:tc>
          <w:tcPr>
            <w:tcW w:w="120" w:type="dxa"/>
            <w:vAlign w:val="bottom"/>
          </w:tcPr>
          <w:p>
            <w:pPr>
              <w:spacing w:after="0"/>
              <w:rPr>
                <w:sz w:val="20"/>
                <w:szCs w:val="20"/>
                <w:color w:val="auto"/>
              </w:rPr>
            </w:pPr>
          </w:p>
        </w:tc>
        <w:tc>
          <w:tcPr>
            <w:tcW w:w="1460" w:type="dxa"/>
            <w:vAlign w:val="bottom"/>
            <w:tcBorders>
              <w:top w:val="single" w:sz="8" w:color="auto"/>
              <w:bottom w:val="single" w:sz="8" w:color="CCFFCC"/>
            </w:tcBorders>
            <w:shd w:val="clear" w:color="auto" w:fill="CCFFCC"/>
          </w:tcPr>
          <w:p>
            <w:pPr>
              <w:jc w:val="right"/>
              <w:ind w:right="25"/>
              <w:spacing w:after="0"/>
              <w:rPr>
                <w:sz w:val="20"/>
                <w:szCs w:val="20"/>
                <w:color w:val="auto"/>
              </w:rPr>
            </w:pPr>
            <w:r>
              <w:rPr>
                <w:rFonts w:ascii="Arial" w:cs="Arial" w:eastAsia="Arial" w:hAnsi="Arial"/>
                <w:sz w:val="16"/>
                <w:szCs w:val="16"/>
                <w:color w:val="auto"/>
              </w:rPr>
              <w:t>35,563</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46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Increase (decrease), net</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8,027</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580" w:type="dxa"/>
            <w:vAlign w:val="bottom"/>
            <w:gridSpan w:val="2"/>
          </w:tcPr>
          <w:p>
            <w:pPr>
              <w:jc w:val="right"/>
              <w:ind w:right="25"/>
              <w:spacing w:after="0"/>
              <w:rPr>
                <w:sz w:val="20"/>
                <w:szCs w:val="20"/>
                <w:color w:val="auto"/>
              </w:rPr>
            </w:pPr>
            <w:r>
              <w:rPr>
                <w:rFonts w:ascii="Arial" w:cs="Arial" w:eastAsia="Arial" w:hAnsi="Arial"/>
                <w:sz w:val="16"/>
                <w:szCs w:val="16"/>
                <w:color w:val="auto"/>
              </w:rPr>
              <w:t>16,811</w:t>
            </w:r>
          </w:p>
        </w:tc>
        <w:tc>
          <w:tcPr>
            <w:tcW w:w="120" w:type="dxa"/>
            <w:vAlign w:val="bottom"/>
          </w:tcPr>
          <w:p>
            <w:pPr>
              <w:spacing w:after="0"/>
              <w:rPr>
                <w:sz w:val="20"/>
                <w:szCs w:val="20"/>
                <w:color w:val="auto"/>
              </w:rPr>
            </w:pPr>
          </w:p>
        </w:tc>
        <w:tc>
          <w:tcPr>
            <w:tcW w:w="1460" w:type="dxa"/>
            <w:vAlign w:val="bottom"/>
          </w:tcPr>
          <w:p>
            <w:pPr>
              <w:jc w:val="right"/>
              <w:ind w:right="23"/>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CCFFCC"/>
          </w:tcPr>
          <w:p>
            <w:pPr>
              <w:ind w:left="20"/>
              <w:spacing w:after="0"/>
              <w:rPr>
                <w:sz w:val="20"/>
                <w:szCs w:val="20"/>
                <w:color w:val="auto"/>
              </w:rPr>
            </w:pPr>
            <w:r>
              <w:rPr>
                <w:rFonts w:ascii="Arial" w:cs="Arial" w:eastAsia="Arial" w:hAnsi="Arial"/>
                <w:sz w:val="16"/>
                <w:szCs w:val="16"/>
                <w:color w:val="auto"/>
              </w:rPr>
              <w:t>Ending Balance as of March 31, 2018</w:t>
            </w:r>
          </w:p>
        </w:tc>
        <w:tc>
          <w:tcPr>
            <w:tcW w:w="1500" w:type="dxa"/>
            <w:vAlign w:val="bottom"/>
            <w:shd w:val="clear" w:color="auto" w:fill="CCFFCC"/>
          </w:tcPr>
          <w:p>
            <w:pPr>
              <w:jc w:val="right"/>
              <w:ind w:right="61"/>
              <w:spacing w:after="0"/>
              <w:rPr>
                <w:sz w:val="20"/>
                <w:szCs w:val="20"/>
                <w:color w:val="auto"/>
              </w:rPr>
            </w:pPr>
            <w:r>
              <w:rPr>
                <w:rFonts w:ascii="Arial" w:cs="Arial" w:eastAsia="Arial" w:hAnsi="Arial"/>
                <w:sz w:val="16"/>
                <w:szCs w:val="16"/>
                <w:color w:val="auto"/>
              </w:rPr>
              <w:t>38,369</w:t>
            </w:r>
          </w:p>
        </w:tc>
        <w:tc>
          <w:tcPr>
            <w:tcW w:w="120" w:type="dxa"/>
            <w:vAlign w:val="bottom"/>
            <w:shd w:val="clear" w:color="auto" w:fill="CCFFCC"/>
          </w:tcPr>
          <w:p>
            <w:pPr>
              <w:spacing w:after="0"/>
              <w:rPr>
                <w:sz w:val="21"/>
                <w:szCs w:val="21"/>
                <w:color w:val="auto"/>
              </w:rPr>
            </w:pPr>
          </w:p>
        </w:tc>
        <w:tc>
          <w:tcPr>
            <w:tcW w:w="146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7,528</w:t>
            </w:r>
          </w:p>
        </w:tc>
        <w:tc>
          <w:tcPr>
            <w:tcW w:w="1580" w:type="dxa"/>
            <w:vAlign w:val="bottom"/>
            <w:gridSpan w:val="2"/>
            <w:shd w:val="clear" w:color="auto" w:fill="CCFFCC"/>
          </w:tcPr>
          <w:p>
            <w:pPr>
              <w:jc w:val="right"/>
              <w:ind w:right="25"/>
              <w:spacing w:after="0"/>
              <w:rPr>
                <w:sz w:val="20"/>
                <w:szCs w:val="20"/>
                <w:color w:val="auto"/>
              </w:rPr>
            </w:pPr>
            <w:r>
              <w:rPr>
                <w:rFonts w:ascii="Arial" w:cs="Arial" w:eastAsia="Arial" w:hAnsi="Arial"/>
                <w:sz w:val="16"/>
                <w:szCs w:val="16"/>
                <w:color w:val="auto"/>
              </w:rPr>
              <w:t>52,374</w:t>
            </w:r>
          </w:p>
        </w:tc>
        <w:tc>
          <w:tcPr>
            <w:tcW w:w="120" w:type="dxa"/>
            <w:vAlign w:val="bottom"/>
            <w:shd w:val="clear" w:color="auto" w:fill="CCFFCC"/>
          </w:tcPr>
          <w:p>
            <w:pPr>
              <w:spacing w:after="0"/>
              <w:rPr>
                <w:sz w:val="21"/>
                <w:szCs w:val="21"/>
                <w:color w:val="auto"/>
              </w:rPr>
            </w:pPr>
          </w:p>
        </w:tc>
        <w:tc>
          <w:tcPr>
            <w:tcW w:w="146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expects to recognize the long term performance obligations in 2019.</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4"/>
                <w:szCs w:val="14"/>
                <w:b w:val="1"/>
                <w:bCs w:val="1"/>
                <w:color w:val="auto"/>
              </w:rPr>
              <w:t>Deferred Revenue</w:t>
            </w: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1360" w:type="dxa"/>
            <w:vAlign w:val="bottom"/>
          </w:tcPr>
          <w:p>
            <w:pPr>
              <w:jc w:val="right"/>
              <w:ind w:right="2"/>
              <w:spacing w:after="0" w:line="153" w:lineRule="exact"/>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43,326</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27,011</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Consumer</w:t>
            </w: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60" w:type="dxa"/>
            <w:vAlign w:val="bottom"/>
          </w:tcPr>
          <w:p>
            <w:pPr>
              <w:ind w:left="20"/>
              <w:spacing w:after="0"/>
              <w:rPr>
                <w:sz w:val="20"/>
                <w:szCs w:val="20"/>
                <w:color w:val="auto"/>
              </w:rPr>
            </w:pPr>
            <w:r>
              <w:rPr>
                <w:rFonts w:ascii="Arial" w:cs="Arial" w:eastAsia="Arial" w:hAnsi="Arial"/>
                <w:sz w:val="16"/>
                <w:szCs w:val="16"/>
                <w:color w:val="auto"/>
              </w:rPr>
              <w:t>Professional services</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12,158</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8,552</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Total deferred revenue</w:t>
            </w:r>
          </w:p>
        </w:tc>
        <w:tc>
          <w:tcPr>
            <w:tcW w:w="13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55,484</w:t>
            </w:r>
          </w:p>
        </w:tc>
        <w:tc>
          <w:tcPr>
            <w:tcW w:w="10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35,563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Diluted net loss per common share for the three months ended March 31, 2018 does not include the effect of 10,074,809 outstanding common stock awards, as the effect of their inclusion is anti-dilutive. Diluted net loss per common share for the three months ended March 31, 2017 does not include the effect of 8,566,220 outstanding common stock awards, as the effect of their inclusion is anti-dilutive.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480" w:type="dxa"/>
            <w:vAlign w:val="bottom"/>
            <w:gridSpan w:val="3"/>
          </w:tcPr>
          <w:p>
            <w:pPr>
              <w:jc w:val="center"/>
              <w:ind w:left="100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r>
      <w:tr>
        <w:trPr>
          <w:trHeight w:val="276"/>
        </w:trPr>
        <w:tc>
          <w:tcPr>
            <w:tcW w:w="7880" w:type="dxa"/>
            <w:vAlign w:val="bottom"/>
          </w:tcPr>
          <w:p>
            <w:pPr>
              <w:spacing w:after="0"/>
              <w:rPr>
                <w:sz w:val="24"/>
                <w:szCs w:val="24"/>
                <w:color w:val="auto"/>
              </w:rPr>
            </w:pPr>
          </w:p>
        </w:tc>
        <w:tc>
          <w:tcPr>
            <w:tcW w:w="2480" w:type="dxa"/>
            <w:vAlign w:val="bottom"/>
            <w:tcBorders>
              <w:bottom w:val="single" w:sz="8" w:color="auto"/>
            </w:tcBorders>
            <w:gridSpan w:val="3"/>
          </w:tcPr>
          <w:p>
            <w:pPr>
              <w:jc w:val="center"/>
              <w:ind w:left="1003"/>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788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2017</w:t>
            </w:r>
          </w:p>
        </w:tc>
      </w:tr>
      <w:tr>
        <w:trPr>
          <w:trHeight w:val="236"/>
        </w:trPr>
        <w:tc>
          <w:tcPr>
            <w:tcW w:w="78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57,309,707</w:t>
            </w:r>
          </w:p>
        </w:tc>
        <w:tc>
          <w:tcPr>
            <w:tcW w:w="10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55,975,093</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2480" w:type="dxa"/>
            <w:vAlign w:val="bottom"/>
            <w:gridSpan w:val="3"/>
          </w:tcPr>
          <w:p>
            <w:pPr>
              <w:jc w:val="right"/>
              <w:ind w:right="8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88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57,309,707</w:t>
            </w:r>
          </w:p>
        </w:tc>
        <w:tc>
          <w:tcPr>
            <w:tcW w:w="10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55,975,093</w:t>
            </w:r>
          </w:p>
        </w:tc>
      </w:tr>
      <w:tr>
        <w:trPr>
          <w:trHeight w:val="20"/>
        </w:trPr>
        <w:tc>
          <w:tcPr>
            <w:tcW w:w="78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2018,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47,427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47,427</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4,680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4,680</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6,134</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53,561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4,680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58,241</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13,954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21,723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24,131</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23,553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23,553</w:t>
            </w:r>
          </w:p>
        </w:tc>
      </w:tr>
      <w:tr>
        <w:trPr>
          <w:trHeight w:val="244"/>
        </w:trPr>
        <w:tc>
          <w:tcPr>
            <w:tcW w:w="61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18,496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(3,821)</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41,493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41,493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4,170</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5,256</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46,749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50,919</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13,781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19,543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2,157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21,700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472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19,890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19,890</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13,828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(4,924)</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Israel, United Kingdom, Asia-Pacific, Latin America and Western Europe, particularly France and Germany. The following table presents the Company’s long-lived assets by geographic region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98,279</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95,716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13,079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9,276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9,504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8,252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8,363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3,203</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3,293</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132,273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129,955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March 31, 2018 and December 31, 2017.</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2018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2017</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72,507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80,531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64</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March 31, 2018</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72,571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80,595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March 31, 2018</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29,090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(22,554)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15,984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(10,788)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5,196</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49,768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12,937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27,882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(22,197)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5,685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15,978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(10,457)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48,470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12,366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5" w:name="page16"/>
    <w:bookmarkEnd w:id="15"/>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$0.7 million and $1.4 million for the three months ended March 31, 2018 and 2017, respectively. For the three months ended March 31, 2018 and 2017, respectively, a portion of this amortization is included in cost of revenue. Estimated amortization expense for the next five years is as follows (amounts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2018</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2,134</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2,639</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2,450</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2,234</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1,889</w:t>
            </w:r>
          </w:p>
        </w:tc>
      </w:tr>
      <w:tr>
        <w:trPr>
          <w:trHeight w:val="224"/>
        </w:trPr>
        <w:tc>
          <w:tcPr>
            <w:tcW w:w="93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1,591</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12,937</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Company acquired the employees and technology assets of BotCentral,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$1.2 million is included in "Intangibles, net" on the Company's March 31, 2018 condensed consolidated balance sheets. While an active participant in the LiveEngage for Bots partner program, the BotCentral team created a number of bot solutions for major brands in banking, insurance, and travel, running on LivePerson's conversational platform. With the team's expertise and knowledge of the LiveEngage platform, the team will bring valuable insight for LivePerson's customers and partners, and enable the company to more rapidly optimize its bot deployment capabilities, and grow the ecosystem.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FFCC"/>
            </w:tcBorders>
          </w:tcPr>
          <w:p>
            <w:pPr>
              <w:spacing w:after="0"/>
              <w:rPr>
                <w:sz w:val="16"/>
                <w:szCs w:val="16"/>
                <w:color w:val="auto"/>
              </w:rPr>
            </w:pPr>
          </w:p>
        </w:tc>
        <w:tc>
          <w:tcPr>
            <w:tcW w:w="37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40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105,478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100,392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FFCC"/>
            </w:tcBorders>
            <w:shd w:val="clear" w:color="auto" w:fill="CCFFCC"/>
          </w:tcPr>
          <w:p>
            <w:pPr>
              <w:spacing w:after="0"/>
              <w:rPr>
                <w:sz w:val="21"/>
                <w:szCs w:val="21"/>
                <w:color w:val="auto"/>
              </w:rPr>
            </w:pPr>
          </w:p>
        </w:tc>
        <w:tc>
          <w:tcPr>
            <w:tcW w:w="37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119,189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113,938</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(79,233)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36,328</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3740" w:type="dxa"/>
            <w:vAlign w:val="bottom"/>
            <w:tcBorders>
              <w:top w:val="single" w:sz="8" w:color="CCFFCC"/>
              <w:bottom w:val="single" w:sz="8" w:color="CCFFCC"/>
            </w:tcBorders>
            <w:vMerge w:val="restart"/>
          </w:tcPr>
          <w:p>
            <w:pPr>
              <w:jc w:val="right"/>
              <w:ind w:right="245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12,556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16,431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15,674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2,348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4,924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5,259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(see Note 11)</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3,385</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38,211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48,011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2018 and December 31, 2017, are summarized as follows (amounts in thousands). The Company’s restricted cash balance of $0.2 million at March 31, 2018 and $1.5 million at December 31, 2017 is not held in a money market account and is not included in the following table.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2,811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2,811</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2,811</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2,811</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2,871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fair value. Observable or market inputs reflect market data obtained from independent sources, while unobservable inputs reflect the Company’s assumptions based on the best information available.</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$0.2 million at March 31, 2018 and $1.5 million at December 31, 2017, which is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FFCC"/>
            </w:tcBorders>
            <w:shd w:val="clear" w:color="auto" w:fill="CCFFCC"/>
          </w:tcPr>
          <w:p>
            <w:pPr>
              <w:ind w:left="1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9"/>
              </w:rPr>
              <w:t>Fair Value of Derivative Instruments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2018</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2017</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5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60" w:type="dxa"/>
            <w:vAlign w:val="bottom"/>
            <w:tcBorders>
              <w:top w:val="single" w:sz="8" w:color="auto"/>
              <w:bottom w:val="single" w:sz="8" w:color="CCFFCC"/>
            </w:tcBorders>
            <w:shd w:val="clear" w:color="auto" w:fill="CCFFCC"/>
          </w:tcPr>
          <w:p>
            <w:pPr>
              <w:spacing w:after="0"/>
              <w:rPr>
                <w:sz w:val="21"/>
                <w:szCs w:val="21"/>
                <w:color w:val="auto"/>
              </w:rPr>
            </w:pPr>
          </w:p>
        </w:tc>
        <w:tc>
          <w:tcPr>
            <w:tcW w:w="4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FFCC"/>
          </w:tcPr>
          <w:p>
            <w:pPr>
              <w:ind w:left="1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bottom w:val="single" w:sz="8" w:color="CCFFCC"/>
            </w:tcBorders>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16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5340" w:type="dxa"/>
            <w:vAlign w:val="bottom"/>
            <w:tcBorders>
              <w:bottom w:val="single" w:sz="8" w:color="auto"/>
            </w:tcBorders>
            <w:gridSpan w:val="7"/>
          </w:tcPr>
          <w:p>
            <w:pPr>
              <w:jc w:val="right"/>
              <w:ind w:right="143"/>
              <w:spacing w:after="0"/>
              <w:rPr>
                <w:sz w:val="20"/>
                <w:szCs w:val="20"/>
                <w:color w:val="auto"/>
              </w:rPr>
            </w:pPr>
            <w:r>
              <w:rPr>
                <w:rFonts w:ascii="Arial" w:cs="Arial" w:eastAsia="Arial" w:hAnsi="Arial"/>
                <w:sz w:val="14"/>
                <w:szCs w:val="14"/>
                <w:b w:val="1"/>
                <w:bCs w:val="1"/>
                <w:color w:val="auto"/>
                <w:w w:val="95"/>
              </w:rPr>
              <w:t>Gain (losses) on Derivative Instruments Recognized in Statements of Operations</w:t>
            </w:r>
          </w:p>
        </w:tc>
      </w:tr>
      <w:tr>
        <w:trPr>
          <w:trHeight w:val="264"/>
        </w:trPr>
        <w:tc>
          <w:tcPr>
            <w:tcW w:w="608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08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8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175</w:t>
            </w:r>
          </w:p>
        </w:tc>
      </w:tr>
      <w:tr>
        <w:trPr>
          <w:trHeight w:val="20"/>
        </w:trPr>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March 31, 2018 and 2017 was approximately $2.3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$0.5 million of employer matching contributions for the three months ended March 31, 2018. Salaries and related expenses include $0.4 million of employer matching contributions for the three months ended March 31,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months ended March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there were 100,000,000 shares of common stock authorized, and 60,537,707 shares issued and outstanding. As of December 31, 2017, there were 100,000,000 shares of common stock authorized, and 59,663,969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and December 31, 2017, there were 5,000,000 shares of preferred stock authorized, and zero shares issued and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preferred shares is $0.001.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There were 93,750 shares repurchased under this program during the three months ended March 31, 2018, which were recorded in treasury stock at par on the condensed consolidated balance sheets as of March 31, 2018. As of March 31, 2018, approximately $17.1 million remained available for purchase under the program.</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three months ended March 31, 2018 and 2017 was $5.74 and $2.92, respectively. The fair value of each option grant is estimated on the date of grant using the Black-Scholes option-pricing model with the following weighted average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3"/>
          </w:tcPr>
          <w:p>
            <w:pPr>
              <w:jc w:val="center"/>
              <w:ind w:left="16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0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2017</w:t>
            </w:r>
          </w:p>
        </w:tc>
      </w:tr>
      <w:tr>
        <w:trPr>
          <w:trHeight w:val="236"/>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461"/>
              <w:spacing w:after="0"/>
              <w:rPr>
                <w:sz w:val="20"/>
                <w:szCs w:val="20"/>
                <w:color w:val="auto"/>
              </w:rPr>
            </w:pPr>
            <w:r>
              <w:rPr>
                <w:rFonts w:ascii="Arial" w:cs="Arial" w:eastAsia="Arial" w:hAnsi="Arial"/>
                <w:sz w:val="16"/>
                <w:szCs w:val="16"/>
                <w:color w:val="auto"/>
                <w:w w:val="93"/>
              </w:rPr>
              <w:t>0.0%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920" w:type="dxa"/>
            <w:vAlign w:val="bottom"/>
          </w:tcPr>
          <w:p>
            <w:pPr>
              <w:ind w:left="40"/>
              <w:spacing w:after="0"/>
              <w:rPr>
                <w:sz w:val="20"/>
                <w:szCs w:val="20"/>
                <w:color w:val="auto"/>
              </w:rPr>
            </w:pPr>
            <w:r>
              <w:rPr>
                <w:rFonts w:ascii="Arial" w:cs="Arial" w:eastAsia="Arial" w:hAnsi="Arial"/>
                <w:sz w:val="16"/>
                <w:szCs w:val="16"/>
                <w:color w:val="auto"/>
              </w:rPr>
              <w:t>- 2.7%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3"/>
              </w:rPr>
              <w:t>1.9%</w:t>
            </w:r>
          </w:p>
        </w:tc>
      </w:tr>
      <w:tr>
        <w:trPr>
          <w:trHeight w:val="33"/>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47.9%</w:t>
            </w:r>
          </w:p>
        </w:tc>
        <w:tc>
          <w:tcPr>
            <w:tcW w:w="920" w:type="dxa"/>
            <w:vAlign w:val="bottom"/>
          </w:tcPr>
          <w:p>
            <w:pPr>
              <w:ind w:left="40"/>
              <w:spacing w:after="0"/>
              <w:rPr>
                <w:sz w:val="20"/>
                <w:szCs w:val="20"/>
                <w:color w:val="auto"/>
              </w:rPr>
            </w:pPr>
            <w:r>
              <w:rPr>
                <w:rFonts w:ascii="Arial" w:cs="Arial" w:eastAsia="Arial" w:hAnsi="Arial"/>
                <w:sz w:val="16"/>
                <w:szCs w:val="16"/>
                <w:color w:val="auto"/>
              </w:rPr>
              <w:t>- 48.2%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2"/>
              </w:rPr>
              <w:t>47.0%</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March 31, 2018, approximately 3.9 million shares of common stock were reserved for issuance under the Amended 2009 Plan (taking into account all option exercises and other equity award settlements through March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March 31, 2018, approximately 1.0 million shares of common stock were reserved for issuance under the Employee Stock Purchase Plan (taking into account all share purchases through March 31, 2018).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incentive stock options or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thereby reserving for issuance 2,000,000 shares of common stock in the aggregate. As of March 31, 2018, approximately 0.3 million shares of common stock were reserved for issuance under the Amended 2018 Plan (taking into account all option exercises and other equity award settlements through March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7,959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March 31,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8,428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43,795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7,355</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38,459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March 31, 2018</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4,661</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23,614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three months ended March 31, 2018 was approximately $3.3 million. As of March 31, 2018, there was approximately $15.6 million of total unrecognized compensation cost related to nonvested share-based compensation arrangements. That cost is expected to be recognized over a weighted average period of approximately 3.0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March 31, 2018:</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$1.79</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$7.33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854</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4.71</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616</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5.85</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$7.45</w:t>
            </w:r>
          </w:p>
        </w:tc>
        <w:tc>
          <w:tcPr>
            <w:tcW w:w="1660" w:type="dxa"/>
            <w:vAlign w:val="bottom"/>
          </w:tcPr>
          <w:p>
            <w:pPr>
              <w:ind w:left="20"/>
              <w:spacing w:after="0"/>
              <w:rPr>
                <w:sz w:val="20"/>
                <w:szCs w:val="20"/>
                <w:color w:val="auto"/>
              </w:rPr>
            </w:pPr>
            <w:r>
              <w:rPr>
                <w:rFonts w:ascii="Arial" w:cs="Arial" w:eastAsia="Arial" w:hAnsi="Arial"/>
                <w:sz w:val="16"/>
                <w:szCs w:val="16"/>
                <w:color w:val="auto"/>
              </w:rPr>
              <w:t>- $7.60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8.32</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7.55</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$7.95</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$9.55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1,058</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6.16</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9.18</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$9.90</w:t>
            </w:r>
          </w:p>
        </w:tc>
        <w:tc>
          <w:tcPr>
            <w:tcW w:w="1660" w:type="dxa"/>
            <w:vAlign w:val="bottom"/>
          </w:tcPr>
          <w:p>
            <w:pPr>
              <w:ind w:left="20"/>
              <w:spacing w:after="0"/>
              <w:rPr>
                <w:sz w:val="20"/>
                <w:szCs w:val="20"/>
                <w:color w:val="auto"/>
              </w:rPr>
            </w:pPr>
            <w:r>
              <w:rPr>
                <w:rFonts w:ascii="Arial" w:cs="Arial" w:eastAsia="Arial" w:hAnsi="Arial"/>
                <w:sz w:val="16"/>
                <w:szCs w:val="16"/>
                <w:color w:val="auto"/>
              </w:rPr>
              <w:t>- $10.13</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5.43</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10.09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$10.31 - $11.95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855</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7.33</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11.03</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$11.96 -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3.31</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12.16</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$12.45 - $12.45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930</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9.88</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$12.46 - $13.37</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984</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4.12</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13.19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$13.59- $15.55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914</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8.89</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13.59</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$15.66 -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837</w:t>
            </w:r>
          </w:p>
        </w:tc>
        <w:tc>
          <w:tcPr>
            <w:tcW w:w="26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w w:val="96"/>
              </w:rPr>
              <w:t>3.80</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17.13</w:t>
            </w:r>
          </w:p>
        </w:tc>
      </w:tr>
      <w:tr>
        <w:trPr>
          <w:trHeight w:val="209"/>
        </w:trPr>
        <w:tc>
          <w:tcPr>
            <w:tcW w:w="420" w:type="dxa"/>
            <w:vAlign w:val="bottom"/>
            <w:tcBorders>
              <w:bottom w:val="single" w:sz="8" w:color="CCFFCC"/>
            </w:tcBorders>
          </w:tcPr>
          <w:p>
            <w:pPr>
              <w:spacing w:after="0"/>
              <w:rPr>
                <w:sz w:val="18"/>
                <w:szCs w:val="18"/>
                <w:color w:val="auto"/>
              </w:rPr>
            </w:pPr>
          </w:p>
        </w:tc>
        <w:tc>
          <w:tcPr>
            <w:tcW w:w="1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CCFFCC"/>
            </w:tcBorders>
          </w:tcPr>
          <w:p>
            <w:pPr>
              <w:spacing w:after="0"/>
              <w:rPr>
                <w:sz w:val="18"/>
                <w:szCs w:val="18"/>
                <w:color w:val="auto"/>
              </w:rPr>
            </w:pPr>
          </w:p>
        </w:tc>
        <w:tc>
          <w:tcPr>
            <w:tcW w:w="48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44"/>
        </w:trPr>
        <w:tc>
          <w:tcPr>
            <w:tcW w:w="4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8,427</w:t>
            </w:r>
          </w:p>
        </w:tc>
        <w:tc>
          <w:tcPr>
            <w:tcW w:w="264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96"/>
              </w:rPr>
              <w:t>6.46</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4,661</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11.43</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2017</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March 31, 2018</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1,647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23,935</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21,219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four-year period or upon achievement of certain performance conditions. In accordance with ASU 2017-09, as of March 31, 2018, total unrecognized compensation cost, adjusted for estimated forfeitures, related to nonvested RSUs was approximately $17.1 million and the weighted-average remaining vesting period was 2.6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restructuring costs related to wind-down and severance costs associated with re-prioritizing and reallocating resources to focus on areas showing high growth potential. The expense associated with this restructuring was approximately $0.2 million during the three months ended March 31, 2018 and 2017. The restructuring liability was approximately $1.5 million as of March 31, 2018 and $2.3 million as of December 31, 2017. It is classified as accrued expenses and other current liabilities on the condensed consolidated balance sheets.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648</w:t>
            </w:r>
          </w:p>
        </w:tc>
      </w:tr>
      <w:tr>
        <w:trPr>
          <w:trHeight w:val="33"/>
        </w:trPr>
        <w:tc>
          <w:tcPr>
            <w:tcW w:w="6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(2,807)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1,946</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1,485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2,338</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the detail of expenses for the Company's restructuring charges for the three months ended March 31, 2018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March 31, 2017</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0" w:type="dxa"/>
            <w:vAlign w:val="bottom"/>
            <w:tcBorders>
              <w:bottom w:val="single" w:sz="8" w:color="CCFFCC"/>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130</w:t>
            </w:r>
          </w:p>
        </w:tc>
      </w:tr>
      <w:tr>
        <w:trPr>
          <w:trHeight w:val="33"/>
        </w:trPr>
        <w:tc>
          <w:tcPr>
            <w:tcW w:w="6740" w:type="dxa"/>
            <w:vAlign w:val="bottom"/>
            <w:tcBorders>
              <w:bottom w:val="single" w:sz="8" w:color="CCFFC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00" w:type="dxa"/>
            <w:vAlign w:val="bottom"/>
            <w:tcBorders>
              <w:bottom w:val="single" w:sz="8" w:color="auto"/>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240</w:t>
            </w:r>
          </w:p>
        </w:tc>
      </w:tr>
      <w:tr>
        <w:trPr>
          <w:trHeight w:val="20"/>
        </w:trPr>
        <w:tc>
          <w:tcPr>
            <w:tcW w:w="6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District of California for all pre-trial purposes. Recent court rulings in the Company’s favor have invalidated multiple [24]7 patents that were asserted in the patent cases. Trial for the Company’s intellectual property and other claims asserted against [24]7 in the original litigation is currently set for November 26, 2018. The Company believes the claims filed by [24]7 are without merit and intends to defend them vigorously.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LivePerson makes life easier by transforming how people communicate with brands.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 More than 18,000 businesses, including Adobe, Citibank, EE, HSBC, IBM, L'Oreal, Orange, PNC, and The Home Depot employ our technology to keep pace with rising customer service expectations and to align with preferences for digital communication channels.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transform how people communicate with brands. To accomplish this, we are focused on the following current initiatives: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key ways we are developing our market position is by hosting customer summits for executive level attendees from our targeted enterprise customer base and prospects. These customer summits feature existing customers that have demonstrated strong success with messaging and bots on LiveEngage. We believe that scaled reference customers advocating the adoption of messaging on LiveEngage to targeted peer groups will be a key driver of our growth. In 2017 we increased the pacing and scale of these summits, a pattern that we expect to continue in 2018.</w:t>
      </w:r>
    </w:p>
    <w:p>
      <w:pPr>
        <w:spacing w:after="0" w:line="63" w:lineRule="exact"/>
        <w:rPr>
          <w:sz w:val="20"/>
          <w:szCs w:val="20"/>
          <w:color w:val="auto"/>
        </w:rPr>
      </w:pPr>
    </w:p>
    <w:p>
      <w:pPr>
        <w:jc w:val="both"/>
        <w:ind w:firstLine="333"/>
        <w:spacing w:after="0" w:line="257" w:lineRule="auto"/>
        <w:rPr>
          <w:sz w:val="20"/>
          <w:szCs w:val="20"/>
          <w:color w:val="auto"/>
        </w:rPr>
      </w:pPr>
      <w:r>
        <w:rPr>
          <w:rFonts w:ascii="Arial" w:cs="Arial" w:eastAsia="Arial" w:hAnsi="Arial"/>
          <w:sz w:val="18"/>
          <w:szCs w:val="18"/>
          <w:b w:val="1"/>
          <w:bCs w:val="1"/>
          <w:i w:val="1"/>
          <w:iCs w:val="1"/>
          <w:color w:val="auto"/>
        </w:rPr>
        <w:t xml:space="preserve">Fuel Increased Usage by Expanding Messaging Channels, Use Cases and Interaction Types. </w:t>
      </w:r>
      <w:r>
        <w:rPr>
          <w:rFonts w:ascii="Arial" w:cs="Arial" w:eastAsia="Arial" w:hAnsi="Arial"/>
          <w:sz w:val="18"/>
          <w:szCs w:val="18"/>
          <w:color w:val="auto"/>
        </w:rPr>
        <w:t>LiveEngage currently supports numerous messaging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endpoints including branded mobile apps, mobile and desktop web browsers, IVRs, SMS, Facebook Messenger and LINE. We intend to increase the number of endpoints supported by the LiveEngage platform to include additional third-party social apps and device-based systems. We also intend to broaden the use cases of LiveEngage across our customer base, to support care, sales, marketing and retail footprints. In addition, LivePerson continues to expand the breadth of interaction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302" w:lineRule="auto"/>
        <w:rPr>
          <w:sz w:val="20"/>
          <w:szCs w:val="20"/>
          <w:color w:val="auto"/>
        </w:rPr>
      </w:pPr>
      <w:r>
        <w:rPr>
          <w:rFonts w:ascii="Arial" w:cs="Arial" w:eastAsia="Arial" w:hAnsi="Arial"/>
          <w:sz w:val="16"/>
          <w:szCs w:val="16"/>
          <w:color w:val="auto"/>
        </w:rPr>
        <w:t>types available to customers on the platform. For example, in addition to our broad suite of messaging and real-time chat technologies, customers have access to content delivery, analytics, cobrowse, and PCI compliance, as well as proprietary and third-party bot offerings. LivePerson offers a platform pricing model, which provides businesses access to our entire suite of messaging technologies across their entire agent pool for a pre-negotiated cost per interaction. We believe this model will lead to growth opportunities for LivePerson as customers adopt new messaging channels, use cases and interaction types.</w:t>
      </w:r>
    </w:p>
    <w:p>
      <w:pPr>
        <w:spacing w:after="0" w:line="46" w:lineRule="exact"/>
        <w:rPr>
          <w:sz w:val="20"/>
          <w:szCs w:val="20"/>
          <w:color w:val="auto"/>
        </w:rPr>
      </w:pPr>
    </w:p>
    <w:p>
      <w:pPr>
        <w:jc w:val="both"/>
        <w:ind w:firstLine="234"/>
        <w:spacing w:after="0" w:line="276" w:lineRule="auto"/>
        <w:rPr>
          <w:sz w:val="20"/>
          <w:szCs w:val="20"/>
          <w:color w:val="auto"/>
        </w:rPr>
      </w:pPr>
      <w:r>
        <w:rPr>
          <w:rFonts w:ascii="Arial" w:cs="Arial" w:eastAsia="Arial" w:hAnsi="Arial"/>
          <w:sz w:val="17"/>
          <w:szCs w:val="17"/>
          <w:b w:val="1"/>
          <w:bCs w:val="1"/>
          <w:i w:val="1"/>
          <w:iCs w:val="1"/>
          <w:color w:val="auto"/>
        </w:rPr>
        <w:t xml:space="preserve">Leverage Partners to Enhance our Offering. </w:t>
      </w:r>
      <w:r>
        <w:rPr>
          <w:rFonts w:ascii="Arial" w:cs="Arial" w:eastAsia="Arial" w:hAnsi="Arial"/>
          <w:sz w:val="17"/>
          <w:szCs w:val="17"/>
          <w:color w:val="auto"/>
        </w:rPr>
        <w:t>In addition to developing our own applications, we continue to cultivate a partner eco-system capable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additional applications and services to our customers. For example, in 2015, we integrated LiveEngage with one of the leading consumer messaging platforms. In 2016, we integrated LiveEngage with one of the leading mobile search ad extensions, enabling consumers to initiate SMS messaging conversations with brands directly out of their mobile search results. In 2017, LivePerson launched the LiveEngage for Bots program and we have subsequently integrated LiveEngage with multiple artificial intelligence/bots vendors, including IBM Watson.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offering is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 In 2017, we allocated additional resources to supporting partners and we expect this investment to increase as our partner network expands.</w:t>
      </w:r>
    </w:p>
    <w:p>
      <w:pPr>
        <w:spacing w:after="0" w:line="85"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In order to better support our customers and to attract the best talent, LivePerson is globalizing research and development. We now have tech centers in Israel; Mannheim, Germany; New York; Atlanta and Mountain View, California.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sz w:val="20"/>
          <w:szCs w:val="20"/>
          <w:color w:val="auto"/>
        </w:rPr>
      </w:pPr>
    </w:p>
    <w:p>
      <w:pPr>
        <w:jc w:val="both"/>
        <w:ind w:firstLine="522"/>
        <w:spacing w:after="0" w:line="312" w:lineRule="auto"/>
        <w:rPr>
          <w:sz w:val="20"/>
          <w:szCs w:val="20"/>
          <w:color w:val="auto"/>
        </w:rPr>
      </w:pPr>
      <w:r>
        <w:rPr>
          <w:rFonts w:ascii="Arial" w:cs="Arial" w:eastAsia="Arial" w:hAnsi="Arial"/>
          <w:sz w:val="16"/>
          <w:szCs w:val="16"/>
          <w:b w:val="1"/>
          <w:bCs w:val="1"/>
          <w:i w:val="1"/>
          <w:iCs w:val="1"/>
          <w:color w:val="auto"/>
        </w:rPr>
        <w:t xml:space="preserve">International Presence. </w:t>
      </w:r>
      <w:r>
        <w:rPr>
          <w:rFonts w:ascii="Arial" w:cs="Arial" w:eastAsia="Arial" w:hAnsi="Arial"/>
          <w:sz w:val="16"/>
          <w:szCs w:val="16"/>
          <w:color w:val="auto"/>
        </w:rPr>
        <w:t>LivePerson is focused on expanding its international revenue contribution, which increased to 37% of total revenue in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in 2016 and 33% in 2015. LivePerson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603"/>
        <w:spacing w:after="0" w:line="289"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We continue to develop relationships with the media, industry analysts and relevant business associations to enhance awareness of our leadership within the care, sales, tech and marketing industries. With a vision of becoming the leader in messaging, we’ve hosted several private executive events for our customers and prospects, highlighting our expertise and the breadth of our services. These private executive events have led us to close several high-profile deals and we are continuing them throughout 2018. Our focus on connecting large enterprise businesses and their millions of consumers securely and at scale is a primary differentiator for LivePerson and a key component of our marketing strategy. We strategically target decision makers and influencers within several key vertical markets, leveraging customer successes to generate increased awareness and demand for brand-to-consumer messaging. In addition, our brand name may also be visible to both business users and consumers on a brand’s website, within the dialog messaging window. We also engage in digital marketing campaigns that promote our brand on web searches and third-party sites.</w:t>
      </w:r>
    </w:p>
    <w:p>
      <w:pPr>
        <w:spacing w:after="0" w:line="5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Leveraging LiveEngage to shift communication between consumers and brands from 1-800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calls to AI and human-powered messaging is the most important initiative in LivePerson's history. We believe that adoption of LiveEngage will align brands with consumer communication preferences, improve the customer experience and reduce contact center costs.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have in the past, and may from time to time in the future, engage in discussions regarding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or strategic transactions or to acquire other companies that can accelerate our growth or broaden our product offerings, we currently have no binding commitments with respect to any future acquisitions or strategic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2018 compared to the three months ended March 31, 2017:</w:t>
      </w:r>
    </w:p>
    <w:p>
      <w:pPr>
        <w:spacing w:after="0" w:line="117"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 increased 14% to $58.2 million from $50.9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our Business segment increased 15% to $53.6 million from $46.7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profit margin increased to 76% from 73%.</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and expenses increased 11% to $62.1 million from $55.8 million.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decreased to $3.2 million from net loss of $5.7 million.</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$240,000 over the trailing twelve months ended March 31, 2018, as compared to greater than $200,000 for the trailing twelve months ended March 31, 2017.</w:t>
      </w:r>
    </w:p>
    <w:p>
      <w:pPr>
        <w:spacing w:after="0" w:line="8"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revenue retention rate for full service customers on LiveEngage was greater than 100% over the trailing twelve months ended March 31, 2018, continuing the trend of 100% plus revenue retention that we reported in 2017. Revenue retention rate measures the percentage of revenue retained at quarter end, from full service customers that were on LiveEngage at the same period a year ago.</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w w:val="98"/>
              </w:rPr>
              <w:t>Three Months Ended March 31,</w:t>
            </w:r>
          </w:p>
        </w:tc>
        <w:tc>
          <w:tcPr>
            <w:tcW w:w="340" w:type="dxa"/>
            <w:vAlign w:val="bottom"/>
          </w:tcPr>
          <w:p>
            <w:pPr>
              <w:spacing w:after="0"/>
              <w:rPr>
                <w:sz w:val="16"/>
                <w:szCs w:val="16"/>
                <w:color w:val="auto"/>
              </w:rPr>
            </w:pPr>
          </w:p>
        </w:tc>
      </w:tr>
      <w:tr>
        <w:trPr>
          <w:trHeight w:val="263"/>
        </w:trPr>
        <w:tc>
          <w:tcPr>
            <w:tcW w:w="8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2"/>
                <w:szCs w:val="22"/>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8580" w:type="dxa"/>
            <w:vAlign w:val="bottom"/>
            <w:shd w:val="clear" w:color="auto" w:fill="CCFFCC"/>
          </w:tcPr>
          <w:p>
            <w:pPr>
              <w:ind w:left="40"/>
              <w:spacing w:after="0"/>
              <w:rPr>
                <w:sz w:val="20"/>
                <w:szCs w:val="20"/>
                <w:color w:val="auto"/>
              </w:rPr>
            </w:pPr>
            <w:r>
              <w:rPr>
                <w:rFonts w:ascii="Arial" w:cs="Arial" w:eastAsia="Arial" w:hAnsi="Arial"/>
                <w:sz w:val="14"/>
                <w:szCs w:val="14"/>
                <w:color w:val="auto"/>
              </w:rPr>
              <w:t>GAAP net loss</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(3,203)</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(5,676)</w:t>
            </w:r>
          </w:p>
        </w:tc>
        <w:tc>
          <w:tcPr>
            <w:tcW w:w="340" w:type="dxa"/>
            <w:vAlign w:val="bottom"/>
            <w:shd w:val="clear" w:color="auto" w:fill="CCFFCC"/>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1,431</w:t>
            </w:r>
          </w:p>
        </w:tc>
        <w:tc>
          <w:tcPr>
            <w:tcW w:w="340" w:type="dxa"/>
            <w:vAlign w:val="bottom"/>
          </w:tcPr>
          <w:p>
            <w:pPr>
              <w:spacing w:after="0"/>
              <w:rPr>
                <w:sz w:val="22"/>
                <w:szCs w:val="22"/>
                <w:color w:val="auto"/>
              </w:rPr>
            </w:pPr>
          </w:p>
        </w:tc>
      </w:tr>
      <w:tr>
        <w:trPr>
          <w:trHeight w:val="276"/>
        </w:trPr>
        <w:tc>
          <w:tcPr>
            <w:tcW w:w="858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2,438</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1,913</w:t>
            </w:r>
          </w:p>
        </w:tc>
        <w:tc>
          <w:tcPr>
            <w:tcW w:w="340" w:type="dxa"/>
            <w:vAlign w:val="bottom"/>
            <w:shd w:val="clear" w:color="auto" w:fill="CCFFCC"/>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3,357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340" w:type="dxa"/>
            <w:vAlign w:val="bottom"/>
          </w:tcPr>
          <w:p>
            <w:pPr>
              <w:spacing w:after="0"/>
              <w:rPr>
                <w:sz w:val="22"/>
                <w:szCs w:val="22"/>
                <w:color w:val="auto"/>
              </w:rPr>
            </w:pPr>
          </w:p>
        </w:tc>
      </w:tr>
      <w:tr>
        <w:trPr>
          <w:trHeight w:val="222"/>
        </w:trPr>
        <w:tc>
          <w:tcPr>
            <w:tcW w:w="858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18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1,270</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(1)</w:t>
            </w:r>
          </w:p>
        </w:tc>
        <w:tc>
          <w:tcPr>
            <w:tcW w:w="26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1,824</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(2)</w:t>
            </w:r>
          </w:p>
        </w:tc>
      </w:tr>
      <w:tr>
        <w:trPr>
          <w:trHeight w:val="210"/>
        </w:trPr>
        <w:tc>
          <w:tcPr>
            <w:tcW w:w="858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18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(4)</w:t>
            </w:r>
          </w:p>
        </w:tc>
      </w:tr>
      <w:tr>
        <w:trPr>
          <w:trHeight w:val="276"/>
        </w:trPr>
        <w:tc>
          <w:tcPr>
            <w:tcW w:w="8580" w:type="dxa"/>
            <w:vAlign w:val="bottom"/>
            <w:shd w:val="clear" w:color="auto" w:fill="CCFFCC"/>
          </w:tcPr>
          <w:p>
            <w:pPr>
              <w:ind w:left="280"/>
              <w:spacing w:after="0"/>
              <w:rPr>
                <w:sz w:val="20"/>
                <w:szCs w:val="20"/>
                <w:color w:val="auto"/>
              </w:rPr>
            </w:pPr>
            <w:r>
              <w:rPr>
                <w:rFonts w:ascii="Arial" w:cs="Arial" w:eastAsia="Arial" w:hAnsi="Arial"/>
                <w:sz w:val="14"/>
                <w:szCs w:val="14"/>
                <w:color w:val="auto"/>
              </w:rPr>
              <w:t>(Benefit from) provision for income taxes</w:t>
            </w:r>
          </w:p>
        </w:tc>
        <w:tc>
          <w:tcPr>
            <w:tcW w:w="180" w:type="dxa"/>
            <w:vAlign w:val="bottom"/>
            <w:shd w:val="clear" w:color="auto" w:fill="CCFFCC"/>
          </w:tcPr>
          <w:p>
            <w:pPr>
              <w:spacing w:after="0"/>
              <w:rPr>
                <w:sz w:val="24"/>
                <w:szCs w:val="24"/>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(489)</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1,072</w:t>
            </w:r>
          </w:p>
        </w:tc>
        <w:tc>
          <w:tcPr>
            <w:tcW w:w="340" w:type="dxa"/>
            <w:vAlign w:val="bottom"/>
            <w:shd w:val="clear" w:color="auto" w:fill="CCFFCC"/>
          </w:tcPr>
          <w:p>
            <w:pPr>
              <w:spacing w:after="0"/>
              <w:rPr>
                <w:sz w:val="24"/>
                <w:szCs w:val="24"/>
                <w:color w:val="auto"/>
              </w:rPr>
            </w:pPr>
          </w:p>
        </w:tc>
      </w:tr>
      <w:tr>
        <w:trPr>
          <w:trHeight w:val="264"/>
        </w:trPr>
        <w:tc>
          <w:tcPr>
            <w:tcW w:w="858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34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340" w:type="dxa"/>
            <w:vAlign w:val="bottom"/>
            <w:tcBorders>
              <w:bottom w:val="single" w:sz="8" w:color="CCFFCC"/>
            </w:tcBorders>
          </w:tcPr>
          <w:p>
            <w:pPr>
              <w:spacing w:after="0"/>
              <w:rPr>
                <w:sz w:val="22"/>
                <w:szCs w:val="22"/>
                <w:color w:val="auto"/>
              </w:rPr>
            </w:pPr>
          </w:p>
        </w:tc>
      </w:tr>
      <w:tr>
        <w:trPr>
          <w:trHeight w:val="243"/>
        </w:trPr>
        <w:tc>
          <w:tcPr>
            <w:tcW w:w="858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4,133</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3,277</w:t>
            </w:r>
          </w:p>
        </w:tc>
        <w:tc>
          <w:tcPr>
            <w:tcW w:w="340" w:type="dxa"/>
            <w:vAlign w:val="bottom"/>
            <w:shd w:val="clear" w:color="auto" w:fill="CCFFCC"/>
          </w:tcPr>
          <w:p>
            <w:pPr>
              <w:spacing w:after="0"/>
              <w:rPr>
                <w:sz w:val="21"/>
                <w:szCs w:val="21"/>
                <w:color w:val="auto"/>
              </w:rPr>
            </w:pPr>
          </w:p>
        </w:tc>
      </w:tr>
      <w:tr>
        <w:trPr>
          <w:trHeight w:val="20"/>
        </w:trPr>
        <w:tc>
          <w:tcPr>
            <w:tcW w:w="85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85" w:lineRule="exact"/>
        <w:rPr>
          <w:sz w:val="20"/>
          <w:szCs w:val="20"/>
          <w:color w:val="auto"/>
        </w:rPr>
      </w:pPr>
    </w:p>
    <w:p>
      <w:pPr>
        <w:ind w:left="240" w:hanging="20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litigation costs of $0.9 million and executive recruiting costs of $0.3 million for the three months ended March 31, 2018.</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litigation costs of $1.8 million for the three months ended March 31, 2017.</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severance costs of $0.2 million for the three months ended March 31, 2018.</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severance costs of $0.1 million and wind down costs of legacy platform of $0.1 million 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0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income does not reflect cash capital expenditure requirements for such replacements or for new capital expenditure requirements;</w:t>
      </w: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Net Income</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6"/>
        </w:trPr>
        <w:tc>
          <w:tcPr>
            <w:tcW w:w="8120" w:type="dxa"/>
            <w:vAlign w:val="bottom"/>
            <w:shd w:val="clear" w:color="auto" w:fill="CCFFCC"/>
          </w:tcPr>
          <w:p>
            <w:pPr>
              <w:ind w:left="40"/>
              <w:spacing w:after="0"/>
              <w:rPr>
                <w:sz w:val="20"/>
                <w:szCs w:val="20"/>
                <w:color w:val="auto"/>
              </w:rPr>
            </w:pPr>
            <w:r>
              <w:rPr>
                <w:rFonts w:ascii="Arial" w:cs="Arial" w:eastAsia="Arial" w:hAnsi="Arial"/>
                <w:sz w:val="14"/>
                <w:szCs w:val="14"/>
                <w:color w:val="auto"/>
              </w:rPr>
              <w:t>Pre-tax GAAP loss</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90"/>
              </w:rPr>
              <w:t>(3,692)</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(4,604)</w:t>
            </w:r>
          </w:p>
        </w:tc>
        <w:tc>
          <w:tcPr>
            <w:tcW w:w="440" w:type="dxa"/>
            <w:vAlign w:val="bottom"/>
            <w:shd w:val="clear" w:color="auto" w:fill="CCFFCC"/>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1,431</w:t>
            </w:r>
          </w:p>
        </w:tc>
        <w:tc>
          <w:tcPr>
            <w:tcW w:w="440" w:type="dxa"/>
            <w:vAlign w:val="bottom"/>
          </w:tcPr>
          <w:p>
            <w:pPr>
              <w:spacing w:after="0"/>
              <w:rPr>
                <w:sz w:val="22"/>
                <w:szCs w:val="22"/>
                <w:color w:val="auto"/>
              </w:rPr>
            </w:pPr>
          </w:p>
        </w:tc>
      </w:tr>
      <w:tr>
        <w:trPr>
          <w:trHeight w:val="276"/>
        </w:trPr>
        <w:tc>
          <w:tcPr>
            <w:tcW w:w="81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2,438</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1,913</w:t>
            </w:r>
          </w:p>
        </w:tc>
        <w:tc>
          <w:tcPr>
            <w:tcW w:w="440" w:type="dxa"/>
            <w:vAlign w:val="bottom"/>
            <w:shd w:val="clear" w:color="auto" w:fill="CCFFCC"/>
          </w:tcPr>
          <w:p>
            <w:pPr>
              <w:spacing w:after="0"/>
              <w:rPr>
                <w:sz w:val="24"/>
                <w:szCs w:val="24"/>
                <w:color w:val="auto"/>
              </w:rPr>
            </w:pPr>
          </w:p>
        </w:tc>
      </w:tr>
      <w:tr>
        <w:trPr>
          <w:trHeight w:val="210"/>
        </w:trPr>
        <w:tc>
          <w:tcPr>
            <w:tcW w:w="812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1,270</w:t>
            </w:r>
          </w:p>
        </w:tc>
        <w:tc>
          <w:tcPr>
            <w:tcW w:w="340" w:type="dxa"/>
            <w:vAlign w:val="bottom"/>
          </w:tcPr>
          <w:p>
            <w:pPr>
              <w:jc w:val="right"/>
              <w:ind w:right="162"/>
              <w:spacing w:after="0"/>
              <w:rPr>
                <w:sz w:val="20"/>
                <w:szCs w:val="20"/>
                <w:color w:val="auto"/>
              </w:rPr>
            </w:pPr>
            <w:r>
              <w:rPr>
                <w:rFonts w:ascii="Arial" w:cs="Arial" w:eastAsia="Arial" w:hAnsi="Arial"/>
                <w:sz w:val="9"/>
                <w:szCs w:val="9"/>
                <w:color w:val="auto"/>
                <w:w w:val="90"/>
              </w:rPr>
              <w:t>(1)</w:t>
            </w: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1,824</w:t>
            </w:r>
          </w:p>
        </w:tc>
        <w:tc>
          <w:tcPr>
            <w:tcW w:w="440" w:type="dxa"/>
            <w:vAlign w:val="bottom"/>
          </w:tcPr>
          <w:p>
            <w:pPr>
              <w:jc w:val="right"/>
              <w:ind w:right="275"/>
              <w:spacing w:after="0"/>
              <w:rPr>
                <w:sz w:val="20"/>
                <w:szCs w:val="20"/>
                <w:color w:val="auto"/>
              </w:rPr>
            </w:pPr>
            <w:r>
              <w:rPr>
                <w:rFonts w:ascii="Arial" w:cs="Arial" w:eastAsia="Arial" w:hAnsi="Arial"/>
                <w:sz w:val="9"/>
                <w:szCs w:val="9"/>
                <w:color w:val="auto"/>
                <w:w w:val="90"/>
              </w:rPr>
              <w:t>(2)</w:t>
            </w:r>
          </w:p>
        </w:tc>
      </w:tr>
      <w:tr>
        <w:trPr>
          <w:trHeight w:val="216"/>
        </w:trPr>
        <w:tc>
          <w:tcPr>
            <w:tcW w:w="81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178</w:t>
            </w:r>
          </w:p>
        </w:tc>
        <w:tc>
          <w:tcPr>
            <w:tcW w:w="34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w w:val="90"/>
              </w:rPr>
              <w:t>(3)</w:t>
            </w:r>
          </w:p>
        </w:tc>
        <w:tc>
          <w:tcPr>
            <w:tcW w:w="28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240</w:t>
            </w:r>
          </w:p>
        </w:tc>
        <w:tc>
          <w:tcPr>
            <w:tcW w:w="440" w:type="dxa"/>
            <w:vAlign w:val="bottom"/>
            <w:shd w:val="clear" w:color="auto" w:fill="CCFFCC"/>
          </w:tcPr>
          <w:p>
            <w:pPr>
              <w:jc w:val="right"/>
              <w:ind w:right="275"/>
              <w:spacing w:after="0"/>
              <w:rPr>
                <w:sz w:val="20"/>
                <w:szCs w:val="20"/>
                <w:color w:val="auto"/>
              </w:rPr>
            </w:pPr>
            <w:r>
              <w:rPr>
                <w:rFonts w:ascii="Arial" w:cs="Arial" w:eastAsia="Arial" w:hAnsi="Arial"/>
                <w:sz w:val="9"/>
                <w:szCs w:val="9"/>
                <w:color w:val="auto"/>
                <w:w w:val="90"/>
              </w:rPr>
              <w:t>(4)</w:t>
            </w:r>
          </w:p>
        </w:tc>
      </w:tr>
      <w:tr>
        <w:trPr>
          <w:trHeight w:val="250"/>
        </w:trPr>
        <w:tc>
          <w:tcPr>
            <w:tcW w:w="812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Pre-tax adjusted net income</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905</w:t>
            </w:r>
          </w:p>
        </w:tc>
        <w:tc>
          <w:tcPr>
            <w:tcW w:w="34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w:t>
            </w:r>
          </w:p>
        </w:tc>
        <w:tc>
          <w:tcPr>
            <w:tcW w:w="440" w:type="dxa"/>
            <w:vAlign w:val="bottom"/>
            <w:tcBorders>
              <w:bottom w:val="single" w:sz="8" w:color="CCFFCC"/>
            </w:tcBorders>
          </w:tcPr>
          <w:p>
            <w:pPr>
              <w:spacing w:after="0"/>
              <w:rPr>
                <w:sz w:val="21"/>
                <w:szCs w:val="21"/>
                <w:color w:val="auto"/>
              </w:rPr>
            </w:pPr>
          </w:p>
        </w:tc>
      </w:tr>
      <w:tr>
        <w:trPr>
          <w:trHeight w:val="250"/>
        </w:trPr>
        <w:tc>
          <w:tcPr>
            <w:tcW w:w="81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 xml:space="preserve">Income tax effect of non-GAAP items </w:t>
            </w:r>
            <w:r>
              <w:rPr>
                <w:rFonts w:ascii="Arial" w:cs="Arial" w:eastAsia="Arial" w:hAnsi="Arial"/>
                <w:sz w:val="8"/>
                <w:szCs w:val="8"/>
                <w:color w:val="auto"/>
              </w:rPr>
              <w:t>(5)</w:t>
            </w:r>
          </w:p>
        </w:tc>
        <w:tc>
          <w:tcPr>
            <w:tcW w:w="780" w:type="dxa"/>
            <w:vAlign w:val="bottom"/>
            <w:tcBorders>
              <w:bottom w:val="single" w:sz="8" w:color="auto"/>
            </w:tcBorders>
            <w:shd w:val="clear" w:color="auto" w:fill="CCFFCC"/>
          </w:tcPr>
          <w:p>
            <w:pPr>
              <w:spacing w:after="0"/>
              <w:rPr>
                <w:sz w:val="21"/>
                <w:szCs w:val="21"/>
                <w:color w:val="auto"/>
              </w:rPr>
            </w:pPr>
          </w:p>
        </w:tc>
        <w:tc>
          <w:tcPr>
            <w:tcW w:w="50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(226)</w:t>
            </w:r>
          </w:p>
        </w:tc>
        <w:tc>
          <w:tcPr>
            <w:tcW w:w="340" w:type="dxa"/>
            <w:vAlign w:val="bottom"/>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(281)</w:t>
            </w:r>
          </w:p>
        </w:tc>
        <w:tc>
          <w:tcPr>
            <w:tcW w:w="440" w:type="dxa"/>
            <w:vAlign w:val="bottom"/>
            <w:shd w:val="clear" w:color="auto" w:fill="CCFFCC"/>
          </w:tcPr>
          <w:p>
            <w:pPr>
              <w:spacing w:after="0"/>
              <w:rPr>
                <w:sz w:val="21"/>
                <w:szCs w:val="2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440" w:type="dxa"/>
            <w:vAlign w:val="bottom"/>
          </w:tcPr>
          <w:p>
            <w:pPr>
              <w:spacing w:after="0"/>
              <w:rPr>
                <w:sz w:val="24"/>
                <w:szCs w:val="24"/>
                <w:color w:val="auto"/>
              </w:rPr>
            </w:pPr>
          </w:p>
        </w:tc>
      </w:tr>
      <w:tr>
        <w:trPr>
          <w:trHeight w:val="264"/>
        </w:trPr>
        <w:tc>
          <w:tcPr>
            <w:tcW w:w="8120" w:type="dxa"/>
            <w:vAlign w:val="bottom"/>
            <w:tcBorders>
              <w:top w:val="single" w:sz="8" w:color="CCFFCC"/>
            </w:tcBorders>
            <w:shd w:val="clear" w:color="auto" w:fill="CCFFCC"/>
          </w:tcPr>
          <w:p>
            <w:pPr>
              <w:spacing w:after="0"/>
              <w:rPr>
                <w:sz w:val="22"/>
                <w:szCs w:val="22"/>
                <w:color w:val="auto"/>
              </w:rPr>
            </w:pPr>
          </w:p>
        </w:tc>
        <w:tc>
          <w:tcPr>
            <w:tcW w:w="780" w:type="dxa"/>
            <w:vAlign w:val="bottom"/>
            <w:tcBorders>
              <w:top w:val="single" w:sz="8" w:color="auto"/>
            </w:tcBorders>
            <w:shd w:val="clear" w:color="auto" w:fill="CCFFCC"/>
          </w:tcPr>
          <w:p>
            <w:pPr>
              <w:spacing w:after="0"/>
              <w:rPr>
                <w:sz w:val="22"/>
                <w:szCs w:val="22"/>
                <w:color w:val="auto"/>
              </w:rPr>
            </w:pPr>
          </w:p>
        </w:tc>
        <w:tc>
          <w:tcPr>
            <w:tcW w:w="50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80" w:type="dxa"/>
            <w:vAlign w:val="bottom"/>
            <w:tcBorders>
              <w:top w:val="single" w:sz="8" w:color="auto"/>
            </w:tcBorders>
            <w:shd w:val="clear" w:color="auto" w:fill="CCFFCC"/>
          </w:tcPr>
          <w:p>
            <w:pPr>
              <w:spacing w:after="0"/>
              <w:rPr>
                <w:sz w:val="22"/>
                <w:szCs w:val="22"/>
                <w:color w:val="auto"/>
              </w:rPr>
            </w:pPr>
          </w:p>
        </w:tc>
        <w:tc>
          <w:tcPr>
            <w:tcW w:w="960" w:type="dxa"/>
            <w:vAlign w:val="bottom"/>
            <w:tcBorders>
              <w:top w:val="single" w:sz="8" w:color="auto"/>
            </w:tcBorders>
            <w:shd w:val="clear" w:color="auto" w:fill="CCFFCC"/>
          </w:tcPr>
          <w:p>
            <w:pPr>
              <w:spacing w:after="0"/>
              <w:rPr>
                <w:sz w:val="22"/>
                <w:szCs w:val="22"/>
                <w:color w:val="auto"/>
              </w:rPr>
            </w:pPr>
          </w:p>
        </w:tc>
        <w:tc>
          <w:tcPr>
            <w:tcW w:w="440" w:type="dxa"/>
            <w:vAlign w:val="bottom"/>
            <w:tcBorders>
              <w:top w:val="single" w:sz="8" w:color="CCFFCC"/>
            </w:tcBorders>
            <w:shd w:val="clear" w:color="auto" w:fill="CCFFCC"/>
          </w:tcPr>
          <w:p>
            <w:pPr>
              <w:spacing w:after="0"/>
              <w:rPr>
                <w:sz w:val="22"/>
                <w:szCs w:val="22"/>
                <w:color w:val="auto"/>
              </w:rPr>
            </w:pPr>
          </w:p>
        </w:tc>
      </w:tr>
    </w:tbl>
    <w:p>
      <w:pPr>
        <w:spacing w:after="0" w:line="8" w:lineRule="exact"/>
        <w:rPr>
          <w:sz w:val="20"/>
          <w:szCs w:val="20"/>
          <w:color w:val="auto"/>
        </w:rPr>
      </w:pPr>
    </w:p>
    <w:p>
      <w:pPr>
        <w:ind w:left="240" w:hanging="205"/>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litigation costs of $0.9 million and executive recruiting costs of $0.3 million for the three months ended March 31, 2018.</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litigation costs of $1.8 million for the three months ended March 31, 2017.</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severance costs of $0.2 million for the three months ended March 31, 2018.</w:t>
      </w:r>
    </w:p>
    <w:p>
      <w:pPr>
        <w:spacing w:after="0" w:line="257" w:lineRule="exact"/>
        <w:rPr>
          <w:rFonts w:ascii="Arial" w:cs="Arial" w:eastAsia="Arial" w:hAnsi="Arial"/>
          <w:sz w:val="14"/>
          <w:szCs w:val="14"/>
          <w:color w:val="auto"/>
        </w:rPr>
      </w:pPr>
    </w:p>
    <w:p>
      <w:pPr>
        <w:ind w:left="240" w:hanging="205"/>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wind down costs of legacy platform of $1.9 million and severance costs of $0.4 million for the nine months ended September 30, 2017.</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Company's applies a standardized tax rate of 25% and 35% for the three months ended March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-629920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360" w:hanging="2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Hosted Services Business revenues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our performance. Subscription contracts are generally one year or longer in length, billed, monthly, quarterly or annually in advance. There is no significant variable consideration related to these arrangements. Additionally, for certain of the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Pay for Performance ("PFP") arrangements in accordance with ASC-606, "Principal Agent Considerations", we act as a principal in a transaction if it controls the specified goods or services before they are transferred to the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Professional services revenues primarily consist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retains a portion of the fee, and then remit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revenue of $58.2 million recognized during the three months ended March 31, 2018, under Topic 606, was not materially different from what it would have been recognized under Topic 605.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in the deferred revenue balance for the three months ended March 31, 2018 is primarily driven by cash payments received or due in advance of satisfying our performance obligations, partially offset by $16.2 million of revenues recognized that were included in the deferred revenue balance as of December 31, 2017.</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2018, there was approximately $15.6 million of total unrecognized compensation cost related to nonvested stock options. That cost is expected to be recognized over a weighted average period of approximately 3.0 years. As of March 31, 2018, there was approximately $17.1 million of total unrecognized compensation cost related to nonvested restricted stock units. That cost is expected to be recognized over a weighted average period of approximately 2.6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months ended March 31, 2018 and 2017. No customer accounted for approximately 10% of accounts receivable as of March 31, 2018 and December 31, 2017.</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 During the three months ended March 31, 2018, our allowance for doubtful accounts increased by $0.2 million to approximately $1.6 million. During 2017, we decreased our allowance for doubtful accounts by $0.4 million to approximately $1.3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2017,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is measured as the difference between the carrying value and the fair value of the impaired asset. We do not have any long-lived assets, including intangible assets, which we consider to be impaired.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12, Legal Matters, of the Notes to the Condensed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from our Business segment accounted for 92% of total revenue for the three months ended March 31, 2018 and 2017. Revenue attributable to our monthly hosted Business services accounted for 89% of total Business revenue for the three months ended March 31, 2018 and 2017.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months ended March 31, 2018 and 2017.</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pacing w:after="0" w:line="338"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340" w:val="left"/>
          <w:tab w:leader="none" w:pos="934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2,438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1,913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8760"/>
        <w:spacing w:after="0"/>
        <w:tabs>
          <w:tab w:leader="none" w:pos="9740" w:val="left"/>
          <w:tab w:leader="none" w:pos="10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2007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53,561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46,749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4,680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58,241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50,919</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increased by 15% to $53.6 million in the three months ended March 31, 2018, from $46.7 million in the comparable period in 2017. This variance was primarily attributable to the increase in revenue from existing customers by approximately $3.9 million, in revenue from new customers by approximately $1.6 million, and in revenue from professional services and that is variable based on pay for performance, and interactions and usage of approximately $1.3 million.</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2017, we had notified the majority of our customers about the end of life on the legacy offering, and not every legacy customer elected to move to LiveEngage. After we finished the migration of current customers from our old platform to our new LiveEngage platform, our focus shifted back to selling and expanding our base of messaging customers. We continued to see a decrease in existing customer cancellations quarter over quarter. During the fourth quarter 2017, we returned to year over year revenue growth. This trend continued into the first quarter ending 2018.</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Consumer revenue increased by 12% to $4.7 million in the three months ended March 31, 2018 from $4.2 million in the comparable period in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variance is driven by an increase in price per minute and in volume of chat minutes.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9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19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   12,918</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   12,906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900" w:type="dxa"/>
            <w:vAlign w:val="bottom"/>
            <w:tcBorders>
              <w:bottom w:val="single" w:sz="8" w:color="CCFFCC"/>
            </w:tcBorders>
            <w:shd w:val="clear" w:color="auto" w:fill="CCFFCC"/>
          </w:tcPr>
          <w:p>
            <w:pPr>
              <w:jc w:val="right"/>
              <w:ind w:right="363"/>
              <w:spacing w:after="0"/>
              <w:rPr>
                <w:sz w:val="20"/>
                <w:szCs w:val="20"/>
                <w:color w:val="auto"/>
              </w:rPr>
            </w:pPr>
            <w:r>
              <w:rPr>
                <w:rFonts w:ascii="Arial" w:cs="Arial" w:eastAsia="Arial" w:hAnsi="Arial"/>
                <w:sz w:val="16"/>
                <w:szCs w:val="16"/>
                <w:color w:val="auto"/>
              </w:rPr>
              <w:t>22%</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218</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234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remained relatively flat at $12.9 million in the three months ended March 31, 2018, from the comparable period in 2017. There were decreases in amortization expense of approximately $0.7 million and in primary and backup server facilities and allocated overhead related to costs supporting our server and network infrastructure of approximately $0.3 million. This was offset by increases in total compensation and related costs for customer service and network operations personnel of approximately $0.5 million, in outsourced labor and other business services of approximately $0.4 million and in depreciation expense of approximately $0.1 million.</w:t>
      </w:r>
    </w:p>
    <w:p>
      <w:pPr>
        <w:spacing w:after="0" w:line="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gross margin was tied to our ability to operationalize cost savings by moving brands off of our legacy platform and realigning our go-to-market strategy around LiveEngage.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1,036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875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revenue increased by 18% to $1.0 million in the three months ended March 31, 2018, from $0.9 million in the comparable period in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variance was primarily attributable to increases in salary and related employee expenses of approximately $0.1 million.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21,723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19,543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318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w:t>
            </w:r>
          </w:p>
        </w:tc>
      </w:tr>
    </w:tbl>
    <w:p>
      <w:pPr>
        <w:spacing w:after="0" w:line="12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Sales and marketing expenses increased by 11% to $21.7 million in the three months ended March 31, 2018 from $19.5 million in the comparable period in 2017. There were increases in outsourcing and subcontracted labor by approximately $1.1 million, in marketing events, advertising, public relations, and tradeshow exhibit expenses of approximately $1.0 million, and in recruiting expenses of approximately $0.7 million. This was partially offset by decreases in salaries and related costs for sales and marketing personnel of approximately $0.5 million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color w:val="auto"/>
        </w:rPr>
        <w:t>We have realigned our go-to-market strategy around LiveEngage 2.0. Our outreach efforts are primarily focused on fostering a community of thought and industry leadership by targeting a few hundred of the world's largest brands through conference calls and events.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2,408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2,157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w:t>
            </w: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12% to $2.4 million in the three months ended March 31, 2018 from $2.2 million in the comparable periods in 2017. The increase was primarily attributable to advertising and online expenses.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50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240" w:type="dxa"/>
            <w:vAlign w:val="bottom"/>
          </w:tcPr>
          <w:p>
            <w:pPr>
              <w:spacing w:after="0"/>
              <w:rPr>
                <w:sz w:val="21"/>
                <w:szCs w:val="21"/>
                <w:color w:val="auto"/>
              </w:rPr>
            </w:pPr>
          </w:p>
        </w:tc>
        <w:tc>
          <w:tcPr>
            <w:tcW w:w="200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10,123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9,692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4% to $10.1 million in the three months ended March 31, 2018 from $9.7 million in the comparable period in 2017. This variance was primarily attributable to increases in total compensation and related employee expenses of approximately $0.4 million, in allocated occupancy costs, related overhead, information technology and other general corporate expenses of approximately $0.3 million, and in business services and outsourced labor of approximately $0.2 million. This was partially offset by a net decrease in non-recurring costs of approximately $0.6 million. Non-recurring costs consisted of a decrease in litigation of approximately $0.9 million offset partially by executive recruiting costs of approximately $0.3 million.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40" w:type="dxa"/>
            <w:vAlign w:val="bottom"/>
          </w:tcPr>
          <w:p>
            <w:pPr>
              <w:spacing w:after="0"/>
              <w:rPr>
                <w:sz w:val="22"/>
                <w:szCs w:val="22"/>
                <w:color w:val="auto"/>
              </w:rPr>
            </w:pPr>
          </w:p>
        </w:tc>
        <w:tc>
          <w:tcPr>
            <w:tcW w:w="200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13,252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9,958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367</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304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w:t>
            </w:r>
          </w:p>
        </w:tc>
      </w:tr>
    </w:tbl>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Product development costs increased by 33% to $13.3 million in the three months ended March 31, 2018, from $10.0 million in the comparable period in 2017. This variance was primarily attributable to increases in total compensation, outside labor, and associated costs for existing product development personnel of approximately $2.2 million, in depreciation expense and backup server facilities and allocated overhead related to costs of supporting our server and network infrastructure of approximately $0.9 million, and in recruiting of approximately $0.1 million.</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invest in new product development efforts to expand the capability of LiveEngage. We recognize that every brand is unique and employs an individualized and complex approach to managing their users. In accordance with ASC 350-40 - "Internal- Use Software", as new projects are initiated that provide functionality to the LiveEngage platform, the associated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development and employee costs will be capitalized. Upon completion, the project costs will be depreciated over five years. In the three months ended March 31, 2018, $2.5 million was capitalized. In the three months ended March 31, 2017, $1.8 million was capitalized.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Restructuring costs consist of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320"/>
              <w:spacing w:after="0"/>
              <w:rPr>
                <w:sz w:val="20"/>
                <w:szCs w:val="20"/>
                <w:color w:val="auto"/>
              </w:rPr>
            </w:pPr>
            <w:r>
              <w:rPr>
                <w:rFonts w:ascii="Arial" w:cs="Arial" w:eastAsia="Arial" w:hAnsi="Arial"/>
                <w:sz w:val="16"/>
                <w:szCs w:val="16"/>
                <w:color w:val="auto"/>
              </w:rPr>
              <w:t>178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240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3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780" w:type="dxa"/>
            <w:vAlign w:val="bottom"/>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r>
      <w:tr>
        <w:trPr>
          <w:trHeight w:val="33"/>
        </w:trPr>
        <w:tc>
          <w:tcPr>
            <w:tcW w:w="83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Restructuring costs incurred decreased by 26% to approximately $0.2 million during the three months ended March 31, 2018 from the comparable period in 2017. This variance was primarily attributable to wind-down costs of our legacy platform of $0.1 million in 2017, offset partially by increases in severance.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424</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472</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for purchased intangibles decreased by 10% to $0.4 million in the three months ended March 31, 2018 from $0.5 million in the comparable periods in 2017. This variance was primarily attributable to a decrease in amortization of CAO! and Synchronite intangible assets. This was partially offset by amortization of the 2018 Bot Central assets acquired.</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Additional amortization expense in the amount of $0.3 million and $1.0 million is included in cost of revenue for the three months ended March 31, 2018 and 2017, respectively. The decrease is primarily attributable to the full amortization of Amadesa during the third quarter of 2017.</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4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37"/>
        </w:trPr>
        <w:tc>
          <w:tcPr>
            <w:tcW w:w="8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129</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320</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variance in other income in the three months ended March 31, 2018 from the comparable periods in 2017 was attributable to a decrease in finance hedging and other financial income of approximately $0.2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40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1020" w:type="dxa"/>
            <w:vAlign w:val="bottom"/>
            <w:tcBorders>
              <w:bottom w:val="single" w:sz="8" w:color="CCFFCC"/>
            </w:tcBorders>
          </w:tcPr>
          <w:p>
            <w:pPr>
              <w:spacing w:after="0"/>
              <w:rPr>
                <w:sz w:val="21"/>
                <w:szCs w:val="21"/>
                <w:color w:val="auto"/>
              </w:rPr>
            </w:pPr>
          </w:p>
        </w:tc>
      </w:tr>
      <w:tr>
        <w:trPr>
          <w:trHeight w:val="237"/>
        </w:trPr>
        <w:tc>
          <w:tcPr>
            <w:tcW w:w="8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(489)</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1,072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decreased by 146% to a benefit of $0.5 million for the three months ended March 31, 2018 from a provision of $1.1 million for the comparable periods in 2017. Our consolidated effective tax rate was impacted by the statutory income tax rates applicable to each of the jurisdictions in which we operate.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had a net loss of $3.2 million for the three months ended March 31, 2018 compared to a net loss of $5.7 million for the three months ended March 31, 2017. During the three months ended March 31, 2018, there were increases in revenue by approximately $7.3 million and decreases in provision for income taxes by $1.6 million. This was offset partially by increases in operating expenses by approximately $6.2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4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(677)</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(3,102)</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(3,623)</w:t>
            </w:r>
          </w:p>
        </w:tc>
        <w:tc>
          <w:tcPr>
            <w:tcW w:w="5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(2,844)</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Pr>
          <w:p>
            <w:pPr>
              <w:spacing w:after="0"/>
              <w:rPr>
                <w:sz w:val="20"/>
                <w:szCs w:val="20"/>
                <w:color w:val="auto"/>
              </w:rPr>
            </w:pP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4,604</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(516)</w:t>
            </w:r>
          </w:p>
        </w:tc>
      </w:tr>
    </w:tbl>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March 31, 2018, we had approximately $57.5 million in cash and cash equivalents, an increase of approximately $1.4 million from December 31, 2017. The increase is primarily attributable to cash provided by financing activities relating to issuance of common stock net cash, deferred revenue, and non-cash expenses, partially offset by cash flows used in investing relating to purchases of fixed assets for our co-location facilities.</w:t>
      </w:r>
    </w:p>
    <w:p>
      <w:pPr>
        <w:spacing w:after="0" w:line="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by operating activities was $0.7 million for the three months ended March 31, 2018 and consisted primarily of net loss and increases in accounts receivable and prepaid expenses and other current assets and decreases in accrued expenses. This was partially offset by increases in deferred revenue and non-cash expenses related to depreciation, stock compensation, and amortization of purchased intangibles. The increase in accounts receivable and deferred revenue was primarily related to changes in our billing terms for some of our larger customers. Net cash used in operating activities was $3.1 million for the three months ended March 31, 2017 and consisted primarily of net loss, increases in prepaid expenses and other current assets, and decreases in accounts payable and accrued expenses. This was partially offset by non-cash expenses related to depreciation, stock compensation, and amortization of purchased intangibles, decreases in accounts receivable, and increases in deferred revenue.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$3.6 million in the three months ended March 31, 2018 and was due primarily to the purchase of fixed assets for our co-location facilities and capitalization of internally developed software and the BotCentral assets acquired partially offset by a release of restricted cash used with foreign currency forward contracts. Net cash used in investing activities was $2.8 million in the three months ended March 31, 2017 and was due primarily to the purchase of fixed assets for our co-location facilities.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$4.6 million in the three months ended March 31, 2018 and was due primarily to proceeds from the issuance of common stock in connection with the exercise of stock options by employees, partially offset by repurchase of our common stock. Net cash used in financing activities was $0.5 million in the three months ended March 31, 2017 and consisted primarily of the repurchase of our common stock offset partially by issuance of common stock.</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2018, we had an accumulated deficit of approximately $165.7 million.</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months ended March 31, 2018 and 2017 was approximately $2.3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As of March 31, 2018, our principal commitments were approximately $24.2 million under various operating leases, of which approximately $7.0 million is due in 2018. We currently expect that our principal commitments for the year ending December 31, 2018 will not exceed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March 31, 2018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24,151</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8,608</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FFCC"/>
          </w:tcPr>
          <w:p>
            <w:pPr>
              <w:jc w:val="right"/>
              <w:ind w:right="42"/>
              <w:spacing w:after="0"/>
              <w:rPr>
                <w:sz w:val="20"/>
                <w:szCs w:val="20"/>
                <w:color w:val="auto"/>
              </w:rPr>
            </w:pPr>
            <w:r>
              <w:rPr>
                <w:rFonts w:ascii="Arial" w:cs="Arial" w:eastAsia="Arial" w:hAnsi="Arial"/>
                <w:sz w:val="16"/>
                <w:szCs w:val="16"/>
                <w:color w:val="auto"/>
              </w:rPr>
              <w:t>10,010</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1,452</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Israeli operations have currency rate fluctuation risk associated with the exchange rate movement of the U.S. dollar against the New Israeli Shekel (“NIS”). During the three months ended March 31, 2018, the U.S. dollar depreciated by approximately 6% as compared to the NIS. During the three months ended March 31, 2018, expenses generated by our Israeli operations totaled approximately $17.6 million. During 2018,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2018, our allowance for doubtful accounts increased by $0.2 million to approximately $1.6 million. During 2017, we decreased our allowance for doubtful accounts from $1.7 million to approximately $1.3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2018. Based on that evaluation, the Chief Executive Officer and Chief Financial Officer concluded that our disclosure controls and procedures were effective as of March 31, 2018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court rulings in our favor have invalidated multiple [24]7 patents that were asserted in the patent cases. Trial for our intellectual property and other claims asserted against [24]7 in the original litigation is currently set for November 26, 2018. We believe the claims filed by [24]7 are without merit and intend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2016, filed on March 10, 2017,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March 31, 2018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18,395,372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1/1/2018 – 1/31/2018</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18,395,372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2/1/2018 – 2/28/2018</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93,750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93,750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3/1/2018 – 3/31/2018</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93,750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93,750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17,050,059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On May 7, 2018, the Company's Board of Directors ratified the extension to December 31, 2018 of the repurchase program, effective as of January 1, 2018. As of March 31, 2018, approximately $17.1 million remained available for purchases under the program.</w:t>
      </w:r>
    </w:p>
    <w:p>
      <w:pPr>
        <w:spacing w:after="0" w:line="73"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Agreement between LivePerson and Alex Spinelli, dated as of January 12, 2018</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Agreement between LivePerson and Chris Greiner, dated as of February 19, 2018</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right="300" w:firstLine="8"/>
        <w:spacing w:after="0" w:line="342" w:lineRule="auto"/>
        <w:tabs>
          <w:tab w:leader="none" w:pos="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580" w:right="339" w:bottom="1440" w:gutter="0" w:footer="0" w:header="0"/>
          <w:type w:val="continuous"/>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160"/>
              <w:spacing w:after="0"/>
              <w:rPr>
                <w:sz w:val="20"/>
                <w:szCs w:val="20"/>
                <w:color w:val="auto"/>
              </w:rPr>
            </w:pPr>
            <w:r>
              <w:rPr>
                <w:rFonts w:ascii="Arial" w:cs="Arial" w:eastAsia="Arial" w:hAnsi="Arial"/>
                <w:sz w:val="18"/>
                <w:szCs w:val="18"/>
                <w:color w:val="auto"/>
              </w:rPr>
              <w:t>May 8, 2018</w:t>
            </w:r>
          </w:p>
        </w:tc>
        <w:tc>
          <w:tcPr>
            <w:tcW w:w="2240" w:type="dxa"/>
            <w:vAlign w:val="bottom"/>
          </w:tcPr>
          <w:p>
            <w:pPr>
              <w:ind w:left="17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160"/>
              <w:spacing w:after="0"/>
              <w:rPr>
                <w:sz w:val="20"/>
                <w:szCs w:val="20"/>
                <w:color w:val="auto"/>
              </w:rPr>
            </w:pPr>
            <w:r>
              <w:rPr>
                <w:rFonts w:ascii="Arial" w:cs="Arial" w:eastAsia="Arial" w:hAnsi="Arial"/>
                <w:sz w:val="18"/>
                <w:szCs w:val="18"/>
                <w:color w:val="auto"/>
              </w:rPr>
              <w:t>May 8, 2018</w:t>
            </w:r>
          </w:p>
        </w:tc>
        <w:tc>
          <w:tcPr>
            <w:tcW w:w="2240" w:type="dxa"/>
            <w:vAlign w:val="bottom"/>
          </w:tcPr>
          <w:p>
            <w:pPr>
              <w:ind w:left="174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CHRISTOPHER E. GREINER</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Christopher E. Greiner</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42</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7"/>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520"/>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Agreement between LivePerson and Alex Spinelli, dated as of January 12, 2018</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Agreement between LivePerson and Chris Greiner, dated as of February 19, 2018</w:t>
              </w:r>
            </w:hyperlink>
          </w:p>
        </w:tc>
        <w:tc>
          <w:tcPr>
            <w:tcW w:w="4020" w:type="dxa"/>
            <w:vAlign w:val="bottom"/>
            <w:gridSpan w:val="5"/>
          </w:tcPr>
          <w:p>
            <w:pPr>
              <w:spacing w:after="0"/>
              <w:rPr>
                <w:sz w:val="24"/>
                <w:szCs w:val="24"/>
                <w:color w:val="auto"/>
              </w:rPr>
            </w:pPr>
          </w:p>
        </w:tc>
      </w:tr>
      <w:tr>
        <w:trPr>
          <w:trHeight w:val="588"/>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Certification by Chief Executive Officer pursuant to Exchange Act Rule 13a-14(a), as adopted pursuant to Section 302 of the Sarbanes-</w:t>
              </w:r>
            </w:hyperlink>
          </w:p>
        </w:tc>
        <w:tc>
          <w:tcPr>
            <w:tcW w:w="1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Certification by Chief Financial Officer pursuant to Exchange Act Rule 13a-14(a), as adopted pursuant to Section 302 of the Sarbanes-</w:t>
              </w:r>
            </w:hyperlink>
          </w:p>
        </w:tc>
        <w:tc>
          <w:tcPr>
            <w:tcW w:w="1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Oxley Act of 2002</w:t>
              </w:r>
            </w:hyperlink>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9"/>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Certification by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Act of 2002</w:t>
              </w:r>
            </w:hyperlink>
          </w:p>
        </w:tc>
        <w:tc>
          <w:tcPr>
            <w:tcW w:w="140" w:type="dxa"/>
            <w:vAlign w:val="bottom"/>
            <w:gridSpan w:val="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47"/>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Certification by Chief Financial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Act of 2002</w:t>
              </w:r>
            </w:hyperlink>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40" w:type="dxa"/>
            <w:vAlign w:val="bottom"/>
            <w:gridSpan w:val="8"/>
          </w:tcPr>
          <w:p>
            <w:pPr>
              <w:spacing w:after="0" w:line="20" w:lineRule="exact"/>
              <w:rPr>
                <w:sz w:val="1"/>
                <w:szCs w:val="1"/>
                <w:color w:val="auto"/>
              </w:rPr>
            </w:pP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right="400" w:firstLine="8"/>
        <w:spacing w:after="0" w:line="342" w:lineRule="auto"/>
        <w:tabs>
          <w:tab w:leader="none" w:pos="3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January 12,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Alex Spinelli</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color w:val="auto"/>
        </w:rPr>
        <w:t xml:space="preserve">I am pleased to offer you the position of </w:t>
      </w:r>
      <w:r>
        <w:rPr>
          <w:rFonts w:ascii="Arial" w:cs="Arial" w:eastAsia="Arial" w:hAnsi="Arial"/>
          <w:sz w:val="18"/>
          <w:szCs w:val="18"/>
          <w:b w:val="1"/>
          <w:bCs w:val="1"/>
          <w:color w:val="auto"/>
        </w:rPr>
        <w:t>EVP of Engineering &amp; Operations/CTO,</w:t>
      </w:r>
      <w:r>
        <w:rPr>
          <w:rFonts w:ascii="Arial" w:cs="Arial" w:eastAsia="Arial" w:hAnsi="Arial"/>
          <w:sz w:val="18"/>
          <w:szCs w:val="18"/>
          <w:color w:val="auto"/>
        </w:rPr>
        <w:t xml:space="preserve"> working from a new LivePerson office to be established in Seattle, WA. You are scheduled to start on </w:t>
      </w:r>
      <w:r>
        <w:rPr>
          <w:rFonts w:ascii="Arial" w:cs="Arial" w:eastAsia="Arial" w:hAnsi="Arial"/>
          <w:sz w:val="18"/>
          <w:szCs w:val="18"/>
          <w:b w:val="1"/>
          <w:bCs w:val="1"/>
          <w:color w:val="auto"/>
        </w:rPr>
        <w:t>March 1, 2018</w:t>
      </w:r>
      <w:r>
        <w:rPr>
          <w:rFonts w:ascii="Arial" w:cs="Arial" w:eastAsia="Arial" w:hAnsi="Arial"/>
          <w:sz w:val="18"/>
          <w:szCs w:val="18"/>
          <w:color w:val="auto"/>
        </w:rPr>
        <w:t>, reporting to Robert LoCascio, the Company’s CEO. This letter confirms the terms and conditions of our employment offer to you:</w:t>
      </w:r>
    </w:p>
    <w:p>
      <w:pPr>
        <w:spacing w:after="0" w:line="168" w:lineRule="exact"/>
        <w:rPr>
          <w:sz w:val="20"/>
          <w:szCs w:val="20"/>
          <w:color w:val="auto"/>
        </w:rPr>
      </w:pPr>
    </w:p>
    <w:p>
      <w:pPr>
        <w:ind w:left="340" w:hanging="332"/>
        <w:spacing w:after="0" w:line="28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You will be paid salary at an initial annualized salary rate of </w:t>
      </w:r>
      <w:r>
        <w:rPr>
          <w:rFonts w:ascii="Arial" w:cs="Arial" w:eastAsia="Arial" w:hAnsi="Arial"/>
          <w:sz w:val="18"/>
          <w:szCs w:val="18"/>
          <w:b w:val="1"/>
          <w:bCs w:val="1"/>
          <w:color w:val="auto"/>
        </w:rPr>
        <w:t>US$450,000USD</w:t>
      </w:r>
      <w:r>
        <w:rPr>
          <w:rFonts w:ascii="Arial" w:cs="Arial" w:eastAsia="Arial" w:hAnsi="Arial"/>
          <w:sz w:val="18"/>
          <w:szCs w:val="18"/>
          <w:color w:val="auto"/>
        </w:rPr>
        <w:t xml:space="preserve"> per year, to be paid in accordance with our the current payroll practices (we currently pay salary on a semi-monthly basis on the 15th and last day of each month).</w:t>
      </w:r>
    </w:p>
    <w:p>
      <w:pPr>
        <w:spacing w:after="0" w:line="175" w:lineRule="exact"/>
        <w:rPr>
          <w:rFonts w:ascii="Arial" w:cs="Arial" w:eastAsia="Arial" w:hAnsi="Arial"/>
          <w:sz w:val="18"/>
          <w:szCs w:val="18"/>
          <w:color w:val="auto"/>
        </w:rPr>
      </w:pPr>
    </w:p>
    <w:p>
      <w:pPr>
        <w:ind w:left="340" w:right="40" w:hanging="332"/>
        <w:spacing w:after="0" w:line="25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You will be eligible to participate in the LivePerson bonus plan as it exists from time to time under terms comparable to other LivePerson employees of similar role and responsibility. Your target annual bonus for </w:t>
      </w:r>
      <w:r>
        <w:rPr>
          <w:rFonts w:ascii="Arial" w:cs="Arial" w:eastAsia="Arial" w:hAnsi="Arial"/>
          <w:sz w:val="18"/>
          <w:szCs w:val="18"/>
          <w:b w:val="1"/>
          <w:bCs w:val="1"/>
          <w:color w:val="auto"/>
        </w:rPr>
        <w:t>2018</w:t>
      </w:r>
      <w:r>
        <w:rPr>
          <w:rFonts w:ascii="Arial" w:cs="Arial" w:eastAsia="Arial" w:hAnsi="Arial"/>
          <w:sz w:val="18"/>
          <w:szCs w:val="18"/>
          <w:color w:val="auto"/>
        </w:rPr>
        <w:t xml:space="preserve"> will be </w:t>
      </w:r>
      <w:r>
        <w:rPr>
          <w:rFonts w:ascii="Arial" w:cs="Arial" w:eastAsia="Arial" w:hAnsi="Arial"/>
          <w:sz w:val="18"/>
          <w:szCs w:val="18"/>
          <w:b w:val="1"/>
          <w:bCs w:val="1"/>
          <w:color w:val="auto"/>
        </w:rPr>
        <w:t>US$450,000,</w:t>
      </w:r>
      <w:r>
        <w:rPr>
          <w:rFonts w:ascii="Arial" w:cs="Arial" w:eastAsia="Arial" w:hAnsi="Arial"/>
          <w:sz w:val="18"/>
          <w:szCs w:val="18"/>
          <w:color w:val="auto"/>
        </w:rPr>
        <w:t xml:space="preserve"> which will be prorated for the portion of </w:t>
      </w:r>
      <w:r>
        <w:rPr>
          <w:rFonts w:ascii="Arial" w:cs="Arial" w:eastAsia="Arial" w:hAnsi="Arial"/>
          <w:sz w:val="18"/>
          <w:szCs w:val="18"/>
          <w:b w:val="1"/>
          <w:bCs w:val="1"/>
          <w:color w:val="auto"/>
        </w:rPr>
        <w:t xml:space="preserve">2018 </w:t>
      </w:r>
      <w:r>
        <w:rPr>
          <w:rFonts w:ascii="Arial" w:cs="Arial" w:eastAsia="Arial" w:hAnsi="Arial"/>
          <w:sz w:val="18"/>
          <w:szCs w:val="18"/>
          <w:color w:val="auto"/>
        </w:rPr>
        <w:t>that you are employed at LivePerson based on your actual start date. For the 2018 fiscal year, eighty percent (80%) of your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will be payable in equal quarterly installments in the last payroll of each fiscal quarter, and otherwise subject to our normal payroll practices.</w:t>
      </w:r>
    </w:p>
    <w:p>
      <w:pPr>
        <w:spacing w:after="0" w:line="205" w:lineRule="exact"/>
        <w:rPr>
          <w:rFonts w:ascii="Arial" w:cs="Arial" w:eastAsia="Arial" w:hAnsi="Arial"/>
          <w:sz w:val="18"/>
          <w:szCs w:val="18"/>
          <w:color w:val="auto"/>
        </w:rPr>
      </w:pPr>
    </w:p>
    <w:p>
      <w:pPr>
        <w:ind w:left="340" w:right="40" w:hanging="332"/>
        <w:spacing w:after="0" w:line="25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remaining twenty (20%) of your 2018 target bonus payout, as well as any bonus payouts for future fiscal years, if any, is anticipated to be paid during the first quarter of the subsequent fiscal year in accordance with then-current company practices, and will be determined in the sole discretion of LivePerson based on the profitability of the company as compared to Plan, your individual bonus target and your personal contribution to the company’s efforts as determined by the Company in its sole discretion. Eligibility for and payment of such bonus, if any, is conditioned on your being actively employed by LivePerson as of the date the bonus, if any, is paid. Your actual bonus payment is likely to be either greater or less than your target amount based on these criteria. In any year, LivePerson may determine not to pay any bonus based on the above criteria. LivePerson reserves the right to amend or terminate its bonus plan at any time.</w:t>
      </w:r>
    </w:p>
    <w:p>
      <w:pPr>
        <w:spacing w:after="0" w:line="20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will be granted as of your start date inducement awards consisting of the following:</w:t>
      </w:r>
    </w:p>
    <w:p>
      <w:pPr>
        <w:spacing w:after="0" w:line="203"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Unvested restricted stock units (RSUs) in respect of </w:t>
      </w:r>
      <w:r>
        <w:rPr>
          <w:rFonts w:ascii="Arial" w:cs="Arial" w:eastAsia="Arial" w:hAnsi="Arial"/>
          <w:sz w:val="18"/>
          <w:szCs w:val="18"/>
          <w:b w:val="1"/>
          <w:bCs w:val="1"/>
          <w:color w:val="auto"/>
        </w:rPr>
        <w:t>200,000</w:t>
      </w:r>
      <w:r>
        <w:rPr>
          <w:rFonts w:ascii="Arial" w:cs="Arial" w:eastAsia="Arial" w:hAnsi="Arial"/>
          <w:sz w:val="18"/>
          <w:szCs w:val="18"/>
          <w:color w:val="auto"/>
        </w:rPr>
        <w:t xml:space="preserve"> shares of LivePerson common stock; and</w:t>
      </w:r>
    </w:p>
    <w:p>
      <w:pPr>
        <w:spacing w:after="0" w:line="225" w:lineRule="exact"/>
        <w:rPr>
          <w:rFonts w:ascii="Arial" w:cs="Arial" w:eastAsia="Arial" w:hAnsi="Arial"/>
          <w:sz w:val="18"/>
          <w:szCs w:val="18"/>
          <w:color w:val="auto"/>
        </w:rPr>
      </w:pPr>
    </w:p>
    <w:p>
      <w:pPr>
        <w:ind w:left="980" w:hanging="324"/>
        <w:spacing w:after="0" w:line="28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An unvested option to purchase </w:t>
      </w:r>
      <w:r>
        <w:rPr>
          <w:rFonts w:ascii="Arial" w:cs="Arial" w:eastAsia="Arial" w:hAnsi="Arial"/>
          <w:sz w:val="18"/>
          <w:szCs w:val="18"/>
          <w:b w:val="1"/>
          <w:bCs w:val="1"/>
          <w:color w:val="auto"/>
        </w:rPr>
        <w:t>100,000</w:t>
      </w:r>
      <w:r>
        <w:rPr>
          <w:rFonts w:ascii="Arial" w:cs="Arial" w:eastAsia="Arial" w:hAnsi="Arial"/>
          <w:sz w:val="18"/>
          <w:szCs w:val="18"/>
          <w:color w:val="auto"/>
        </w:rPr>
        <w:t xml:space="preserve"> shares of LivePerson common stock at a strike price determined by the LivePerson Board of Directors;</w:t>
      </w:r>
    </w:p>
    <w:p>
      <w:pPr>
        <w:spacing w:after="0" w:line="175" w:lineRule="exact"/>
        <w:rPr>
          <w:rFonts w:ascii="Arial" w:cs="Arial" w:eastAsia="Arial" w:hAnsi="Arial"/>
          <w:sz w:val="18"/>
          <w:szCs w:val="18"/>
          <w:color w:val="auto"/>
        </w:rPr>
      </w:pPr>
    </w:p>
    <w:p>
      <w:pPr>
        <w:ind w:left="980" w:right="100"/>
        <w:spacing w:after="0" w:line="256" w:lineRule="auto"/>
        <w:rPr>
          <w:rFonts w:ascii="Arial" w:cs="Arial" w:eastAsia="Arial" w:hAnsi="Arial"/>
          <w:sz w:val="18"/>
          <w:szCs w:val="18"/>
          <w:color w:val="auto"/>
        </w:rPr>
      </w:pPr>
      <w:r>
        <w:rPr>
          <w:rFonts w:ascii="Arial" w:cs="Arial" w:eastAsia="Arial" w:hAnsi="Arial"/>
          <w:sz w:val="18"/>
          <w:szCs w:val="18"/>
          <w:color w:val="auto"/>
        </w:rPr>
        <w:t>The equity grants described above will be granted in accordance with our then-current standard policies and under the terms and conditions of the applicable corresponding Grant Agreement(s) provided to you by the Company, and will vest in equal increments of 25% annually over four (4) years, beginning on the first anniversary of the grant date.</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40" w:right="100" w:hanging="332"/>
        <w:spacing w:after="0" w:line="26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will be eligible for vacation in accordance with LivePerson’s vacation policy as it exists from time to time. Under the current policy, you will accrue vacation at the approximate rate of 1.66 vacation</w:t>
      </w:r>
    </w:p>
    <w:p>
      <w:pPr>
        <w:sectPr>
          <w:pgSz w:w="11900" w:h="16838" w:orient="portrait"/>
          <w:cols w:equalWidth="0" w:num="1">
            <w:col w:w="11400"/>
          </w:cols>
          <w:pgMar w:left="240" w:top="1440" w:right="2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6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days per month (20 days per year).</w:t>
      </w:r>
    </w:p>
    <w:p>
      <w:pPr>
        <w:spacing w:after="0" w:line="23" w:lineRule="exact"/>
        <w:rPr>
          <w:sz w:val="20"/>
          <w:szCs w:val="20"/>
          <w:color w:val="auto"/>
        </w:rPr>
      </w:pPr>
    </w:p>
    <w:p>
      <w:pPr>
        <w:ind w:left="332" w:right="40" w:hanging="332"/>
        <w:spacing w:after="0" w:line="278"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You will be eligible to enroll in the LivePerson health and disability insurance program on the first day of the first full calendar month of your employment subject to the terms and conditions of the applicable plans and policies, as they exist from time to time. You will be eligible to participate in the company’s 401(k) savings plan following your employment start date subject to the terms and conditions of the plan.</w:t>
      </w:r>
    </w:p>
    <w:p>
      <w:pPr>
        <w:spacing w:after="0" w:line="185" w:lineRule="exact"/>
        <w:rPr>
          <w:rFonts w:ascii="Arial" w:cs="Arial" w:eastAsia="Arial" w:hAnsi="Arial"/>
          <w:sz w:val="17"/>
          <w:szCs w:val="17"/>
          <w:color w:val="auto"/>
        </w:rPr>
      </w:pPr>
    </w:p>
    <w:p>
      <w:pPr>
        <w:ind w:left="332" w:hanging="332"/>
        <w:spacing w:after="0"/>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further orientation regarding benefits you are eligible for and company policies on or shortly after your start date.</w:t>
      </w:r>
    </w:p>
    <w:p>
      <w:pPr>
        <w:spacing w:after="0" w:line="225" w:lineRule="exact"/>
        <w:rPr>
          <w:rFonts w:ascii="Arial" w:cs="Arial" w:eastAsia="Arial" w:hAnsi="Arial"/>
          <w:sz w:val="18"/>
          <w:szCs w:val="18"/>
          <w:color w:val="auto"/>
        </w:rPr>
      </w:pPr>
    </w:p>
    <w:p>
      <w:pPr>
        <w:ind w:left="332" w:right="260" w:hanging="332"/>
        <w:spacing w:after="0" w:line="256"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offer is made contingent upon your successful completion of the Company’s pre-employment procedures, including reference and background verification of your prior employment and other information provided by you during the interview process, as well as proof of identity and authorization to work in the United States, as required by law.</w:t>
      </w:r>
    </w:p>
    <w:p>
      <w:pPr>
        <w:spacing w:after="0" w:line="201" w:lineRule="exact"/>
        <w:rPr>
          <w:rFonts w:ascii="Arial" w:cs="Arial" w:eastAsia="Arial" w:hAnsi="Arial"/>
          <w:sz w:val="18"/>
          <w:szCs w:val="18"/>
          <w:color w:val="auto"/>
        </w:rPr>
      </w:pPr>
    </w:p>
    <w:p>
      <w:pPr>
        <w:ind w:left="332" w:hanging="332"/>
        <w:spacing w:after="0"/>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receive further orientation regarding benefits you are eligible for and company policies on or shortly after your start date.</w:t>
      </w:r>
    </w:p>
    <w:p>
      <w:pPr>
        <w:spacing w:after="0" w:line="9" w:lineRule="exact"/>
        <w:rPr>
          <w:rFonts w:ascii="Arial" w:cs="Arial" w:eastAsia="Arial" w:hAnsi="Arial"/>
          <w:sz w:val="18"/>
          <w:szCs w:val="18"/>
          <w:color w:val="auto"/>
        </w:rPr>
      </w:pPr>
    </w:p>
    <w:p>
      <w:pPr>
        <w:ind w:left="332" w:right="440" w:hanging="332"/>
        <w:spacing w:after="0" w:line="262"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employment with LivePerson is at-will and may be terminated by you or LivePerson at any time with or without cause and with or without notice.</w:t>
      </w:r>
    </w:p>
    <w:p>
      <w:pPr>
        <w:spacing w:after="0" w:line="196" w:lineRule="exact"/>
        <w:rPr>
          <w:rFonts w:ascii="Arial" w:cs="Arial" w:eastAsia="Arial" w:hAnsi="Arial"/>
          <w:sz w:val="18"/>
          <w:szCs w:val="18"/>
          <w:color w:val="auto"/>
        </w:rPr>
      </w:pPr>
    </w:p>
    <w:p>
      <w:pPr>
        <w:ind w:left="332" w:right="80" w:hanging="332"/>
        <w:spacing w:after="0" w:line="251"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(a) your employment is terminated by the Company without Cause (as defined below), or (b) terminated by you for Good Reason (as defined below), and (c) and provided that within sixty (60) days following your termination date you timely execute and do not revoke a separation and release agreement drafted by and satisfactory to the Company, the Company will provide you with severance pay equal to six (6) months pay at your then current base salary rate and, if such termination occurs on or before the date that bonuses are paid for the fiscal year prior to termination, a payment equal to the bonus you would have received for the prior fiscal year had you remained employed on the date bonuses for such fiscal year are paid. In the event you terminate your employment due to subparagraph “i” of the definition of Good Reason, then your severance pay shall be paid at the base salary rate immediately preceding any reduction thereof. All payments hereunder shall be payable in accordance with the payment procedures described below. For the avoidance of doubt, the foregoing severance shall not be paid in the event that your employment is terminated by reason of your voluntary resignation (other than for Good Reason).</w:t>
      </w:r>
    </w:p>
    <w:p>
      <w:pPr>
        <w:spacing w:after="0" w:line="212" w:lineRule="exact"/>
        <w:rPr>
          <w:rFonts w:ascii="Arial" w:cs="Arial" w:eastAsia="Arial" w:hAnsi="Arial"/>
          <w:sz w:val="18"/>
          <w:szCs w:val="18"/>
          <w:color w:val="auto"/>
        </w:rPr>
      </w:pPr>
    </w:p>
    <w:p>
      <w:pPr>
        <w:ind w:left="332" w:hanging="332"/>
        <w:spacing w:after="0" w:line="251"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that within the 12-month period following a Change of Control (as defined below) your employment is terminated by the Company without Cause or by you for Good Reason; and provided that within sixty (60) days following your termination date you timely execute and do not revoke a Release (as defined above), the Company will provide you with the severance pay equal to six (6) months pay at your then current base salary rate and, if applicable, the bonus payments described in the immediately preceding paragraph and, with regard to any outstanding option and/or other equity awards held by you at the time of your termination: (a) if you have been employed by the Company for less than 24 months at the time your employment is terminated, the total number of shares of common stock that would have vested in the 24-month period following your termination date if you had remained employed shall become immediately vested and exercisable on your termination date, and (b) if you have been employed by the Company for 24 months or more at the time your employment is terminated, all outstanding shares of common stock granted to you will become fully vested and exercisable on your termination date, and (c) in either case, the vested portion of any outstanding option and/or other equity awards held by you shall remain exercisable for 90 days following your date of termination, but in no event later than the original term of the option as set forth in the applicable award agreement.</w:t>
      </w:r>
    </w:p>
    <w:p>
      <w:pPr>
        <w:sectPr>
          <w:pgSz w:w="11900" w:h="16838" w:orient="portrait"/>
          <w:cols w:equalWidth="0" w:num="1">
            <w:col w:w="11392"/>
          </w:cols>
          <w:pgMar w:left="248" w:top="1440" w:right="2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36" w:lineRule="exact"/>
        <w:rPr>
          <w:sz w:val="20"/>
          <w:szCs w:val="20"/>
          <w:color w:val="auto"/>
        </w:rPr>
      </w:pPr>
    </w:p>
    <w:p>
      <w:pPr>
        <w:ind w:left="332" w:hanging="332"/>
        <w:spacing w:after="0" w:line="253"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hereof, “Change of Control” shall be defined as, and limited to: the consummation of any transaction or group of related transactions following which the holders (or persons or entities that directly or indirectly control, are controlled by, or are under common control with, the holders) of the Company’s voting power immediately prior to such transaction(s) no longer hold securities having the voting power necessary to elect a majority of the board of directors of the surviving entity or entities, or a sale of all or substantially all of the Company’s assets.</w:t>
      </w:r>
    </w:p>
    <w:p>
      <w:pPr>
        <w:spacing w:after="0" w:line="205" w:lineRule="exact"/>
        <w:rPr>
          <w:rFonts w:ascii="Arial" w:cs="Arial" w:eastAsia="Arial" w:hAnsi="Arial"/>
          <w:sz w:val="18"/>
          <w:szCs w:val="18"/>
          <w:color w:val="auto"/>
        </w:rPr>
      </w:pPr>
    </w:p>
    <w:p>
      <w:pPr>
        <w:ind w:left="332" w:right="80" w:hanging="332"/>
        <w:spacing w:after="0" w:line="251"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Severance payments described above shall commence on the Company's first regularly scheduled payroll date that occurs as soon as practicable after the conditions set forth above are satisfied, and with respect to bonus payments, on the date bonuses are paid by the Company but in any event all severance and bonus payments hereunder shall be paid in full no later than the fifteenth (15th) day of the third (3rd) month following the end of your first tax year in which your termination of employment occurs, or, if later, the fifteenth (15th) day of the third (3rd) month following the end of the Company's first tax year in which your termination of employment occurs, as provided in Treasury Regulation Section 1.409A-1(b)(4). The parties intend that the payments and benefits provided pursuant to this letter are exempt from the requirements of Section 409A of the Internal Revenue Code of 1986, as amended, the regulations and other guidance under and any state law of similar effect ("Section 409A") and any ambiguities herein will be interpreted to be so exempt. Each payment and benefit payable under this letter is intended to constitute separate payments for purposes of Treasury Regulation Section 1.409A-2(b)(2). Notwithstanding anything herein to the contrary, the Company shall have no liability to you or to any other person, for any taxes, penalties or otherwise, if the payments and benefits provided pursuant to this letter that are intended to be exempt from Section 409A are not so exempt.</w:t>
      </w:r>
    </w:p>
    <w:p>
      <w:pPr>
        <w:spacing w:after="0" w:line="211" w:lineRule="exact"/>
        <w:rPr>
          <w:rFonts w:ascii="Arial" w:cs="Arial" w:eastAsia="Arial" w:hAnsi="Arial"/>
          <w:sz w:val="18"/>
          <w:szCs w:val="18"/>
          <w:color w:val="auto"/>
        </w:rPr>
      </w:pPr>
    </w:p>
    <w:p>
      <w:pPr>
        <w:ind w:left="332" w:right="220" w:hanging="332"/>
        <w:spacing w:after="0" w:line="254"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your employment is voluntarily terminated at any time by you (other than for Good Reason as set forth herein), or by the Company for Cause, you will be entitled only to your earned and unpaid compensation earned through the date of your termination of employment in accordance with applicable law. You will not be entitled to severance, option acceleration, or any other compensation or consideration that you might have received had your employment with the Company not been terminated.</w:t>
      </w:r>
    </w:p>
    <w:p>
      <w:pPr>
        <w:spacing w:after="0" w:line="204" w:lineRule="exact"/>
        <w:rPr>
          <w:rFonts w:ascii="Arial" w:cs="Arial" w:eastAsia="Arial" w:hAnsi="Arial"/>
          <w:sz w:val="18"/>
          <w:szCs w:val="18"/>
          <w:color w:val="auto"/>
        </w:rPr>
      </w:pPr>
    </w:p>
    <w:p>
      <w:pPr>
        <w:ind w:left="332" w:right="40" w:hanging="332"/>
        <w:spacing w:after="0" w:line="251"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hereof, “Cause” shall mean a determination by the Company that: (i) you materially failed to perform your specified or fundamental duties to the Company or any of its subsidiaries, (ii) you were convicted of, or pled nolo contendere to, a felony (regardless of the nature of the felony), or any other crime involving dishonesty, fraud, or moral turpitude, (iii) you engaged in or acted with gross negligence or willful misconduct (including but not limited to acts of fraud, criminal activity or professional misconduct) in connection with the performance of your duties and responsibilities to the Company or any of its subsidiaries, (iv) you failed to substantially comply with the written rules and policies of the Company or any of its subsidiaries governing employee conduct or with the lawful directives of the Board of Directors, or (v) you breached any non-disclosure, non-solicitation or other restrictive covenant obligation to the Company or any of its subsidiaries. If the Company in its reasonable discretion determines that an event or incident described in to subparagraph (i) or (iv) of the definition of Cause is curable, then in order to terminate your employment for Cause pursuant to subparagraph (i) or (iv) of the definition of Cause, the Company shall (a) provide you with written notice of the event or incident that it considers to be “Cause” within 30 calendar days following its occurrence, (b) provide you with a period of at least 15 calendar days to cure the event or incident, and (c) if the Cause persists following the cure period, terminate your employment by written termination letter any time within 60 calendar days following the date that notice to cure was delivered to you.</w:t>
      </w:r>
    </w:p>
    <w:p>
      <w:pPr>
        <w:spacing w:after="0" w:line="211" w:lineRule="exact"/>
        <w:rPr>
          <w:rFonts w:ascii="Arial" w:cs="Arial" w:eastAsia="Arial" w:hAnsi="Arial"/>
          <w:sz w:val="18"/>
          <w:szCs w:val="18"/>
          <w:color w:val="auto"/>
        </w:rPr>
      </w:pPr>
    </w:p>
    <w:p>
      <w:pPr>
        <w:jc w:val="both"/>
        <w:ind w:left="332" w:right="140" w:hanging="332"/>
        <w:spacing w:after="0" w:line="256" w:lineRule="auto"/>
        <w:tabs>
          <w:tab w:leader="none" w:pos="3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hereof, “Good Reason” shall mean one or all of the following conditions arising without your consent: (i) a material reduction in your annual base salary by the Company, other than as part of an across-the-board reduction in parity with a reduction applicable to all employees or to other employees of similar role and responsibility; (ii) a material diminution by the Company of your role,</w:t>
      </w:r>
    </w:p>
    <w:p>
      <w:pPr>
        <w:sectPr>
          <w:pgSz w:w="11900" w:h="16838" w:orient="portrait"/>
          <w:cols w:equalWidth="0" w:num="1">
            <w:col w:w="11412"/>
          </w:cols>
          <w:pgMar w:left="248" w:top="1440"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63" w:lineRule="exact"/>
        <w:rPr>
          <w:sz w:val="20"/>
          <w:szCs w:val="20"/>
          <w:color w:val="auto"/>
        </w:rPr>
      </w:pPr>
    </w:p>
    <w:p>
      <w:pPr>
        <w:ind w:left="332" w:right="60"/>
        <w:spacing w:after="0" w:line="292" w:lineRule="auto"/>
        <w:rPr>
          <w:sz w:val="20"/>
          <w:szCs w:val="20"/>
          <w:color w:val="auto"/>
        </w:rPr>
      </w:pPr>
      <w:r>
        <w:rPr>
          <w:rFonts w:ascii="Arial" w:cs="Arial" w:eastAsia="Arial" w:hAnsi="Arial"/>
          <w:sz w:val="18"/>
          <w:szCs w:val="18"/>
          <w:color w:val="auto"/>
        </w:rPr>
        <w:t>responsibilities and title, or (iii) a relocation of the Company’s principal office to a location more than 50 miles from its location on the date hereof (or from such other location to which you have consented after the date hereof), unless such new location is closer to your primary residence than the prior location. To be entitled to terminate your employment for Good Reason, you must (a) provide written notice to the Company of the event or change you consider constitutes “Good Reason” within 30 calendar days following its occurrence, (b) provide the Company with a period of at least 30 calendar days to cure the event or change, and (c) if the Good Reason persists following the cure period, actually resign by written resignation letter within 60 calendar days following the event or change.</w:t>
      </w:r>
    </w:p>
    <w:p>
      <w:pPr>
        <w:spacing w:after="0" w:line="2" w:lineRule="exact"/>
        <w:rPr>
          <w:sz w:val="20"/>
          <w:szCs w:val="20"/>
          <w:color w:val="auto"/>
        </w:rPr>
      </w:pPr>
    </w:p>
    <w:p>
      <w:pPr>
        <w:ind w:left="332" w:right="140" w:hanging="332"/>
        <w:spacing w:after="0" w:line="254"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letter shall not be construed as an agreement (either express or implied) to employ you, or for any guaranteed term of employment, and shall in no way alter the Company’s policy of employment at-will, under which both the Company and you remain free to end the employment relationship for any reason, at any time, with or without cause or notice. Your employment with LivePerson is at-will and may be terminated by you or LivePerson at any time with or without cause and with or without notice.</w:t>
      </w:r>
    </w:p>
    <w:p>
      <w:pPr>
        <w:spacing w:after="0" w:line="204" w:lineRule="exact"/>
        <w:rPr>
          <w:rFonts w:ascii="Arial" w:cs="Arial" w:eastAsia="Arial" w:hAnsi="Arial"/>
          <w:sz w:val="18"/>
          <w:szCs w:val="18"/>
          <w:color w:val="auto"/>
        </w:rPr>
      </w:pPr>
    </w:p>
    <w:p>
      <w:pPr>
        <w:ind w:left="332" w:right="240" w:hanging="332"/>
        <w:spacing w:after="0" w:line="256"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offer is made contingent upon your successful completion of the Company’s pre-employment procedures, including reference and background verification of your prior employment and other information provided by you during the interview process, as well as proof of identity and authorization to work in the United States, as required by law.</w:t>
      </w:r>
    </w:p>
    <w:p>
      <w:pPr>
        <w:spacing w:after="0" w:line="201" w:lineRule="exact"/>
        <w:rPr>
          <w:rFonts w:ascii="Arial" w:cs="Arial" w:eastAsia="Arial" w:hAnsi="Arial"/>
          <w:sz w:val="18"/>
          <w:szCs w:val="18"/>
          <w:color w:val="auto"/>
        </w:rPr>
      </w:pPr>
    </w:p>
    <w:p>
      <w:pPr>
        <w:ind w:left="332" w:hanging="332"/>
        <w:spacing w:after="0" w:line="252"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signing this letter you confirm that you are not subject to any agreement, with a prior employer or otherwise, which would prohibit, limit or otherwise be inconsistent with your employment at LivePerson or prevent you from performing your obligations to LivePerson. Additionally, please be advised that it is LivePerson’s corporate policy not to obtain or use any confidential, proprietary information or trade secrets of its competitors or others, unless it is properly obtained from sources permitted to disclose such information. By signing this letter below, you are acknowledging that you have been advised of this policy and that you accept and will abide by it, and you are also agreeing that you will not use or disclose any confidential or proprietary information of LivePerson to any third party, including any previous or subsequent employer.</w:t>
      </w:r>
    </w:p>
    <w:p>
      <w:pPr>
        <w:sectPr>
          <w:pgSz w:w="11900" w:h="16838" w:orient="portrait"/>
          <w:cols w:equalWidth="0" w:num="1">
            <w:col w:w="11372"/>
          </w:cols>
          <w:pgMar w:left="248" w:top="1440" w:right="2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Please indicate your acceptance of this offer by signing and dating below. You will also receive additional information about LivePerson as well as some forms and documents that you must complete prior to your start date. Your employment is contingent upon the return of the requested material. The terms of this offer cannot be changed unless in writing signed by LivePerson. If you have any questions, please do not hesitate to reach out to the People Group.</w:t>
      </w:r>
    </w:p>
    <w:p>
      <w:pPr>
        <w:spacing w:after="0" w:line="20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LivePerson is a dynamic organization with tremendous growth opportunities. We look forward to you joining us and hope that you share our excitement for the opportunity it presents to everyone on the team.</w:t>
      </w: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6440" w:val="left"/>
        </w:tabs>
        <w:rPr>
          <w:sz w:val="20"/>
          <w:szCs w:val="20"/>
          <w:color w:val="auto"/>
        </w:rPr>
      </w:pPr>
      <w:r>
        <w:rPr>
          <w:rFonts w:ascii="Arial" w:cs="Arial" w:eastAsia="Arial" w:hAnsi="Arial"/>
          <w:sz w:val="18"/>
          <w:szCs w:val="18"/>
          <w:color w:val="auto"/>
        </w:rPr>
        <w:t>Sincerely,</w:t>
      </w:r>
      <w:r>
        <w:rPr>
          <w:sz w:val="20"/>
          <w:szCs w:val="20"/>
          <w:color w:val="auto"/>
        </w:rPr>
        <w:tab/>
      </w:r>
      <w:r>
        <w:rPr>
          <w:rFonts w:ascii="Arial" w:cs="Arial" w:eastAsia="Arial" w:hAnsi="Arial"/>
          <w:sz w:val="18"/>
          <w:szCs w:val="18"/>
          <w:color w:val="auto"/>
        </w:rPr>
        <w:t>Accepted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4440" w:type="dxa"/>
            <w:vAlign w:val="bottom"/>
          </w:tcPr>
          <w:p>
            <w:pPr>
              <w:ind w:left="1440"/>
              <w:spacing w:after="0"/>
              <w:rPr>
                <w:sz w:val="20"/>
                <w:szCs w:val="20"/>
                <w:color w:val="auto"/>
              </w:rPr>
            </w:pPr>
            <w:r>
              <w:rPr>
                <w:rFonts w:ascii="Arial" w:cs="Arial" w:eastAsia="Arial" w:hAnsi="Arial"/>
                <w:sz w:val="18"/>
                <w:szCs w:val="18"/>
                <w:color w:val="auto"/>
                <w:w w:val="99"/>
              </w:rPr>
              <w:t>______________________________</w:t>
            </w:r>
          </w:p>
        </w:tc>
        <w:tc>
          <w:tcPr>
            <w:tcW w:w="0" w:type="dxa"/>
            <w:vAlign w:val="bottom"/>
          </w:tcPr>
          <w:p>
            <w:pPr>
              <w:spacing w:after="0"/>
              <w:rPr>
                <w:sz w:val="1"/>
                <w:szCs w:val="1"/>
                <w:color w:val="auto"/>
              </w:rPr>
            </w:pPr>
          </w:p>
        </w:tc>
      </w:tr>
      <w:tr>
        <w:trPr>
          <w:trHeight w:val="269"/>
        </w:trPr>
        <w:tc>
          <w:tcPr>
            <w:tcW w:w="4840" w:type="dxa"/>
            <w:vAlign w:val="bottom"/>
          </w:tcPr>
          <w:p>
            <w:pPr>
              <w:spacing w:after="0"/>
              <w:rPr>
                <w:sz w:val="20"/>
                <w:szCs w:val="20"/>
                <w:color w:val="auto"/>
              </w:rPr>
            </w:pPr>
            <w:r>
              <w:rPr>
                <w:rFonts w:ascii="Arial" w:cs="Arial" w:eastAsia="Arial" w:hAnsi="Arial"/>
                <w:sz w:val="18"/>
                <w:szCs w:val="18"/>
                <w:color w:val="auto"/>
              </w:rPr>
              <w:t>Daryl J. Carlough</w:t>
            </w:r>
          </w:p>
        </w:tc>
        <w:tc>
          <w:tcPr>
            <w:tcW w:w="4440" w:type="dxa"/>
            <w:vAlign w:val="bottom"/>
            <w:vMerge w:val="restart"/>
          </w:tcPr>
          <w:p>
            <w:pPr>
              <w:ind w:left="1440"/>
              <w:spacing w:after="0"/>
              <w:rPr>
                <w:sz w:val="20"/>
                <w:szCs w:val="20"/>
                <w:color w:val="auto"/>
              </w:rPr>
            </w:pPr>
            <w:r>
              <w:rPr>
                <w:rFonts w:ascii="Arial" w:cs="Arial" w:eastAsia="Arial" w:hAnsi="Arial"/>
                <w:sz w:val="18"/>
                <w:szCs w:val="18"/>
                <w:color w:val="auto"/>
              </w:rPr>
              <w:t>Alex Spinelli</w:t>
            </w:r>
          </w:p>
        </w:tc>
        <w:tc>
          <w:tcPr>
            <w:tcW w:w="0" w:type="dxa"/>
            <w:vAlign w:val="bottom"/>
          </w:tcPr>
          <w:p>
            <w:pPr>
              <w:spacing w:after="0"/>
              <w:rPr>
                <w:sz w:val="1"/>
                <w:szCs w:val="1"/>
                <w:color w:val="auto"/>
              </w:rPr>
            </w:pPr>
          </w:p>
        </w:tc>
      </w:tr>
      <w:tr>
        <w:trPr>
          <w:trHeight w:val="95"/>
        </w:trPr>
        <w:tc>
          <w:tcPr>
            <w:tcW w:w="4840" w:type="dxa"/>
            <w:vAlign w:val="bottom"/>
            <w:vMerge w:val="restart"/>
          </w:tcPr>
          <w:p>
            <w:pPr>
              <w:spacing w:after="0"/>
              <w:rPr>
                <w:sz w:val="20"/>
                <w:szCs w:val="20"/>
                <w:color w:val="auto"/>
              </w:rPr>
            </w:pPr>
            <w:r>
              <w:rPr>
                <w:rFonts w:ascii="Arial" w:cs="Arial" w:eastAsia="Arial" w:hAnsi="Arial"/>
                <w:sz w:val="18"/>
                <w:szCs w:val="18"/>
                <w:color w:val="auto"/>
              </w:rPr>
              <w:t>SVP, Global &amp; Corporate Controller</w:t>
            </w:r>
          </w:p>
        </w:tc>
        <w:tc>
          <w:tcPr>
            <w:tcW w:w="4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84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4840" w:type="dxa"/>
            <w:vAlign w:val="bottom"/>
          </w:tcPr>
          <w:p>
            <w:pPr>
              <w:spacing w:after="0"/>
              <w:rPr>
                <w:sz w:val="20"/>
                <w:szCs w:val="20"/>
                <w:color w:val="auto"/>
              </w:rPr>
            </w:pPr>
            <w:r>
              <w:rPr>
                <w:rFonts w:ascii="Arial" w:cs="Arial" w:eastAsia="Arial" w:hAnsi="Arial"/>
                <w:sz w:val="18"/>
                <w:szCs w:val="18"/>
                <w:color w:val="auto"/>
              </w:rPr>
              <w:t>______________</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ind w:left="1440"/>
              <w:spacing w:after="0"/>
              <w:rPr>
                <w:sz w:val="20"/>
                <w:szCs w:val="20"/>
                <w:color w:val="auto"/>
              </w:rPr>
            </w:pPr>
            <w:r>
              <w:rPr>
                <w:rFonts w:ascii="Arial" w:cs="Arial" w:eastAsia="Arial" w:hAnsi="Arial"/>
                <w:sz w:val="18"/>
                <w:szCs w:val="18"/>
                <w:color w:val="auto"/>
              </w:rPr>
              <w:t>______________</w:t>
            </w:r>
          </w:p>
        </w:tc>
        <w:tc>
          <w:tcPr>
            <w:tcW w:w="0" w:type="dxa"/>
            <w:vAlign w:val="bottom"/>
          </w:tcPr>
          <w:p>
            <w:pPr>
              <w:spacing w:after="0"/>
              <w:rPr>
                <w:sz w:val="1"/>
                <w:szCs w:val="1"/>
                <w:color w:val="auto"/>
              </w:rPr>
            </w:pPr>
          </w:p>
        </w:tc>
      </w:tr>
      <w:tr>
        <w:trPr>
          <w:trHeight w:val="324"/>
        </w:trPr>
        <w:tc>
          <w:tcPr>
            <w:tcW w:w="4840" w:type="dxa"/>
            <w:vAlign w:val="bottom"/>
          </w:tcPr>
          <w:p>
            <w:pPr>
              <w:spacing w:after="0"/>
              <w:rPr>
                <w:sz w:val="24"/>
                <w:szCs w:val="24"/>
                <w:color w:val="auto"/>
              </w:rPr>
            </w:pPr>
          </w:p>
        </w:tc>
        <w:tc>
          <w:tcPr>
            <w:tcW w:w="4440" w:type="dxa"/>
            <w:vAlign w:val="bottom"/>
          </w:tcPr>
          <w:p>
            <w:pPr>
              <w:ind w:left="14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 Greiner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Chris,</w:t>
      </w:r>
    </w:p>
    <w:p>
      <w:pPr>
        <w:spacing w:after="0" w:line="221"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color w:val="auto"/>
        </w:rPr>
        <w:t xml:space="preserve">I am pleased to offer you the position of </w:t>
      </w:r>
      <w:r>
        <w:rPr>
          <w:rFonts w:ascii="Arial" w:cs="Arial" w:eastAsia="Arial" w:hAnsi="Arial"/>
          <w:sz w:val="17"/>
          <w:szCs w:val="17"/>
          <w:b w:val="1"/>
          <w:bCs w:val="1"/>
          <w:color w:val="auto"/>
        </w:rPr>
        <w:t>EVP, Chief Financial Officer</w:t>
      </w:r>
      <w:r>
        <w:rPr>
          <w:rFonts w:ascii="Arial" w:cs="Arial" w:eastAsia="Arial" w:hAnsi="Arial"/>
          <w:sz w:val="17"/>
          <w:szCs w:val="17"/>
          <w:color w:val="auto"/>
        </w:rPr>
        <w:t xml:space="preserve"> working from our </w:t>
      </w:r>
      <w:r>
        <w:rPr>
          <w:rFonts w:ascii="Arial" w:cs="Arial" w:eastAsia="Arial" w:hAnsi="Arial"/>
          <w:sz w:val="17"/>
          <w:szCs w:val="17"/>
          <w:b w:val="1"/>
          <w:bCs w:val="1"/>
          <w:color w:val="auto"/>
        </w:rPr>
        <w:t>New York, NY</w:t>
      </w:r>
      <w:r>
        <w:rPr>
          <w:rFonts w:ascii="Arial" w:cs="Arial" w:eastAsia="Arial" w:hAnsi="Arial"/>
          <w:sz w:val="17"/>
          <w:szCs w:val="17"/>
          <w:color w:val="auto"/>
        </w:rPr>
        <w:t xml:space="preserve"> office. You are scheduled to start on </w:t>
      </w:r>
      <w:r>
        <w:rPr>
          <w:rFonts w:ascii="Arial" w:cs="Arial" w:eastAsia="Arial" w:hAnsi="Arial"/>
          <w:sz w:val="17"/>
          <w:szCs w:val="17"/>
          <w:b w:val="1"/>
          <w:bCs w:val="1"/>
          <w:color w:val="auto"/>
        </w:rPr>
        <w:t>March 19,</w:t>
      </w:r>
      <w:r>
        <w:rPr>
          <w:rFonts w:ascii="Arial" w:cs="Arial" w:eastAsia="Arial" w:hAnsi="Arial"/>
          <w:sz w:val="17"/>
          <w:szCs w:val="17"/>
          <w:color w:val="auto"/>
        </w:rPr>
        <w:t xml:space="preserve"> </w:t>
      </w:r>
      <w:r>
        <w:rPr>
          <w:rFonts w:ascii="Arial" w:cs="Arial" w:eastAsia="Arial" w:hAnsi="Arial"/>
          <w:sz w:val="17"/>
          <w:szCs w:val="17"/>
          <w:b w:val="1"/>
          <w:bCs w:val="1"/>
          <w:color w:val="auto"/>
        </w:rPr>
        <w:t>2018</w:t>
      </w:r>
      <w:r>
        <w:rPr>
          <w:rFonts w:ascii="Arial" w:cs="Arial" w:eastAsia="Arial" w:hAnsi="Arial"/>
          <w:sz w:val="17"/>
          <w:szCs w:val="17"/>
          <w:color w:val="auto"/>
        </w:rPr>
        <w:t>, reporting to Robert LoCascio, the Company's CEO. This letter confirms the terms and conditions of our employment offer to you:</w:t>
      </w:r>
    </w:p>
    <w:p>
      <w:pPr>
        <w:spacing w:after="0" w:line="138" w:lineRule="exact"/>
        <w:rPr>
          <w:sz w:val="20"/>
          <w:szCs w:val="20"/>
          <w:color w:val="auto"/>
        </w:rPr>
      </w:pPr>
    </w:p>
    <w:p>
      <w:pPr>
        <w:ind w:left="660" w:right="480" w:hanging="328"/>
        <w:spacing w:after="0" w:line="34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You will be paid salary at an initial annualized salary rate of </w:t>
      </w:r>
      <w:r>
        <w:rPr>
          <w:rFonts w:ascii="Arial" w:cs="Arial" w:eastAsia="Arial" w:hAnsi="Arial"/>
          <w:sz w:val="16"/>
          <w:szCs w:val="16"/>
          <w:b w:val="1"/>
          <w:bCs w:val="1"/>
          <w:color w:val="auto"/>
        </w:rPr>
        <w:t>Four Hundred Seventy Thousand Dollars (US$470,000)</w:t>
      </w:r>
      <w:r>
        <w:rPr>
          <w:rFonts w:ascii="Arial" w:cs="Arial" w:eastAsia="Arial" w:hAnsi="Arial"/>
          <w:sz w:val="16"/>
          <w:szCs w:val="16"/>
          <w:color w:val="auto"/>
        </w:rPr>
        <w:t xml:space="preserve"> per year, to be paid in accordance with our then-current payroll practices (we currently pay salary on a semi-monthly basis on the 15th and last day of each month).</w:t>
      </w:r>
    </w:p>
    <w:p>
      <w:pPr>
        <w:spacing w:after="0" w:line="120"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You will be eligible to participate in the LivePerson bonus plan as it exists from time to time under terms comparable to other LivePerson employees of similar role and responsibility. Your target annual bonus for 2018 will be </w:t>
      </w:r>
      <w:r>
        <w:rPr>
          <w:rFonts w:ascii="Arial" w:cs="Arial" w:eastAsia="Arial" w:hAnsi="Arial"/>
          <w:sz w:val="17"/>
          <w:szCs w:val="17"/>
          <w:b w:val="1"/>
          <w:bCs w:val="1"/>
          <w:color w:val="auto"/>
        </w:rPr>
        <w:t>Two Hundred Thirty Thousand Dollars (US$230,000)</w:t>
      </w:r>
      <w:r>
        <w:rPr>
          <w:rFonts w:ascii="Arial" w:cs="Arial" w:eastAsia="Arial" w:hAnsi="Arial"/>
          <w:sz w:val="17"/>
          <w:szCs w:val="17"/>
          <w:color w:val="auto"/>
        </w:rPr>
        <w:t>, which will be prorated for the portion of 2018 that you are employed at LivePerson based on your actual start date. Your actual bonus payout, if any, is anticipated to be paid during the first quarter of the subsequent fiscal year, and will be determined in the sole discretion of LivePerson based on the profitability of the company as compared to Plan, your individual bonus target and your personal contribution to the company's efforts as determined by the Company in its sole discretion. Eligibility for and payment of such bonus, if any, is conditioned on your being actively employed by LivePerson as of the date the bonus, if any, is paid. Your actual bonus payment is likely to be either greater or less than your target amount based on these criteria. In any year, LivePerson may determine not to pay any bonus based on the above criteria. LivePerson reserves the right to amend or terminate its bonus plan at any time.</w:t>
      </w:r>
    </w:p>
    <w:p>
      <w:pPr>
        <w:spacing w:after="0" w:line="181"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be granted as of your start date inducement awards consisting of the following: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Unvested restricted stock units (RSUs) in respect of 60,000 shares of LivePerson common stock; and</w:t>
      </w:r>
    </w:p>
    <w:p>
      <w:pPr>
        <w:spacing w:after="0" w:line="225" w:lineRule="exact"/>
        <w:rPr>
          <w:rFonts w:ascii="Arial" w:cs="Arial" w:eastAsia="Arial" w:hAnsi="Arial"/>
          <w:sz w:val="18"/>
          <w:szCs w:val="18"/>
          <w:color w:val="auto"/>
        </w:rPr>
      </w:pPr>
    </w:p>
    <w:p>
      <w:pPr>
        <w:ind w:left="1300" w:right="48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unvested option to purchase 100,000 shares of LivePerson common stock at a strike price determined by the LivePerson Board of Directors;</w:t>
      </w:r>
    </w:p>
    <w:p>
      <w:pPr>
        <w:spacing w:after="0" w:line="170" w:lineRule="exact"/>
        <w:rPr>
          <w:rFonts w:ascii="Arial" w:cs="Arial" w:eastAsia="Arial" w:hAnsi="Arial"/>
          <w:sz w:val="18"/>
          <w:szCs w:val="18"/>
          <w:color w:val="auto"/>
        </w:rPr>
      </w:pPr>
    </w:p>
    <w:p>
      <w:pPr>
        <w:ind w:left="1300" w:right="40"/>
        <w:spacing w:after="0" w:line="264" w:lineRule="auto"/>
        <w:rPr>
          <w:rFonts w:ascii="Arial" w:cs="Arial" w:eastAsia="Arial" w:hAnsi="Arial"/>
          <w:sz w:val="18"/>
          <w:szCs w:val="18"/>
          <w:color w:val="auto"/>
        </w:rPr>
      </w:pPr>
      <w:r>
        <w:rPr>
          <w:rFonts w:ascii="Arial" w:cs="Arial" w:eastAsia="Arial" w:hAnsi="Arial"/>
          <w:sz w:val="18"/>
          <w:szCs w:val="18"/>
          <w:color w:val="auto"/>
        </w:rPr>
        <w:t>The equity grants described above will be granted in accordance with our then-current standard policies and under the terms and conditions of the applicable corresponding Grant Agreement(s) provided to you by the Company, and will vest in equal increments of 25% annually over four (4) years, beginning on the first anniversary of the grant date.</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be eligible for vacation in accordance with LivePerson's vacation policy as it exists from time to time. Under the current policy, you will accrue vacation at the approximate rate of 1.66 vacation days per month (20 days per year).</w:t>
      </w:r>
    </w:p>
    <w:p>
      <w:pPr>
        <w:spacing w:after="0" w:line="170" w:lineRule="exact"/>
        <w:rPr>
          <w:rFonts w:ascii="Arial" w:cs="Arial" w:eastAsia="Arial" w:hAnsi="Arial"/>
          <w:sz w:val="18"/>
          <w:szCs w:val="18"/>
          <w:color w:val="auto"/>
        </w:rPr>
      </w:pPr>
    </w:p>
    <w:p>
      <w:pPr>
        <w:ind w:left="660" w:right="50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You will be eligible to enroll in the LivePerson health and disability insurance program on the first day of the first full calendar month of your employment subject to the terms and conditions of the applicable plans and policies, as they exist from time to time. You will be eligible to participate in the company's 401(k) savings plan following your employment start date subject to the terms and conditions of the plan.</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receive further orientation regarding benefits you are eligible for and company policies on or shortly after your start date.</w:t>
      </w:r>
    </w:p>
    <w:p>
      <w:pPr>
        <w:sectPr>
          <w:pgSz w:w="11900" w:h="16838" w:orient="portrait"/>
          <w:cols w:equalWidth="0" w:num="1">
            <w:col w:w="11380"/>
          </w:cols>
          <w:pgMar w:left="240" w:top="1440" w:right="27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22" w:lineRule="exact"/>
        <w:rPr>
          <w:sz w:val="20"/>
          <w:szCs w:val="20"/>
          <w:color w:val="auto"/>
        </w:rPr>
      </w:pPr>
    </w:p>
    <w:p>
      <w:pPr>
        <w:ind w:left="328" w:right="160" w:hanging="328"/>
        <w:spacing w:after="0" w:line="264"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offer is made contingent upon your successful completion of the Company's pre-employment procedures, including reference and background verification of your prior employment and other information provided by you during the Interview process, as well as proof of identity and authorization to work in the United States, as required by law.</w:t>
      </w:r>
    </w:p>
    <w:p>
      <w:pPr>
        <w:spacing w:after="0" w:line="181" w:lineRule="exact"/>
        <w:rPr>
          <w:rFonts w:ascii="Arial" w:cs="Arial" w:eastAsia="Arial" w:hAnsi="Arial"/>
          <w:sz w:val="18"/>
          <w:szCs w:val="18"/>
          <w:color w:val="auto"/>
        </w:rPr>
      </w:pPr>
    </w:p>
    <w:p>
      <w:pPr>
        <w:ind w:left="328" w:right="120" w:hanging="328"/>
        <w:spacing w:after="0" w:line="28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our then-current, standard T&amp;E and other policies, you will be entitled to submit for reimbursement reasonable relocation expenses including selling fees of existing home, purchasing fees of new home, packing &amp; shipping of household goods related to your relocation to the New York area to work in our headquarters, up to an aggregate amount of US$200,000 inclusive of taxes incurred.</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receive further orientation regarding benefits you are eligible for and company policies on or shortly after your start date.</w:t>
      </w:r>
    </w:p>
    <w:p>
      <w:pPr>
        <w:spacing w:after="0" w:line="225"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Your employment with live Person is at-will and may be terminated by you or LivePerson at any time with or without cause and with or without notice.</w:t>
      </w:r>
    </w:p>
    <w:p>
      <w:pPr>
        <w:spacing w:after="0" w:line="170" w:lineRule="exact"/>
        <w:rPr>
          <w:rFonts w:ascii="Arial" w:cs="Arial" w:eastAsia="Arial" w:hAnsi="Arial"/>
          <w:sz w:val="18"/>
          <w:szCs w:val="18"/>
          <w:color w:val="auto"/>
        </w:rPr>
      </w:pPr>
    </w:p>
    <w:p>
      <w:pPr>
        <w:ind w:left="328" w:hanging="328"/>
        <w:spacing w:after="0" w:line="270"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that (a) your employment is terminated by the Company without Cause (as defined below), or (b) terminated by you for Good Reason (as defined below), and (c) and provided that within sixty (60) days following your termination date you timely execute and do not revoke a separation and release agreement drafted by and satisfactory to the Company, the Company will provide you with severance pay equal to six (6) months pay at your then current base salary rate and, if such termination occurs on or before the date that bonuses are paid for the fiscal year prior to termination, a payment equal to the bonus you would have received for the prior fiscal year had you remained employed on the date bonuses for such fiscal year are paid. In the event you terminate your employment due to subparagraph ' i" of the definition of Good Reason, then your severance pay shall be paid at the base salary rate immediately preceding any reduction thereof. All payments hereunder shall be payable in accordance with the payment procedures described below. For the avoidance of doubt, the foregoing severance shall not be paid in the event that your employment is terminated by reason of your voluntary resignation (other than for Good Reason).</w:t>
      </w:r>
    </w:p>
    <w:p>
      <w:pPr>
        <w:spacing w:after="0" w:line="181" w:lineRule="exact"/>
        <w:rPr>
          <w:rFonts w:ascii="Arial" w:cs="Arial" w:eastAsia="Arial" w:hAnsi="Arial"/>
          <w:sz w:val="17"/>
          <w:szCs w:val="17"/>
          <w:color w:val="auto"/>
        </w:rPr>
      </w:pPr>
    </w:p>
    <w:p>
      <w:pPr>
        <w:ind w:left="328" w:hanging="328"/>
        <w:spacing w:after="0" w:line="269"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that within the 12-month period following a Change of Control (as defined below) your employment is terminated by the Company without Cause or by you for Good Reason; and provided that within sixty (60) days following your termination date you timely execute and do not revoke a Release (as defined above), the Company will provide you with the severance pay equal to nine (9) months pay at your then current base salary rate and, if applicable, the bonus payments described in the immediately preceding paragraph and, with regard to any outstanding option and/or other equity awards held by you at the time of your termination: (a) if you have been employed by the Company for less than 12 months at the time your employment is terminated, the total number of shares of common stock that would have vested in the 24-month period following your termination date if you had remained employed shall become immediately vested and exercisable on your termination date, and (b) if you have been employed by the Company for 12 months or more at the time your employment is terminated, all outstanding shares of common stock granted to you will become fully vested and exercisable on your termination date, and (c) in either case, the vested portion of any outstanding option and/or other equity awards held by you shall remain exercisable for 90 days following your date of termination, but in no event later than the original term of the option as set forth in the applicable award agreement.</w:t>
      </w:r>
    </w:p>
    <w:p>
      <w:pPr>
        <w:spacing w:after="0" w:line="182" w:lineRule="exact"/>
        <w:rPr>
          <w:rFonts w:ascii="Arial" w:cs="Arial" w:eastAsia="Arial" w:hAnsi="Arial"/>
          <w:sz w:val="17"/>
          <w:szCs w:val="17"/>
          <w:color w:val="auto"/>
        </w:rPr>
      </w:pPr>
    </w:p>
    <w:p>
      <w:pPr>
        <w:ind w:left="328" w:hanging="328"/>
        <w:spacing w:after="0" w:line="302" w:lineRule="auto"/>
        <w:tabs>
          <w:tab w:leader="none" w:pos="3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purposes hereof, "Change of Control" shall be defined as, and limited to: the consummation of any transaction or group of related transactions following which the holders (or persons or entities that directly or indirectly control, are controlled by, or are under common control with, the holders) of the Company's voting power immediately prior to such transaction(s) no longer hold securities having the voting power necessary to elect a majority of the board of directors of the surviving entity or entities, or a sale of all or substantially all of the Company's assets.</w:t>
      </w:r>
    </w:p>
    <w:p>
      <w:pPr>
        <w:sectPr>
          <w:pgSz w:w="11900" w:h="16838" w:orient="portrait"/>
          <w:cols w:equalWidth="0" w:num="1">
            <w:col w:w="11088"/>
          </w:cols>
          <w:pgMar w:left="572"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22" w:lineRule="exact"/>
        <w:rPr>
          <w:sz w:val="20"/>
          <w:szCs w:val="20"/>
          <w:color w:val="auto"/>
        </w:rPr>
      </w:pPr>
    </w:p>
    <w:p>
      <w:pPr>
        <w:ind w:left="328" w:hanging="328"/>
        <w:spacing w:after="0" w:line="269"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Severance payments described above shall commence on the Company's first regularly scheduled payroll date that occurs as soon as practicable after the conditions set forth above are satisfied, and with respect to bonus payments, on the date bonuses are paid by the Company but in any event all severance and bonus payments hereunder shall be paid in full no later than the fifteenth (15th) day of the third (3rd) month following the end of your first tax year in which your termination of employment occurs, or, if later, the fifteenth (15th) day of the third (3rd) month following the end of the Company's first tax year in which your termination of employment occurs, as provided in Treasury Regulation Section 1.409A-1(b)(4). The parties intend that the payments and benefits provided pursuant to this letter are exempt from the requirements of Section 409A of the Internal Revenue Code of 1986, as amended, the regulations and other guidance under and any state law of similar effect ("Section 409A") and any ambiguities herein will be interpreted to be so exempt. Each payment and benefit payable under this letter is intended to constitute separate payments for purposes of Treasury Regulation Section 1.409A-2(b)(2). Notwithstanding anything herein to the contrary, the Company shall have no liability to you or to any other person, for any taxes, penalties or otherwise, if the payments and benefits provided pursuant to this letter that are intended to be exempt from Section 409A are not so exempt.</w:t>
      </w:r>
    </w:p>
    <w:p>
      <w:pPr>
        <w:spacing w:after="0" w:line="182" w:lineRule="exact"/>
        <w:rPr>
          <w:rFonts w:ascii="Arial" w:cs="Arial" w:eastAsia="Arial" w:hAnsi="Arial"/>
          <w:sz w:val="17"/>
          <w:szCs w:val="17"/>
          <w:color w:val="auto"/>
        </w:rPr>
      </w:pPr>
    </w:p>
    <w:p>
      <w:pPr>
        <w:ind w:left="328" w:hanging="328"/>
        <w:spacing w:after="0" w:line="259"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your employment is voluntarily terminated at any time by you (other than for Good Reason as set forth herein), or by the Company for Cause, you will be entitled only to your earned and unpaid compensation earned through the date of your termination of employment in accordance with applicable law. You will not be entitled to severance, option acceleration, or any other compensation or consideration that you might have received had your employment with the Company not been terminated.</w:t>
      </w:r>
    </w:p>
    <w:p>
      <w:pPr>
        <w:spacing w:after="0" w:line="186" w:lineRule="exact"/>
        <w:rPr>
          <w:rFonts w:ascii="Arial" w:cs="Arial" w:eastAsia="Arial" w:hAnsi="Arial"/>
          <w:sz w:val="18"/>
          <w:szCs w:val="18"/>
          <w:color w:val="auto"/>
        </w:rPr>
      </w:pPr>
    </w:p>
    <w:p>
      <w:pPr>
        <w:ind w:left="328" w:right="40" w:hanging="328"/>
        <w:spacing w:after="0" w:line="283" w:lineRule="auto"/>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purposes hereof, “cause" shall mean a determination by the Company (which determination shall not be arbitrary or capricious) that: (i) you materially failed to perform your specified or fundamental duties to the Company or any of its subsidiaries, (ii) you were convicted of, or pied nolo contendere to, a felony (regardless of the nature of the felony), or any other crime involving dishonesty, fraud, or moral turpitude, (iii) you engaged in or acted with gross negligence or willful misconduct (including but not limited to acts of fraud, criminal activity or professional misconduct) in connection with the performance of your duties and responsibilities to the Company or any of its subsidiaries, (iv) you failed to substantially comply with the written rules and policies of the Company or any of its subsidiaries governing employee conduct or with the lawful directives of the Board of Directors, or (v) you breached any non-disclosure, non-solicitation or other restrictive covenant obligation to the Company or any of its subsidiaries. If the Company in its reasonable discretion determines that an event or incident described in to subparagraph (i) or (iv) of the definition of Cause is curable, then in order to terminate your employment for Cause pursuant to subparagraph (i) or (iv) of the definition of</w:t>
      </w:r>
    </w:p>
    <w:p>
      <w:pPr>
        <w:spacing w:after="0" w:line="6" w:lineRule="exact"/>
        <w:rPr>
          <w:rFonts w:ascii="Arial" w:cs="Arial" w:eastAsia="Arial" w:hAnsi="Arial"/>
          <w:sz w:val="16"/>
          <w:szCs w:val="16"/>
          <w:color w:val="auto"/>
        </w:rPr>
      </w:pPr>
    </w:p>
    <w:p>
      <w:pPr>
        <w:ind w:left="328"/>
        <w:spacing w:after="0" w:line="254" w:lineRule="auto"/>
        <w:rPr>
          <w:rFonts w:ascii="Arial" w:cs="Arial" w:eastAsia="Arial" w:hAnsi="Arial"/>
          <w:sz w:val="16"/>
          <w:szCs w:val="16"/>
          <w:color w:val="auto"/>
        </w:rPr>
      </w:pPr>
      <w:r>
        <w:rPr>
          <w:rFonts w:ascii="Arial" w:cs="Arial" w:eastAsia="Arial" w:hAnsi="Arial"/>
          <w:sz w:val="18"/>
          <w:szCs w:val="18"/>
          <w:color w:val="auto"/>
        </w:rPr>
        <w:t>Cause, the Company shall (a} provide you with written notice of the event or incident that it considers to be "Cause· within 30 calendar days following its occurrence, (b) provide you with a period of at least 15 calendar days to cure the event or incident, and (c) if the Cause persists following the cure period, terminate your employment by written termination letter any time within 60 calendar days following the date that notice to cure was delivered to you.</w:t>
      </w:r>
    </w:p>
    <w:p>
      <w:pPr>
        <w:spacing w:after="0" w:line="189" w:lineRule="exact"/>
        <w:rPr>
          <w:rFonts w:ascii="Arial" w:cs="Arial" w:eastAsia="Arial" w:hAnsi="Arial"/>
          <w:sz w:val="16"/>
          <w:szCs w:val="16"/>
          <w:color w:val="auto"/>
        </w:rPr>
      </w:pPr>
    </w:p>
    <w:p>
      <w:pPr>
        <w:ind w:left="328" w:right="20" w:hanging="328"/>
        <w:spacing w:after="0" w:line="270"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purposes hereof, "Good Reason· shall mean one or all of the following conditions arising without your consent: (i) a material reduction in your annual base salary by the Company, other than as part of an across-the-board reduction in parity with a reduction applicable to all employees or to other employees of similar role and responsibility; (ii) a material diminution by the Company of your role, responsibilities and title, or (iii) a relocation of the Company's principal office to a location more than 50 miles from its location on the date hereof (or from such other location to which you have consented after the date hereof), unless such new location is closer to your primary residence than the prior location. To be entitled to terminate your employment for Good Reason, you must (a) provide written notice to the Company of the event or change you consider constitutes "Good Reason” within 30 calendar days following its occurrence, (b) provide the Company with a period of at least 30 calendar days to cure the event or change, and (c) if the Good Reason persists following the cure period, actually resign by written resignation letter within 60 calendar days following the event or change.</w:t>
      </w:r>
    </w:p>
    <w:p>
      <w:pPr>
        <w:sectPr>
          <w:pgSz w:w="11900" w:h="16838" w:orient="portrait"/>
          <w:cols w:equalWidth="0" w:num="1">
            <w:col w:w="11068"/>
          </w:cols>
          <w:pgMar w:left="572" w:top="1440" w:right="2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22" w:lineRule="exact"/>
        <w:rPr>
          <w:sz w:val="20"/>
          <w:szCs w:val="20"/>
          <w:color w:val="auto"/>
        </w:rPr>
      </w:pPr>
    </w:p>
    <w:p>
      <w:pPr>
        <w:ind w:left="328" w:hanging="328"/>
        <w:spacing w:after="0" w:line="259"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letter shall not be construed as an agreement ( either express or implied) to employ you, or for any guaranteed term of employment, and shall in no way alter the Company's policy of employment at-will, under which both the Company and you remain free to end the employment relationship for any reason, at any time, with or without cause or notice. Your employment with LivePerson is at-will and may be terminated by you or LivePerson at any time with or without cause and with or without notice.</w:t>
      </w:r>
    </w:p>
    <w:p>
      <w:pPr>
        <w:spacing w:after="0" w:line="186" w:lineRule="exact"/>
        <w:rPr>
          <w:rFonts w:ascii="Arial" w:cs="Arial" w:eastAsia="Arial" w:hAnsi="Arial"/>
          <w:sz w:val="18"/>
          <w:szCs w:val="18"/>
          <w:color w:val="auto"/>
        </w:rPr>
      </w:pPr>
    </w:p>
    <w:p>
      <w:pPr>
        <w:ind w:left="328" w:right="100" w:hanging="328"/>
        <w:spacing w:after="0" w:line="264"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offer is made contingent upon your successful completion of the Company's pre-employment procedures, including reference and background verification of your prior employment and other information provided by you during the interview process, as well as proof of identity and authorization to work in the United States, as required by law.</w:t>
      </w:r>
    </w:p>
    <w:p>
      <w:pPr>
        <w:spacing w:after="0" w:line="181" w:lineRule="exact"/>
        <w:rPr>
          <w:rFonts w:ascii="Arial" w:cs="Arial" w:eastAsia="Arial" w:hAnsi="Arial"/>
          <w:sz w:val="18"/>
          <w:szCs w:val="18"/>
          <w:color w:val="auto"/>
        </w:rPr>
      </w:pPr>
    </w:p>
    <w:p>
      <w:pPr>
        <w:ind w:left="328" w:right="20" w:hanging="328"/>
        <w:spacing w:after="0" w:line="273"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By signing this letter you confirm that you are not subject to any agreement, with a prior employer or otherwise, which would prohibit, limit or otherwise be inconsistent with your employment at LivePerson or prevent you from performing your obligations to LivePerson. Additionally, please be advised that it is Live Person's corporate policy not to obtain or use any confidential, proprietary information or trade secrets of its competitors or others, unless it is properly obtained from sources permitted to disclose such information. By signing this letter below, you are acknowledging that you have been advised of this policy and that you accept and will abide by it, and you are also agreeing that you will not use or disclose any confidential or proprietary information of LivePerson to any third party, including any previous or subsequent employer.</w:t>
      </w:r>
    </w:p>
    <w:p>
      <w:pPr>
        <w:sectPr>
          <w:pgSz w:w="11900" w:h="16838" w:orient="portrait"/>
          <w:cols w:equalWidth="0" w:num="1">
            <w:col w:w="11028"/>
          </w:cols>
          <w:pgMar w:left="572" w:top="1440" w:right="2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5611495</wp:posOffset>
            </wp:positionH>
            <wp:positionV relativeFrom="page">
              <wp:posOffset>637540</wp:posOffset>
            </wp:positionV>
            <wp:extent cx="179260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62915"/>
                    </a:xfrm>
                    <a:prstGeom prst="rect">
                      <a:avLst/>
                    </a:prstGeom>
                    <a:noFill/>
                  </pic:spPr>
                </pic:pic>
              </a:graphicData>
            </a:graphic>
          </wp:anchor>
        </w:drawing>
      </w:r>
    </w:p>
    <w:p>
      <w:pPr>
        <w:spacing w:after="0" w:line="32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Please indicate your acceptance of this offer by signing and dating below. You will also receive additional information about LivePerson as well as some forms and documents that you must complete prior to your start date. Your employment is contingent upon the return of the requested material. The terms of this offer cannot be changed unless in writing signed by LivePerson. If you have any questions, please do not hesitate to reach out to the People Group.</w:t>
      </w:r>
    </w:p>
    <w:p>
      <w:pPr>
        <w:spacing w:after="0" w:line="147" w:lineRule="exact"/>
        <w:rPr>
          <w:sz w:val="20"/>
          <w:szCs w:val="20"/>
          <w:color w:val="auto"/>
        </w:rPr>
      </w:pPr>
    </w:p>
    <w:p>
      <w:pPr>
        <w:ind w:right="3680"/>
        <w:spacing w:after="0" w:line="342" w:lineRule="auto"/>
        <w:rPr>
          <w:sz w:val="20"/>
          <w:szCs w:val="20"/>
          <w:color w:val="auto"/>
        </w:rPr>
      </w:pPr>
      <w:r>
        <w:rPr>
          <w:rFonts w:ascii="Arial" w:cs="Arial" w:eastAsia="Arial" w:hAnsi="Arial"/>
          <w:sz w:val="16"/>
          <w:szCs w:val="16"/>
          <w:color w:val="auto"/>
        </w:rPr>
        <w:t>LivePerson is a dynamic organization with tremendous growth opportunities. We look forward to you joining us and hope that you share our excitement for the opportunity it presents to everyone on the team.</w:t>
      </w:r>
    </w:p>
    <w:p>
      <w:pPr>
        <w:sectPr>
          <w:pgSz w:w="11900" w:h="16838" w:orient="portrait"/>
          <w:cols w:equalWidth="0" w:num="1">
            <w:col w:w="11280"/>
          </w:cols>
          <w:pgMar w:left="240" w:top="1440" w:right="379" w:bottom="1440" w:gutter="0" w:footer="0" w:header="0"/>
        </w:sect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200" w:lineRule="exact"/>
        <w:rPr>
          <w:sz w:val="20"/>
          <w:szCs w:val="20"/>
          <w:color w:val="auto"/>
        </w:rPr>
      </w:pPr>
    </w:p>
    <w:p>
      <w:pPr>
        <w:sectPr>
          <w:pgSz w:w="11900" w:h="16838" w:orient="portrait"/>
          <w:cols w:equalWidth="0" w:num="2">
            <w:col w:w="5740" w:space="720"/>
            <w:col w:w="4820"/>
          </w:cols>
          <w:pgMar w:left="240" w:top="1440" w:right="379" w:bottom="1440" w:gutter="0" w:footer="0" w:header="0"/>
          <w:type w:val="continuous"/>
        </w:sect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__________________________________</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Daryl Carlough</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SVP, Global &amp; Corporate Controller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Chris Greiner</w:t>
      </w:r>
    </w:p>
    <w:p>
      <w:pPr>
        <w:spacing w:after="0" w:line="416" w:lineRule="exact"/>
        <w:rPr>
          <w:sz w:val="20"/>
          <w:szCs w:val="20"/>
          <w:color w:val="auto"/>
        </w:rPr>
      </w:pPr>
    </w:p>
    <w:p>
      <w:pPr>
        <w:sectPr>
          <w:pgSz w:w="11900" w:h="16838" w:orient="portrait"/>
          <w:cols w:equalWidth="0" w:num="2">
            <w:col w:w="5740" w:space="720"/>
            <w:col w:w="4820"/>
          </w:cols>
          <w:pgMar w:left="240" w:top="1440" w:right="379" w:bottom="1440" w:gutter="0" w:footer="0" w:header="0"/>
          <w:type w:val="continuous"/>
        </w:sectPr>
      </w:pPr>
    </w:p>
    <w:p>
      <w:pPr>
        <w:spacing w:after="0" w:line="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5740" w:space="720"/>
            <w:col w:w="4820"/>
          </w:cols>
          <w:pgMar w:left="240" w:top="1440" w:right="37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60"/>
              <w:spacing w:after="0"/>
              <w:rPr>
                <w:sz w:val="20"/>
                <w:szCs w:val="20"/>
                <w:color w:val="auto"/>
              </w:rPr>
            </w:pPr>
            <w:r>
              <w:rPr>
                <w:rFonts w:ascii="Arial" w:cs="Arial" w:eastAsia="Arial" w:hAnsi="Arial"/>
                <w:sz w:val="18"/>
                <w:szCs w:val="18"/>
                <w:color w:val="auto"/>
              </w:rPr>
              <w:t>May 8, 2018</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60" w:type="dxa"/>
            <w:vAlign w:val="bottom"/>
          </w:tcPr>
          <w:p>
            <w:pPr>
              <w:ind w:left="180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260"/>
              <w:spacing w:after="0"/>
              <w:rPr>
                <w:sz w:val="20"/>
                <w:szCs w:val="20"/>
                <w:color w:val="auto"/>
              </w:rPr>
            </w:pPr>
            <w:r>
              <w:rPr>
                <w:rFonts w:ascii="Arial" w:cs="Arial" w:eastAsia="Arial" w:hAnsi="Arial"/>
                <w:sz w:val="18"/>
                <w:szCs w:val="18"/>
                <w:color w:val="auto"/>
              </w:rPr>
              <w:t>May 8, 2018</w:t>
            </w:r>
          </w:p>
        </w:tc>
        <w:tc>
          <w:tcPr>
            <w:tcW w:w="2440" w:type="dxa"/>
            <w:vAlign w:val="bottom"/>
          </w:tcPr>
          <w:p>
            <w:pPr>
              <w:ind w:left="168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4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40" w:type="dxa"/>
            <w:vAlign w:val="bottom"/>
          </w:tcPr>
          <w:p>
            <w:pPr>
              <w:ind w:left="168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30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2018,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200"/>
              <w:spacing w:after="0"/>
              <w:rPr>
                <w:sz w:val="20"/>
                <w:szCs w:val="20"/>
                <w:color w:val="auto"/>
              </w:rPr>
            </w:pPr>
            <w:r>
              <w:rPr>
                <w:rFonts w:ascii="Arial" w:cs="Arial" w:eastAsia="Arial" w:hAnsi="Arial"/>
                <w:sz w:val="18"/>
                <w:szCs w:val="18"/>
                <w:color w:val="auto"/>
              </w:rPr>
              <w:t>May 8, 2018</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80" w:type="dxa"/>
            <w:vAlign w:val="bottom"/>
            <w:vMerge w:val="restart"/>
          </w:tcPr>
          <w:p>
            <w:pPr>
              <w:ind w:left="184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580" w:type="dxa"/>
            <w:vAlign w:val="bottom"/>
          </w:tcPr>
          <w:p>
            <w:pPr>
              <w:ind w:left="184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Christopher E. Greiner, Chief Financial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30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2018,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300"/>
              <w:spacing w:after="0"/>
              <w:rPr>
                <w:sz w:val="20"/>
                <w:szCs w:val="20"/>
                <w:color w:val="auto"/>
              </w:rPr>
            </w:pPr>
            <w:r>
              <w:rPr>
                <w:rFonts w:ascii="Arial" w:cs="Arial" w:eastAsia="Arial" w:hAnsi="Arial"/>
                <w:sz w:val="18"/>
                <w:szCs w:val="18"/>
                <w:color w:val="auto"/>
              </w:rPr>
              <w:t>May 8, 2018</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2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20" w:type="dxa"/>
            <w:vAlign w:val="bottom"/>
          </w:tcPr>
          <w:p>
            <w:pPr>
              <w:ind w:left="186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8"/>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450"/>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lvl w:ilvl="1">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2019-12-28T22:28:04Z</dcterms:created>
  <dcterms:modified xsi:type="dcterms:W3CDTF">2019-12-28T22:28:04Z</dcterms:modified>
</cp:coreProperties>
</file>