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20" w:right="1880" w:hanging="3812"/>
        <w:spacing w:after="0" w:line="266" w:lineRule="auto"/>
        <w:tabs>
          <w:tab w:leader="none" w:pos="2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520" w:right="1860" w:hanging="2512"/>
        <w:spacing w:after="0" w:line="312" w:lineRule="auto"/>
        <w:tabs>
          <w:tab w:leader="none" w:pos="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____________________ to ____________________</w:t>
      </w:r>
    </w:p>
    <w:p>
      <w:pPr>
        <w:spacing w:after="0" w:line="16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000-30141</w:t>
      </w:r>
    </w:p>
    <w:p>
      <w:pPr>
        <w:spacing w:after="0" w:line="158"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6" w:lineRule="exact"/>
        <w:rPr>
          <w:sz w:val="24"/>
          <w:szCs w:val="24"/>
          <w:color w:val="auto"/>
        </w:rPr>
      </w:pPr>
    </w:p>
    <w:tbl>
      <w:tblPr>
        <w:tblLayout w:type="fixed"/>
        <w:tblInd w:w="960" w:type="dxa"/>
        <w:tblCellMar>
          <w:top w:w="0" w:type="dxa"/>
          <w:left w:w="0" w:type="dxa"/>
          <w:bottom w:w="0" w:type="dxa"/>
          <w:right w:w="0" w:type="dxa"/>
        </w:tblCellMar>
      </w:tblPr>
      <w:tr>
        <w:trPr>
          <w:trHeight w:val="237"/>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860" w:type="dxa"/>
            <w:vAlign w:val="bottom"/>
          </w:tcPr>
          <w:p>
            <w:pPr>
              <w:spacing w:after="0"/>
              <w:rPr>
                <w:sz w:val="20"/>
                <w:szCs w:val="20"/>
                <w:color w:val="auto"/>
              </w:rPr>
            </w:pPr>
          </w:p>
        </w:tc>
        <w:tc>
          <w:tcPr>
            <w:tcW w:w="4240" w:type="dxa"/>
            <w:vAlign w:val="bottom"/>
            <w:tcBorders>
              <w:bottom w:val="single" w:sz="8" w:color="auto"/>
            </w:tcBorders>
          </w:tcPr>
          <w:p>
            <w:pPr>
              <w:jc w:val="right"/>
              <w:ind w:right="1595"/>
              <w:spacing w:after="0"/>
              <w:rPr>
                <w:sz w:val="20"/>
                <w:szCs w:val="20"/>
                <w:color w:val="auto"/>
              </w:rPr>
            </w:pPr>
            <w:r>
              <w:rPr>
                <w:rFonts w:ascii="Arial" w:cs="Arial" w:eastAsia="Arial" w:hAnsi="Arial"/>
                <w:sz w:val="18"/>
                <w:szCs w:val="18"/>
                <w:color w:val="auto"/>
              </w:rPr>
              <w:t>13-3861628</w:t>
            </w:r>
          </w:p>
        </w:tc>
      </w:tr>
      <w:tr>
        <w:trPr>
          <w:trHeight w:val="237"/>
        </w:trPr>
        <w:tc>
          <w:tcPr>
            <w:tcW w:w="5080" w:type="dxa"/>
            <w:vAlign w:val="bottom"/>
            <w:gridSpan w:val="2"/>
          </w:tcPr>
          <w:p>
            <w:pPr>
              <w:jc w:val="center"/>
              <w:ind w:right="86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240" w:type="dxa"/>
            <w:vAlign w:val="bottom"/>
          </w:tcPr>
          <w:p>
            <w:pPr>
              <w:jc w:val="center"/>
              <w:spacing w:after="0"/>
              <w:rPr>
                <w:sz w:val="20"/>
                <w:szCs w:val="20"/>
                <w:color w:val="auto"/>
              </w:rPr>
            </w:pPr>
            <w:r>
              <w:rPr>
                <w:rFonts w:ascii="Arial" w:cs="Arial" w:eastAsia="Arial" w:hAnsi="Arial"/>
                <w:sz w:val="16"/>
                <w:szCs w:val="16"/>
                <w:color w:val="auto"/>
                <w:w w:val="96"/>
              </w:rPr>
              <w:t>(IRS Employer Identification No.)</w:t>
            </w:r>
          </w:p>
        </w:tc>
      </w:tr>
      <w:tr>
        <w:trPr>
          <w:trHeight w:val="371"/>
        </w:trPr>
        <w:tc>
          <w:tcPr>
            <w:tcW w:w="50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475 Tenth Avenue, 5th Floor</w:t>
            </w:r>
          </w:p>
        </w:tc>
        <w:tc>
          <w:tcPr>
            <w:tcW w:w="4240" w:type="dxa"/>
            <w:vAlign w:val="bottom"/>
          </w:tcPr>
          <w:p>
            <w:pPr>
              <w:spacing w:after="0"/>
              <w:rPr>
                <w:sz w:val="24"/>
                <w:szCs w:val="24"/>
                <w:color w:val="auto"/>
              </w:rPr>
            </w:pPr>
          </w:p>
        </w:tc>
      </w:tr>
      <w:tr>
        <w:trPr>
          <w:trHeight w:val="25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New York, New York</w:t>
            </w:r>
          </w:p>
        </w:tc>
        <w:tc>
          <w:tcPr>
            <w:tcW w:w="860" w:type="dxa"/>
            <w:vAlign w:val="bottom"/>
          </w:tcPr>
          <w:p>
            <w:pPr>
              <w:spacing w:after="0"/>
              <w:rPr>
                <w:sz w:val="21"/>
                <w:szCs w:val="21"/>
                <w:color w:val="auto"/>
              </w:rPr>
            </w:pPr>
          </w:p>
        </w:tc>
        <w:tc>
          <w:tcPr>
            <w:tcW w:w="4240" w:type="dxa"/>
            <w:vAlign w:val="bottom"/>
            <w:tcBorders>
              <w:bottom w:val="single" w:sz="8" w:color="auto"/>
            </w:tcBorders>
          </w:tcPr>
          <w:p>
            <w:pPr>
              <w:jc w:val="right"/>
              <w:ind w:right="1815"/>
              <w:spacing w:after="0"/>
              <w:rPr>
                <w:sz w:val="20"/>
                <w:szCs w:val="20"/>
                <w:color w:val="auto"/>
              </w:rPr>
            </w:pPr>
            <w:r>
              <w:rPr>
                <w:rFonts w:ascii="Arial" w:cs="Arial" w:eastAsia="Arial" w:hAnsi="Arial"/>
                <w:sz w:val="18"/>
                <w:szCs w:val="18"/>
                <w:color w:val="auto"/>
              </w:rPr>
              <w:t>10018</w:t>
            </w:r>
          </w:p>
        </w:tc>
      </w:tr>
      <w:tr>
        <w:trPr>
          <w:trHeight w:val="237"/>
        </w:trPr>
        <w:tc>
          <w:tcPr>
            <w:tcW w:w="5080" w:type="dxa"/>
            <w:vAlign w:val="bottom"/>
            <w:gridSpan w:val="2"/>
          </w:tcPr>
          <w:p>
            <w:pPr>
              <w:jc w:val="center"/>
              <w:ind w:right="860"/>
              <w:spacing w:after="0"/>
              <w:rPr>
                <w:sz w:val="20"/>
                <w:szCs w:val="20"/>
                <w:color w:val="auto"/>
              </w:rPr>
            </w:pPr>
            <w:r>
              <w:rPr>
                <w:rFonts w:ascii="Arial" w:cs="Arial" w:eastAsia="Arial" w:hAnsi="Arial"/>
                <w:sz w:val="16"/>
                <w:szCs w:val="16"/>
                <w:color w:val="auto"/>
                <w:w w:val="94"/>
              </w:rPr>
              <w:t>(Address of principal executive offices)</w:t>
            </w:r>
          </w:p>
        </w:tc>
        <w:tc>
          <w:tcPr>
            <w:tcW w:w="424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(212) 609-4200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0"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34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6"/>
                <w:szCs w:val="16"/>
                <w:color w:val="auto"/>
                <w:w w:val="92"/>
              </w:rPr>
              <w:t>Title of each class</w:t>
            </w:r>
          </w:p>
        </w:tc>
        <w:tc>
          <w:tcPr>
            <w:tcW w:w="2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240" w:type="dxa"/>
            <w:vAlign w:val="bottom"/>
            <w:tcBorders>
              <w:top w:val="single" w:sz="8" w:color="auto"/>
              <w:bottom w:val="single" w:sz="8" w:color="auto"/>
            </w:tcBorders>
          </w:tcPr>
          <w:p>
            <w:pPr>
              <w:jc w:val="center"/>
              <w:ind w:left="75"/>
              <w:spacing w:after="0"/>
              <w:rPr>
                <w:sz w:val="20"/>
                <w:szCs w:val="20"/>
                <w:color w:val="auto"/>
              </w:rPr>
            </w:pPr>
            <w:r>
              <w:rPr>
                <w:rFonts w:ascii="Arial" w:cs="Arial" w:eastAsia="Arial" w:hAnsi="Arial"/>
                <w:sz w:val="16"/>
                <w:szCs w:val="16"/>
                <w:color w:val="auto"/>
                <w:w w:val="90"/>
              </w:rPr>
              <w:t>Name of each exchange on which registered</w:t>
            </w:r>
          </w:p>
        </w:tc>
      </w:tr>
      <w:tr>
        <w:trPr>
          <w:trHeight w:val="225"/>
        </w:trPr>
        <w:tc>
          <w:tcPr>
            <w:tcW w:w="4340" w:type="dxa"/>
            <w:vAlign w:val="bottom"/>
          </w:tcPr>
          <w:p>
            <w:pPr>
              <w:jc w:val="center"/>
              <w:ind w:right="95"/>
              <w:spacing w:after="0"/>
              <w:rPr>
                <w:sz w:val="20"/>
                <w:szCs w:val="20"/>
                <w:color w:val="auto"/>
              </w:rPr>
            </w:pPr>
            <w:r>
              <w:rPr>
                <w:rFonts w:ascii="Arial" w:cs="Arial" w:eastAsia="Arial" w:hAnsi="Arial"/>
                <w:sz w:val="18"/>
                <w:szCs w:val="18"/>
                <w:color w:val="auto"/>
                <w:w w:val="89"/>
              </w:rPr>
              <w:t>Common Stock, par value $0.001 per share</w:t>
            </w:r>
          </w:p>
        </w:tc>
        <w:tc>
          <w:tcPr>
            <w:tcW w:w="2660" w:type="dxa"/>
            <w:vAlign w:val="bottom"/>
          </w:tcPr>
          <w:p>
            <w:pPr>
              <w:jc w:val="center"/>
              <w:spacing w:after="0"/>
              <w:rPr>
                <w:sz w:val="20"/>
                <w:szCs w:val="20"/>
                <w:color w:val="auto"/>
              </w:rPr>
            </w:pPr>
            <w:r>
              <w:rPr>
                <w:rFonts w:ascii="Arial" w:cs="Arial" w:eastAsia="Arial" w:hAnsi="Arial"/>
                <w:sz w:val="18"/>
                <w:szCs w:val="18"/>
                <w:color w:val="auto"/>
                <w:w w:val="93"/>
              </w:rPr>
              <w:t>LPSN</w:t>
            </w:r>
          </w:p>
        </w:tc>
        <w:tc>
          <w:tcPr>
            <w:tcW w:w="4240" w:type="dxa"/>
            <w:vAlign w:val="bottom"/>
          </w:tcPr>
          <w:p>
            <w:pPr>
              <w:jc w:val="center"/>
              <w:ind w:left="55"/>
              <w:spacing w:after="0"/>
              <w:rPr>
                <w:sz w:val="20"/>
                <w:szCs w:val="20"/>
                <w:color w:val="auto"/>
              </w:rPr>
            </w:pPr>
            <w:r>
              <w:rPr>
                <w:rFonts w:ascii="Arial" w:cs="Arial" w:eastAsia="Arial" w:hAnsi="Arial"/>
                <w:sz w:val="18"/>
                <w:szCs w:val="18"/>
                <w:color w:val="auto"/>
                <w:w w:val="91"/>
              </w:rPr>
              <w:t>The Nasdaq Stock Market LLC</w:t>
            </w:r>
          </w:p>
        </w:tc>
      </w:tr>
    </w:tbl>
    <w:p>
      <w:pPr>
        <w:spacing w:after="0" w:line="322"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160" w:type="dxa"/>
        <w:tblCellMar>
          <w:top w:w="0" w:type="dxa"/>
          <w:left w:w="0" w:type="dxa"/>
          <w:bottom w:w="0" w:type="dxa"/>
          <w:right w:w="0" w:type="dxa"/>
        </w:tblCellMar>
      </w:tblPr>
      <w:tr>
        <w:trPr>
          <w:trHeight w:val="229"/>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00" w:type="dxa"/>
            <w:vAlign w:val="bottom"/>
          </w:tcPr>
          <w:p>
            <w:pPr>
              <w:ind w:left="12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0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4, 2021, 68,953,584 shares of the registrant’s common stock were outstanding.</w:t>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Borders>
              <w:bottom w:val="single" w:sz="8" w:color="CCFFCC"/>
            </w:tcBorders>
          </w:tcPr>
          <w:p>
            <w:pPr>
              <w:spacing w:after="0"/>
              <w:rPr>
                <w:sz w:val="20"/>
                <w:szCs w:val="20"/>
                <w:color w:val="auto"/>
              </w:rPr>
            </w:pPr>
          </w:p>
        </w:tc>
        <w:tc>
          <w:tcPr>
            <w:tcW w:w="91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PAGE</w:t>
            </w:r>
          </w:p>
        </w:tc>
      </w:tr>
      <w:tr>
        <w:trPr>
          <w:trHeight w:val="203"/>
        </w:trPr>
        <w:tc>
          <w:tcPr>
            <w:tcW w:w="100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rPr>
              <w:t>Part I.</w:t>
            </w:r>
          </w:p>
        </w:tc>
        <w:tc>
          <w:tcPr>
            <w:tcW w:w="9180" w:type="dxa"/>
            <w:vAlign w:val="bottom"/>
            <w:shd w:val="clear" w:color="auto" w:fill="CCFFCC"/>
          </w:tcPr>
          <w:p>
            <w:pPr>
              <w:ind w:left="240"/>
              <w:spacing w:after="0" w:line="182" w:lineRule="exact"/>
              <w:rPr>
                <w:sz w:val="20"/>
                <w:szCs w:val="20"/>
                <w:color w:val="auto"/>
              </w:rPr>
            </w:pPr>
            <w:r>
              <w:rPr>
                <w:rFonts w:ascii="Arial" w:cs="Arial" w:eastAsia="Arial" w:hAnsi="Arial"/>
                <w:sz w:val="18"/>
                <w:szCs w:val="18"/>
                <w:color w:val="auto"/>
              </w:rPr>
              <w:t>Financial Information</w:t>
            </w:r>
          </w:p>
        </w:tc>
        <w:tc>
          <w:tcPr>
            <w:tcW w:w="1000" w:type="dxa"/>
            <w:vAlign w:val="bottom"/>
            <w:gridSpan w:val="4"/>
            <w:shd w:val="clear" w:color="auto" w:fill="CCFFCC"/>
          </w:tcPr>
          <w:p>
            <w:pPr>
              <w:jc w:val="right"/>
              <w:ind w:right="20"/>
              <w:spacing w:after="0" w:line="182"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29"/>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10"/>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1.</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Financial Statements (Unaudited):</w:t>
            </w:r>
          </w:p>
        </w:tc>
        <w:tc>
          <w:tcPr>
            <w:tcW w:w="1000" w:type="dxa"/>
            <w:vAlign w:val="bottom"/>
            <w:gridSpan w:val="4"/>
            <w:shd w:val="clear" w:color="auto" w:fill="CCFFCC"/>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29"/>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09"/>
        </w:trPr>
        <w:tc>
          <w:tcPr>
            <w:tcW w:w="1000" w:type="dxa"/>
            <w:vAlign w:val="bottom"/>
            <w:shd w:val="clear" w:color="auto" w:fill="CCFFCC"/>
          </w:tcPr>
          <w:p>
            <w:pPr>
              <w:spacing w:after="0"/>
              <w:rPr>
                <w:sz w:val="18"/>
                <w:szCs w:val="18"/>
                <w:color w:val="auto"/>
              </w:rPr>
            </w:pPr>
          </w:p>
        </w:tc>
        <w:tc>
          <w:tcPr>
            <w:tcW w:w="9180" w:type="dxa"/>
            <w:vAlign w:val="bottom"/>
            <w:shd w:val="clear" w:color="auto" w:fill="CCFFCC"/>
          </w:tcPr>
          <w:p>
            <w:pPr>
              <w:ind w:left="580"/>
              <w:spacing w:after="0" w:line="189" w:lineRule="exact"/>
              <w:rPr>
                <w:sz w:val="20"/>
                <w:szCs w:val="20"/>
                <w:color w:val="auto"/>
              </w:rPr>
            </w:pPr>
            <w:r>
              <w:rPr>
                <w:rFonts w:ascii="Arial" w:cs="Arial" w:eastAsia="Arial" w:hAnsi="Arial"/>
                <w:sz w:val="18"/>
                <w:szCs w:val="18"/>
                <w:color w:val="auto"/>
              </w:rPr>
              <w:t>Condensed Consolidated Balance Sheets as of March 31, 2021 and December 31, 2020</w:t>
            </w:r>
          </w:p>
        </w:tc>
        <w:tc>
          <w:tcPr>
            <w:tcW w:w="1000" w:type="dxa"/>
            <w:vAlign w:val="bottom"/>
            <w:gridSpan w:val="4"/>
            <w:shd w:val="clear" w:color="auto" w:fill="CCFFCC"/>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30"/>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09"/>
        </w:trPr>
        <w:tc>
          <w:tcPr>
            <w:tcW w:w="1000" w:type="dxa"/>
            <w:vAlign w:val="bottom"/>
            <w:shd w:val="clear" w:color="auto" w:fill="CCFFCC"/>
          </w:tcPr>
          <w:p>
            <w:pPr>
              <w:spacing w:after="0"/>
              <w:rPr>
                <w:sz w:val="18"/>
                <w:szCs w:val="18"/>
                <w:color w:val="auto"/>
              </w:rPr>
            </w:pPr>
          </w:p>
        </w:tc>
        <w:tc>
          <w:tcPr>
            <w:tcW w:w="9180" w:type="dxa"/>
            <w:vAlign w:val="bottom"/>
            <w:shd w:val="clear" w:color="auto" w:fill="CCFFCC"/>
          </w:tcPr>
          <w:p>
            <w:pPr>
              <w:ind w:left="580"/>
              <w:spacing w:after="0" w:line="189" w:lineRule="exact"/>
              <w:rPr>
                <w:sz w:val="20"/>
                <w:szCs w:val="20"/>
                <w:color w:val="auto"/>
              </w:rPr>
            </w:pPr>
            <w:r>
              <w:rPr>
                <w:rFonts w:ascii="Arial" w:cs="Arial" w:eastAsia="Arial" w:hAnsi="Arial"/>
                <w:sz w:val="18"/>
                <w:szCs w:val="18"/>
                <w:color w:val="auto"/>
              </w:rPr>
              <w:t>Condensed Consolidated Statements of Operations for the Three Months Ended March 31, 2021 and 2020</w:t>
            </w:r>
          </w:p>
        </w:tc>
        <w:tc>
          <w:tcPr>
            <w:tcW w:w="1000" w:type="dxa"/>
            <w:vAlign w:val="bottom"/>
            <w:gridSpan w:val="4"/>
            <w:shd w:val="clear" w:color="auto" w:fill="CCFFCC"/>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29"/>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10"/>
        </w:trPr>
        <w:tc>
          <w:tcPr>
            <w:tcW w:w="1000" w:type="dxa"/>
            <w:vAlign w:val="bottom"/>
            <w:shd w:val="clear" w:color="auto" w:fill="CCFFCC"/>
          </w:tcPr>
          <w:p>
            <w:pPr>
              <w:spacing w:after="0"/>
              <w:rPr>
                <w:sz w:val="18"/>
                <w:szCs w:val="18"/>
                <w:color w:val="auto"/>
              </w:rPr>
            </w:pPr>
          </w:p>
        </w:tc>
        <w:tc>
          <w:tcPr>
            <w:tcW w:w="9180" w:type="dxa"/>
            <w:vAlign w:val="bottom"/>
            <w:shd w:val="clear" w:color="auto" w:fill="CCFFCC"/>
          </w:tcPr>
          <w:p>
            <w:pPr>
              <w:ind w:left="580"/>
              <w:spacing w:after="0" w:line="189" w:lineRule="exact"/>
              <w:rPr>
                <w:sz w:val="20"/>
                <w:szCs w:val="20"/>
                <w:color w:val="auto"/>
              </w:rPr>
            </w:pPr>
            <w:r>
              <w:rPr>
                <w:rFonts w:ascii="Arial" w:cs="Arial" w:eastAsia="Arial" w:hAnsi="Arial"/>
                <w:sz w:val="18"/>
                <w:szCs w:val="18"/>
                <w:color w:val="auto"/>
                <w:w w:val="92"/>
              </w:rPr>
              <w:t>Condensed Consolidated Statements of Comprehensive Loss for the Three Months Ended March 31, 2021 and 2020</w:t>
            </w:r>
          </w:p>
        </w:tc>
        <w:tc>
          <w:tcPr>
            <w:tcW w:w="1000" w:type="dxa"/>
            <w:vAlign w:val="bottom"/>
            <w:gridSpan w:val="4"/>
            <w:shd w:val="clear" w:color="auto" w:fill="CCFFCC"/>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29"/>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10"/>
        </w:trPr>
        <w:tc>
          <w:tcPr>
            <w:tcW w:w="1000" w:type="dxa"/>
            <w:vAlign w:val="bottom"/>
            <w:shd w:val="clear" w:color="auto" w:fill="CCFFCC"/>
          </w:tcPr>
          <w:p>
            <w:pPr>
              <w:spacing w:after="0"/>
              <w:rPr>
                <w:sz w:val="18"/>
                <w:szCs w:val="18"/>
                <w:color w:val="auto"/>
              </w:rPr>
            </w:pPr>
          </w:p>
        </w:tc>
        <w:tc>
          <w:tcPr>
            <w:tcW w:w="9180" w:type="dxa"/>
            <w:vAlign w:val="bottom"/>
            <w:shd w:val="clear" w:color="auto" w:fill="CCFFCC"/>
          </w:tcPr>
          <w:p>
            <w:pPr>
              <w:ind w:left="580"/>
              <w:spacing w:after="0" w:line="189" w:lineRule="exact"/>
              <w:rPr>
                <w:sz w:val="20"/>
                <w:szCs w:val="20"/>
                <w:color w:val="auto"/>
              </w:rPr>
            </w:pPr>
            <w:r>
              <w:rPr>
                <w:rFonts w:ascii="Arial" w:cs="Arial" w:eastAsia="Arial" w:hAnsi="Arial"/>
                <w:sz w:val="18"/>
                <w:szCs w:val="18"/>
                <w:color w:val="auto"/>
                <w:w w:val="92"/>
              </w:rPr>
              <w:t>Condensed Consolidated Statements of Stockholders' Equity for the Three Months Ended March 31, 2021 and 2020</w:t>
            </w:r>
          </w:p>
        </w:tc>
        <w:tc>
          <w:tcPr>
            <w:tcW w:w="1000" w:type="dxa"/>
            <w:vAlign w:val="bottom"/>
            <w:gridSpan w:val="4"/>
            <w:shd w:val="clear" w:color="auto" w:fill="CCFFCC"/>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29"/>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09"/>
        </w:trPr>
        <w:tc>
          <w:tcPr>
            <w:tcW w:w="1000" w:type="dxa"/>
            <w:vAlign w:val="bottom"/>
            <w:shd w:val="clear" w:color="auto" w:fill="CCFFCC"/>
          </w:tcPr>
          <w:p>
            <w:pPr>
              <w:spacing w:after="0"/>
              <w:rPr>
                <w:sz w:val="18"/>
                <w:szCs w:val="18"/>
                <w:color w:val="auto"/>
              </w:rPr>
            </w:pPr>
          </w:p>
        </w:tc>
        <w:tc>
          <w:tcPr>
            <w:tcW w:w="9180" w:type="dxa"/>
            <w:vAlign w:val="bottom"/>
            <w:shd w:val="clear" w:color="auto" w:fill="CCFFCC"/>
          </w:tcPr>
          <w:p>
            <w:pPr>
              <w:ind w:left="580"/>
              <w:spacing w:after="0" w:line="189" w:lineRule="exact"/>
              <w:rPr>
                <w:sz w:val="20"/>
                <w:szCs w:val="20"/>
                <w:color w:val="auto"/>
              </w:rPr>
            </w:pPr>
            <w:r>
              <w:rPr>
                <w:rFonts w:ascii="Arial" w:cs="Arial" w:eastAsia="Arial" w:hAnsi="Arial"/>
                <w:sz w:val="18"/>
                <w:szCs w:val="18"/>
                <w:color w:val="auto"/>
              </w:rPr>
              <w:t>Condensed Consolidated Statements of Cash Flows for the Three Months Ended March 31, 2021 and 2020</w:t>
            </w:r>
          </w:p>
        </w:tc>
        <w:tc>
          <w:tcPr>
            <w:tcW w:w="1000" w:type="dxa"/>
            <w:vAlign w:val="bottom"/>
            <w:gridSpan w:val="4"/>
            <w:shd w:val="clear" w:color="auto" w:fill="CCFFCC"/>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70"/>
        </w:trPr>
        <w:tc>
          <w:tcPr>
            <w:tcW w:w="1000" w:type="dxa"/>
            <w:vAlign w:val="bottom"/>
            <w:tcBorders>
              <w:top w:val="single" w:sz="8" w:color="CCFFCC"/>
            </w:tcBorders>
          </w:tcPr>
          <w:p>
            <w:pPr>
              <w:spacing w:after="0"/>
              <w:rPr>
                <w:sz w:val="23"/>
                <w:szCs w:val="23"/>
                <w:color w:val="auto"/>
              </w:rPr>
            </w:pPr>
          </w:p>
        </w:tc>
        <w:tc>
          <w:tcPr>
            <w:tcW w:w="9180" w:type="dxa"/>
            <w:vAlign w:val="bottom"/>
            <w:tcBorders>
              <w:top w:val="single" w:sz="8" w:color="CCFFCC"/>
            </w:tcBorders>
          </w:tcPr>
          <w:p>
            <w:pPr>
              <w:spacing w:after="0"/>
              <w:rPr>
                <w:sz w:val="23"/>
                <w:szCs w:val="23"/>
                <w:color w:val="auto"/>
              </w:rPr>
            </w:pPr>
          </w:p>
        </w:tc>
        <w:tc>
          <w:tcPr>
            <w:tcW w:w="800" w:type="dxa"/>
            <w:vAlign w:val="bottom"/>
            <w:tcBorders>
              <w:top w:val="single" w:sz="8" w:color="CCFFCC"/>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10"/>
        </w:trPr>
        <w:tc>
          <w:tcPr>
            <w:tcW w:w="1000" w:type="dxa"/>
            <w:vAlign w:val="bottom"/>
            <w:shd w:val="clear" w:color="auto" w:fill="CCFFCC"/>
          </w:tcPr>
          <w:p>
            <w:pPr>
              <w:spacing w:after="0"/>
              <w:rPr>
                <w:sz w:val="18"/>
                <w:szCs w:val="18"/>
                <w:color w:val="auto"/>
              </w:rPr>
            </w:pPr>
          </w:p>
        </w:tc>
        <w:tc>
          <w:tcPr>
            <w:tcW w:w="9180" w:type="dxa"/>
            <w:vAlign w:val="bottom"/>
            <w:shd w:val="clear" w:color="auto" w:fill="CCFFCC"/>
          </w:tcPr>
          <w:p>
            <w:pPr>
              <w:ind w:left="58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20" w:type="dxa"/>
            <w:vAlign w:val="bottom"/>
            <w:shd w:val="clear" w:color="auto" w:fill="CCFFCC"/>
          </w:tcPr>
          <w:p>
            <w:pPr>
              <w:spacing w:after="0"/>
              <w:rPr>
                <w:sz w:val="18"/>
                <w:szCs w:val="18"/>
                <w:color w:val="auto"/>
              </w:rPr>
            </w:pPr>
          </w:p>
        </w:tc>
      </w:tr>
      <w:tr>
        <w:trPr>
          <w:trHeight w:val="229"/>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09"/>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2.</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20" w:type="dxa"/>
            <w:vAlign w:val="bottom"/>
            <w:shd w:val="clear" w:color="auto" w:fill="CCFFCC"/>
          </w:tcPr>
          <w:p>
            <w:pPr>
              <w:spacing w:after="0"/>
              <w:rPr>
                <w:sz w:val="18"/>
                <w:szCs w:val="18"/>
                <w:color w:val="auto"/>
              </w:rPr>
            </w:pPr>
          </w:p>
        </w:tc>
      </w:tr>
      <w:tr>
        <w:trPr>
          <w:trHeight w:val="230"/>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09"/>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3.</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c>
          <w:tcPr>
            <w:tcW w:w="20" w:type="dxa"/>
            <w:vAlign w:val="bottom"/>
            <w:shd w:val="clear" w:color="auto" w:fill="CCFFCC"/>
          </w:tcPr>
          <w:p>
            <w:pPr>
              <w:spacing w:after="0"/>
              <w:rPr>
                <w:sz w:val="18"/>
                <w:szCs w:val="18"/>
                <w:color w:val="auto"/>
              </w:rPr>
            </w:pPr>
          </w:p>
        </w:tc>
      </w:tr>
      <w:tr>
        <w:trPr>
          <w:trHeight w:val="230"/>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10"/>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4.</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Controls and Procedures</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c>
          <w:tcPr>
            <w:tcW w:w="20" w:type="dxa"/>
            <w:vAlign w:val="bottom"/>
            <w:shd w:val="clear" w:color="auto" w:fill="CCFFCC"/>
          </w:tcPr>
          <w:p>
            <w:pPr>
              <w:spacing w:after="0"/>
              <w:rPr>
                <w:sz w:val="18"/>
                <w:szCs w:val="18"/>
                <w:color w:val="auto"/>
              </w:rPr>
            </w:pPr>
          </w:p>
        </w:tc>
      </w:tr>
      <w:tr>
        <w:trPr>
          <w:trHeight w:val="230"/>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09"/>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Part II.</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Other Information</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20" w:type="dxa"/>
            <w:vAlign w:val="bottom"/>
            <w:shd w:val="clear" w:color="auto" w:fill="CCFFCC"/>
          </w:tcPr>
          <w:p>
            <w:pPr>
              <w:spacing w:after="0"/>
              <w:rPr>
                <w:sz w:val="18"/>
                <w:szCs w:val="18"/>
                <w:color w:val="auto"/>
              </w:rPr>
            </w:pPr>
          </w:p>
        </w:tc>
      </w:tr>
      <w:tr>
        <w:trPr>
          <w:trHeight w:val="230"/>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10"/>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1.</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Legal Proceedings</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20" w:type="dxa"/>
            <w:vAlign w:val="bottom"/>
            <w:shd w:val="clear" w:color="auto" w:fill="CCFFCC"/>
          </w:tcPr>
          <w:p>
            <w:pPr>
              <w:spacing w:after="0"/>
              <w:rPr>
                <w:sz w:val="18"/>
                <w:szCs w:val="18"/>
                <w:color w:val="auto"/>
              </w:rPr>
            </w:pPr>
          </w:p>
        </w:tc>
      </w:tr>
      <w:tr>
        <w:trPr>
          <w:trHeight w:val="230"/>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09"/>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1A.</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Risk Factors</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20" w:type="dxa"/>
            <w:vAlign w:val="bottom"/>
            <w:shd w:val="clear" w:color="auto" w:fill="CCFFCC"/>
          </w:tcPr>
          <w:p>
            <w:pPr>
              <w:spacing w:after="0"/>
              <w:rPr>
                <w:sz w:val="18"/>
                <w:szCs w:val="18"/>
                <w:color w:val="auto"/>
              </w:rPr>
            </w:pPr>
          </w:p>
        </w:tc>
      </w:tr>
      <w:tr>
        <w:trPr>
          <w:trHeight w:val="230"/>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10"/>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2.</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20" w:type="dxa"/>
            <w:vAlign w:val="bottom"/>
            <w:shd w:val="clear" w:color="auto" w:fill="CCFFCC"/>
          </w:tcPr>
          <w:p>
            <w:pPr>
              <w:spacing w:after="0"/>
              <w:rPr>
                <w:sz w:val="18"/>
                <w:szCs w:val="18"/>
                <w:color w:val="auto"/>
              </w:rPr>
            </w:pPr>
          </w:p>
        </w:tc>
      </w:tr>
      <w:tr>
        <w:trPr>
          <w:trHeight w:val="230"/>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10"/>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3.</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Defaults Upon Senior Securities</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20" w:type="dxa"/>
            <w:vAlign w:val="bottom"/>
            <w:shd w:val="clear" w:color="auto" w:fill="CCFFCC"/>
          </w:tcPr>
          <w:p>
            <w:pPr>
              <w:spacing w:after="0"/>
              <w:rPr>
                <w:sz w:val="18"/>
                <w:szCs w:val="18"/>
                <w:color w:val="auto"/>
              </w:rPr>
            </w:pPr>
          </w:p>
        </w:tc>
      </w:tr>
      <w:tr>
        <w:trPr>
          <w:trHeight w:val="229"/>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10"/>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4.</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Mine Safety Disclosures</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20" w:type="dxa"/>
            <w:vAlign w:val="bottom"/>
            <w:shd w:val="clear" w:color="auto" w:fill="CCFFCC"/>
          </w:tcPr>
          <w:p>
            <w:pPr>
              <w:spacing w:after="0"/>
              <w:rPr>
                <w:sz w:val="18"/>
                <w:szCs w:val="18"/>
                <w:color w:val="auto"/>
              </w:rPr>
            </w:pPr>
          </w:p>
        </w:tc>
      </w:tr>
      <w:tr>
        <w:trPr>
          <w:trHeight w:val="230"/>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10"/>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5.</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Other Information</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20" w:type="dxa"/>
            <w:vAlign w:val="bottom"/>
            <w:shd w:val="clear" w:color="auto" w:fill="CCFFCC"/>
          </w:tcPr>
          <w:p>
            <w:pPr>
              <w:spacing w:after="0"/>
              <w:rPr>
                <w:sz w:val="18"/>
                <w:szCs w:val="18"/>
                <w:color w:val="auto"/>
              </w:rPr>
            </w:pPr>
          </w:p>
        </w:tc>
      </w:tr>
      <w:tr>
        <w:trPr>
          <w:trHeight w:val="229"/>
        </w:trPr>
        <w:tc>
          <w:tcPr>
            <w:tcW w:w="1000" w:type="dxa"/>
            <w:vAlign w:val="bottom"/>
            <w:tcBorders>
              <w:top w:val="single" w:sz="8" w:color="CCFFCC"/>
            </w:tcBorders>
          </w:tcPr>
          <w:p>
            <w:pPr>
              <w:spacing w:after="0"/>
              <w:rPr>
                <w:sz w:val="19"/>
                <w:szCs w:val="19"/>
                <w:color w:val="auto"/>
              </w:rPr>
            </w:pPr>
          </w:p>
        </w:tc>
        <w:tc>
          <w:tcPr>
            <w:tcW w:w="9180" w:type="dxa"/>
            <w:vAlign w:val="bottom"/>
            <w:tcBorders>
              <w:top w:val="single" w:sz="8" w:color="CCFFCC"/>
            </w:tcBorders>
          </w:tcPr>
          <w:p>
            <w:pPr>
              <w:spacing w:after="0"/>
              <w:rPr>
                <w:sz w:val="19"/>
                <w:szCs w:val="19"/>
                <w:color w:val="auto"/>
              </w:rPr>
            </w:pPr>
          </w:p>
        </w:tc>
        <w:tc>
          <w:tcPr>
            <w:tcW w:w="800" w:type="dxa"/>
            <w:vAlign w:val="bottom"/>
            <w:tcBorders>
              <w:top w:val="single" w:sz="8" w:color="CCFFCC"/>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210"/>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Item 6.</w:t>
            </w:r>
          </w:p>
        </w:tc>
        <w:tc>
          <w:tcPr>
            <w:tcW w:w="9180" w:type="dxa"/>
            <w:vAlign w:val="bottom"/>
            <w:shd w:val="clear" w:color="auto" w:fill="CCFFCC"/>
          </w:tcPr>
          <w:p>
            <w:pPr>
              <w:ind w:left="240"/>
              <w:spacing w:after="0" w:line="189" w:lineRule="exact"/>
              <w:rPr>
                <w:sz w:val="20"/>
                <w:szCs w:val="20"/>
                <w:color w:val="auto"/>
              </w:rPr>
            </w:pPr>
            <w:r>
              <w:rPr>
                <w:rFonts w:ascii="Arial" w:cs="Arial" w:eastAsia="Arial" w:hAnsi="Arial"/>
                <w:sz w:val="18"/>
                <w:szCs w:val="18"/>
                <w:color w:val="auto"/>
              </w:rPr>
              <w:t>Exhibits</w:t>
            </w: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c>
          <w:tcPr>
            <w:tcW w:w="20" w:type="dxa"/>
            <w:vAlign w:val="bottom"/>
            <w:shd w:val="clear" w:color="auto" w:fill="CCFFCC"/>
          </w:tcPr>
          <w:p>
            <w:pPr>
              <w:spacing w:after="0"/>
              <w:rPr>
                <w:sz w:val="18"/>
                <w:szCs w:val="18"/>
                <w:color w:val="auto"/>
              </w:rPr>
            </w:pPr>
          </w:p>
        </w:tc>
      </w:tr>
      <w:tr>
        <w:trPr>
          <w:trHeight w:val="270"/>
        </w:trPr>
        <w:tc>
          <w:tcPr>
            <w:tcW w:w="1000" w:type="dxa"/>
            <w:vAlign w:val="bottom"/>
            <w:tcBorders>
              <w:top w:val="single" w:sz="8" w:color="CCFFCC"/>
            </w:tcBorders>
          </w:tcPr>
          <w:p>
            <w:pPr>
              <w:spacing w:after="0"/>
              <w:rPr>
                <w:sz w:val="23"/>
                <w:szCs w:val="23"/>
                <w:color w:val="auto"/>
              </w:rPr>
            </w:pPr>
          </w:p>
        </w:tc>
        <w:tc>
          <w:tcPr>
            <w:tcW w:w="9180" w:type="dxa"/>
            <w:vAlign w:val="bottom"/>
            <w:tcBorders>
              <w:top w:val="single" w:sz="8" w:color="CCFFCC"/>
            </w:tcBorders>
          </w:tcPr>
          <w:p>
            <w:pPr>
              <w:spacing w:after="0"/>
              <w:rPr>
                <w:sz w:val="23"/>
                <w:szCs w:val="23"/>
                <w:color w:val="auto"/>
              </w:rPr>
            </w:pPr>
          </w:p>
        </w:tc>
        <w:tc>
          <w:tcPr>
            <w:tcW w:w="80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189"/>
        </w:trPr>
        <w:tc>
          <w:tcPr>
            <w:tcW w:w="100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Signatures</w:t>
            </w:r>
          </w:p>
        </w:tc>
        <w:tc>
          <w:tcPr>
            <w:tcW w:w="9180" w:type="dxa"/>
            <w:vAlign w:val="bottom"/>
            <w:shd w:val="clear" w:color="auto" w:fill="CCFFCC"/>
          </w:tcPr>
          <w:p>
            <w:pPr>
              <w:spacing w:after="0"/>
              <w:rPr>
                <w:sz w:val="16"/>
                <w:szCs w:val="16"/>
                <w:color w:val="auto"/>
              </w:rPr>
            </w:pPr>
          </w:p>
        </w:tc>
        <w:tc>
          <w:tcPr>
            <w:tcW w:w="980" w:type="dxa"/>
            <w:vAlign w:val="bottom"/>
            <w:gridSpan w:val="3"/>
            <w:shd w:val="clear" w:color="auto" w:fill="CCFFCC"/>
          </w:tcPr>
          <w:p>
            <w:pPr>
              <w:jc w:val="right"/>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c>
          <w:tcPr>
            <w:tcW w:w="20" w:type="dxa"/>
            <w:vAlign w:val="bottom"/>
            <w:shd w:val="clear" w:color="auto" w:fill="CCFFCC"/>
          </w:tcPr>
          <w:p>
            <w:pPr>
              <w:spacing w:after="0"/>
              <w:rPr>
                <w:sz w:val="16"/>
                <w:szCs w:val="16"/>
                <w:color w:val="auto"/>
              </w:rPr>
            </w:pPr>
          </w:p>
        </w:tc>
      </w:tr>
      <w:tr>
        <w:trPr>
          <w:trHeight w:val="20"/>
        </w:trPr>
        <w:tc>
          <w:tcPr>
            <w:tcW w:w="1000" w:type="dxa"/>
            <w:vAlign w:val="bottom"/>
            <w:tcBorders>
              <w:top w:val="single" w:sz="8" w:color="CCFFCC"/>
            </w:tcBorders>
            <w:shd w:val="clear" w:color="auto" w:fill="CCFFCC"/>
          </w:tcPr>
          <w:p>
            <w:pPr>
              <w:spacing w:after="0" w:line="20" w:lineRule="exact"/>
              <w:rPr>
                <w:sz w:val="1"/>
                <w:szCs w:val="1"/>
                <w:color w:val="auto"/>
              </w:rPr>
            </w:pPr>
          </w:p>
        </w:tc>
        <w:tc>
          <w:tcPr>
            <w:tcW w:w="91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FF"/>
            </w:tcBorders>
            <w:shd w:val="clear" w:color="auto" w:fill="CCFFCC"/>
          </w:tcPr>
          <w:p>
            <w:pPr>
              <w:spacing w:after="0" w:line="20" w:lineRule="exact"/>
              <w:rPr>
                <w:sz w:val="1"/>
                <w:szCs w:val="1"/>
                <w:color w:val="auto"/>
              </w:rPr>
            </w:pPr>
          </w:p>
        </w:tc>
        <w:tc>
          <w:tcPr>
            <w:tcW w:w="80" w:type="dxa"/>
            <w:vAlign w:val="bottom"/>
            <w:tcBorders>
              <w:top w:val="single" w:sz="8" w:color="0000FF"/>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Statements in this Quarterly Report on Form 10-Q about LivePerson, Inc. (“LivePerson”)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management strategies and the COVID-19 pandemic. Many of these statements are found in the “Management’s Discussion and Analysis of Financial Condition and Results of Operations” section of this Form 10-Q. When used in this Form 10-Q, the words “estimates,” “expects,” “anticipates,” “projects,” “plans,” “intends,” “believes”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Form 10-Q include those set forth in our Annual Report on Form 10-K filed with the SEC on March 8, 2021 in the section entitled “Item 1A —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right"/>
        <w:ind w:right="3479"/>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4" w:name="page5"/>
    <w:bookmarkEnd w:id="4"/>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2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5"/>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(Note 1)</w:t>
            </w:r>
          </w:p>
        </w:tc>
        <w:tc>
          <w:tcPr>
            <w:tcW w:w="0" w:type="dxa"/>
            <w:vAlign w:val="bottom"/>
          </w:tcPr>
          <w:p>
            <w:pPr>
              <w:spacing w:after="0"/>
              <w:rPr>
                <w:sz w:val="1"/>
                <w:szCs w:val="1"/>
                <w:color w:val="auto"/>
              </w:rPr>
            </w:pPr>
          </w:p>
        </w:tc>
      </w:tr>
      <w:tr>
        <w:trPr>
          <w:trHeight w:val="222"/>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668,225</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654,152</w:t>
            </w: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w w:val="94"/>
              </w:rPr>
              <w:t>Accounts receivable, net of allowances of $5,396 and $5,344 as of March 31, 2021 and December 31, 2020, respectively</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92,263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80,423</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19,965</w:t>
            </w:r>
          </w:p>
        </w:tc>
        <w:tc>
          <w:tcPr>
            <w:tcW w:w="12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14,236</w:t>
            </w:r>
          </w:p>
        </w:tc>
        <w:tc>
          <w:tcPr>
            <w:tcW w:w="0" w:type="dxa"/>
            <w:vAlign w:val="bottom"/>
          </w:tcPr>
          <w:p>
            <w:pPr>
              <w:spacing w:after="0"/>
              <w:rPr>
                <w:sz w:val="1"/>
                <w:szCs w:val="1"/>
                <w:color w:val="auto"/>
              </w:rPr>
            </w:pPr>
          </w:p>
        </w:tc>
      </w:tr>
      <w:tr>
        <w:trPr>
          <w:trHeight w:val="207"/>
        </w:trPr>
        <w:tc>
          <w:tcPr>
            <w:tcW w:w="828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780,453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748,811</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Operating lease right of use asset</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111,314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106,055</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Contract acquisition costs</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40,855</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41,021</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Intangibles, net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10,927</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95,087</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95,192</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16"/>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1,713</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1,044,537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1,006,432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13,626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14,115</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96,346</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99,870</w:t>
            </w: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108,415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88,848</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Operating lease liability</w:t>
            </w:r>
          </w:p>
        </w:tc>
        <w:tc>
          <w:tcPr>
            <w:tcW w:w="24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5,097</w:t>
            </w:r>
          </w:p>
        </w:tc>
        <w:tc>
          <w:tcPr>
            <w:tcW w:w="12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207"/>
        </w:trPr>
        <w:tc>
          <w:tcPr>
            <w:tcW w:w="828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223,484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208,551</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Deferred revenue, net of current portion</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573</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Convertible senior notes, net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547,159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538,432</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Other liabilities</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5,411</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6,304</w:t>
            </w: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1,723</w:t>
            </w:r>
          </w:p>
        </w:tc>
        <w:tc>
          <w:tcPr>
            <w:tcW w:w="12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CCFFCC"/>
            </w:tcBorders>
          </w:tcPr>
          <w:p>
            <w:pPr>
              <w:ind w:left="2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784,520</w:t>
            </w:r>
          </w:p>
        </w:tc>
        <w:tc>
          <w:tcPr>
            <w:tcW w:w="120" w:type="dxa"/>
            <w:vAlign w:val="bottom"/>
            <w:tcBorders>
              <w:bottom w:val="single" w:sz="8" w:color="CC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762,498</w:t>
            </w:r>
          </w:p>
        </w:tc>
        <w:tc>
          <w:tcPr>
            <w:tcW w:w="0" w:type="dxa"/>
            <w:vAlign w:val="bottom"/>
          </w:tcPr>
          <w:p>
            <w:pPr>
              <w:spacing w:after="0"/>
              <w:rPr>
                <w:sz w:val="1"/>
                <w:szCs w:val="1"/>
                <w:color w:val="auto"/>
              </w:rPr>
            </w:pPr>
          </w:p>
        </w:tc>
      </w:tr>
      <w:tr>
        <w:trPr>
          <w:trHeight w:val="132"/>
        </w:trPr>
        <w:tc>
          <w:tcPr>
            <w:tcW w:w="8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Preferred stock, $0.001 par value - 5,000,000 shares authorized, none issued</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80" w:type="dxa"/>
            <w:vAlign w:val="bottom"/>
            <w:shd w:val="clear" w:color="auto" w:fill="CCFFCC"/>
          </w:tcPr>
          <w:p>
            <w:pPr>
              <w:ind w:left="140"/>
              <w:spacing w:after="0" w:line="169" w:lineRule="exact"/>
              <w:rPr>
                <w:sz w:val="20"/>
                <w:szCs w:val="20"/>
                <w:color w:val="auto"/>
              </w:rPr>
            </w:pPr>
            <w:r>
              <w:rPr>
                <w:rFonts w:ascii="Arial" w:cs="Arial" w:eastAsia="Arial" w:hAnsi="Arial"/>
                <w:sz w:val="16"/>
                <w:szCs w:val="16"/>
                <w:color w:val="auto"/>
                <w:w w:val="90"/>
              </w:rPr>
              <w:t>Common stock, $0.001 par value - 200,000,000 shares authorized, 71,351,202 and 70,264,265 shares issued, 68,641,372 and</w:t>
            </w:r>
          </w:p>
        </w:tc>
        <w:tc>
          <w:tcPr>
            <w:tcW w:w="240" w:type="dxa"/>
            <w:vAlign w:val="bottom"/>
            <w:shd w:val="clear" w:color="auto" w:fill="CCFFCC"/>
          </w:tcPr>
          <w:p>
            <w:pPr>
              <w:spacing w:after="0"/>
              <w:rPr>
                <w:sz w:val="14"/>
                <w:szCs w:val="14"/>
                <w:color w:val="auto"/>
              </w:rPr>
            </w:pPr>
          </w:p>
        </w:tc>
        <w:tc>
          <w:tcPr>
            <w:tcW w:w="1160" w:type="dxa"/>
            <w:vAlign w:val="bottom"/>
            <w:vMerge w:val="restart"/>
            <w:shd w:val="clear" w:color="auto" w:fill="CCFFCC"/>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220" w:type="dxa"/>
            <w:vAlign w:val="bottom"/>
            <w:vMerge w:val="restart"/>
            <w:shd w:val="clear" w:color="auto" w:fill="CCFFCC"/>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2"/>
        </w:trPr>
        <w:tc>
          <w:tcPr>
            <w:tcW w:w="82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67,554,435 shares outstanding as of March 31, 2021 and December 31, 2020, respectively</w:t>
            </w:r>
          </w:p>
        </w:tc>
        <w:tc>
          <w:tcPr>
            <w:tcW w:w="240" w:type="dxa"/>
            <w:vAlign w:val="bottom"/>
            <w:shd w:val="clear" w:color="auto" w:fill="CCFFCC"/>
          </w:tcPr>
          <w:p>
            <w:pPr>
              <w:spacing w:after="0"/>
              <w:rPr>
                <w:sz w:val="18"/>
                <w:szCs w:val="18"/>
                <w:color w:val="auto"/>
              </w:rPr>
            </w:pPr>
          </w:p>
        </w:tc>
        <w:tc>
          <w:tcPr>
            <w:tcW w:w="116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20" w:type="dxa"/>
            <w:vAlign w:val="bottom"/>
            <w:vMerge w:val="continue"/>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674,695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635,672</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Treasury stock; 2,709,830 shares</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(413,080)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(391,885)</w:t>
            </w:r>
          </w:p>
        </w:tc>
        <w:tc>
          <w:tcPr>
            <w:tcW w:w="0" w:type="dxa"/>
            <w:vAlign w:val="bottom"/>
          </w:tcPr>
          <w:p>
            <w:pPr>
              <w:spacing w:after="0"/>
              <w:rPr>
                <w:sz w:val="1"/>
                <w:szCs w:val="1"/>
                <w:color w:val="auto"/>
              </w:rPr>
            </w:pPr>
          </w:p>
        </w:tc>
      </w:tr>
      <w:tr>
        <w:trPr>
          <w:trHeight w:val="219"/>
        </w:trPr>
        <w:tc>
          <w:tcPr>
            <w:tcW w:w="82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Accumulated other comprehensive (loss) income</w:t>
            </w:r>
          </w:p>
        </w:tc>
        <w:tc>
          <w:tcPr>
            <w:tcW w:w="24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(1,666)</w:t>
            </w:r>
          </w:p>
        </w:tc>
        <w:tc>
          <w:tcPr>
            <w:tcW w:w="12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CCFFCC"/>
            </w:tcBorders>
          </w:tcPr>
          <w:p>
            <w:pPr>
              <w:ind w:left="2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260,017</w:t>
            </w:r>
          </w:p>
        </w:tc>
        <w:tc>
          <w:tcPr>
            <w:tcW w:w="120" w:type="dxa"/>
            <w:vAlign w:val="bottom"/>
            <w:tcBorders>
              <w:bottom w:val="single" w:sz="8" w:color="CC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243,934</w:t>
            </w:r>
          </w:p>
        </w:tc>
        <w:tc>
          <w:tcPr>
            <w:tcW w:w="0" w:type="dxa"/>
            <w:vAlign w:val="bottom"/>
          </w:tcPr>
          <w:p>
            <w:pPr>
              <w:spacing w:after="0"/>
              <w:rPr>
                <w:sz w:val="1"/>
                <w:szCs w:val="1"/>
                <w:color w:val="auto"/>
              </w:rPr>
            </w:pPr>
          </w:p>
        </w:tc>
      </w:tr>
      <w:tr>
        <w:trPr>
          <w:trHeight w:val="238"/>
        </w:trPr>
        <w:tc>
          <w:tcPr>
            <w:tcW w:w="82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1,044,537</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1,006,432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22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23495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Borders>
              <w:bottom w:val="single" w:sz="8" w:color="CCFFCC"/>
            </w:tcBorders>
          </w:tcPr>
          <w:p>
            <w:pPr>
              <w:spacing w:after="0"/>
              <w:rPr>
                <w:sz w:val="16"/>
                <w:szCs w:val="16"/>
                <w:color w:val="auto"/>
              </w:rPr>
            </w:pPr>
          </w:p>
        </w:tc>
        <w:tc>
          <w:tcPr>
            <w:tcW w:w="58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r>
      <w:tr>
        <w:trPr>
          <w:trHeight w:val="216"/>
        </w:trPr>
        <w:tc>
          <w:tcPr>
            <w:tcW w:w="7680" w:type="dxa"/>
            <w:vAlign w:val="bottom"/>
            <w:shd w:val="clear" w:color="auto" w:fill="CCFFCC"/>
          </w:tcPr>
          <w:p>
            <w:pPr>
              <w:ind w:left="20"/>
              <w:spacing w:after="0"/>
              <w:rPr>
                <w:sz w:val="20"/>
                <w:szCs w:val="20"/>
                <w:color w:val="auto"/>
              </w:rPr>
            </w:pPr>
            <w:r>
              <w:rPr>
                <w:rFonts w:ascii="Arial" w:cs="Arial" w:eastAsia="Arial" w:hAnsi="Arial"/>
                <w:sz w:val="16"/>
                <w:szCs w:val="16"/>
                <w:color w:val="auto"/>
              </w:rPr>
              <w:t>Revenue</w:t>
            </w:r>
          </w:p>
        </w:tc>
        <w:tc>
          <w:tcPr>
            <w:tcW w:w="920" w:type="dxa"/>
            <w:vAlign w:val="bottom"/>
            <w:gridSpan w:val="2"/>
            <w:shd w:val="clear" w:color="auto" w:fill="CCFFCC"/>
          </w:tcPr>
          <w:p>
            <w:pPr>
              <w:ind w:left="6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107,891</w:t>
            </w: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78,088</w:t>
            </w:r>
          </w:p>
        </w:tc>
      </w:tr>
      <w:tr>
        <w:trPr>
          <w:trHeight w:val="209"/>
        </w:trPr>
        <w:tc>
          <w:tcPr>
            <w:tcW w:w="76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6"/>
        </w:trPr>
        <w:tc>
          <w:tcPr>
            <w:tcW w:w="7680" w:type="dxa"/>
            <w:vAlign w:val="bottom"/>
            <w:shd w:val="clear" w:color="auto" w:fill="CCFFCC"/>
          </w:tcPr>
          <w:p>
            <w:pPr>
              <w:ind w:left="140"/>
              <w:spacing w:after="0" w:line="216"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5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33,519</w:t>
            </w: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22,820</w:t>
            </w: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Sales and marketing</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36,953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42,680</w:t>
            </w:r>
          </w:p>
        </w:tc>
      </w:tr>
      <w:tr>
        <w:trPr>
          <w:trHeight w:val="219"/>
        </w:trPr>
        <w:tc>
          <w:tcPr>
            <w:tcW w:w="76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General and administrative</w:t>
            </w:r>
          </w:p>
        </w:tc>
        <w:tc>
          <w:tcPr>
            <w:tcW w:w="5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14,486</w:t>
            </w:r>
          </w:p>
        </w:tc>
        <w:tc>
          <w:tcPr>
            <w:tcW w:w="2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16,469</w:t>
            </w: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33,455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25,716</w:t>
            </w:r>
          </w:p>
        </w:tc>
      </w:tr>
      <w:tr>
        <w:trPr>
          <w:trHeight w:val="219"/>
        </w:trPr>
        <w:tc>
          <w:tcPr>
            <w:tcW w:w="76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Restructuring costs</w:t>
            </w:r>
          </w:p>
        </w:tc>
        <w:tc>
          <w:tcPr>
            <w:tcW w:w="5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2,732</w:t>
            </w:r>
          </w:p>
        </w:tc>
        <w:tc>
          <w:tcPr>
            <w:tcW w:w="2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3,190</w:t>
            </w:r>
          </w:p>
        </w:tc>
      </w:tr>
      <w:tr>
        <w:trPr>
          <w:trHeight w:val="213"/>
        </w:trPr>
        <w:tc>
          <w:tcPr>
            <w:tcW w:w="768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Amortization of purchased intangibles</w:t>
            </w:r>
          </w:p>
        </w:tc>
        <w:tc>
          <w:tcPr>
            <w:tcW w:w="58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2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r>
      <w:tr>
        <w:trPr>
          <w:trHeight w:val="213"/>
        </w:trPr>
        <w:tc>
          <w:tcPr>
            <w:tcW w:w="7680" w:type="dxa"/>
            <w:vAlign w:val="bottom"/>
            <w:shd w:val="clear" w:color="auto" w:fill="CCFFCC"/>
          </w:tcPr>
          <w:p>
            <w:pPr>
              <w:ind w:left="220"/>
              <w:spacing w:after="0"/>
              <w:rPr>
                <w:sz w:val="20"/>
                <w:szCs w:val="20"/>
                <w:color w:val="auto"/>
              </w:rPr>
            </w:pPr>
            <w:r>
              <w:rPr>
                <w:rFonts w:ascii="Arial" w:cs="Arial" w:eastAsia="Arial" w:hAnsi="Arial"/>
                <w:sz w:val="16"/>
                <w:szCs w:val="16"/>
                <w:color w:val="auto"/>
              </w:rPr>
              <w:t>Total costs and expenses</w:t>
            </w:r>
          </w:p>
        </w:tc>
        <w:tc>
          <w:tcPr>
            <w:tcW w:w="58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121,520</w:t>
            </w:r>
          </w:p>
        </w:tc>
        <w:tc>
          <w:tcPr>
            <w:tcW w:w="2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111,280</w:t>
            </w:r>
          </w:p>
        </w:tc>
      </w:tr>
      <w:tr>
        <w:trPr>
          <w:trHeight w:val="206"/>
        </w:trPr>
        <w:tc>
          <w:tcPr>
            <w:tcW w:w="76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(13,629)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(33,192)</w:t>
            </w:r>
          </w:p>
        </w:tc>
      </w:tr>
      <w:tr>
        <w:trPr>
          <w:trHeight w:val="219"/>
        </w:trPr>
        <w:tc>
          <w:tcPr>
            <w:tcW w:w="7680" w:type="dxa"/>
            <w:vAlign w:val="bottom"/>
            <w:shd w:val="clear" w:color="auto" w:fill="CCFFCC"/>
          </w:tcPr>
          <w:p>
            <w:pPr>
              <w:ind w:left="20"/>
              <w:spacing w:after="0"/>
              <w:rPr>
                <w:sz w:val="20"/>
                <w:szCs w:val="20"/>
                <w:color w:val="auto"/>
              </w:rPr>
            </w:pPr>
            <w:r>
              <w:rPr>
                <w:rFonts w:ascii="Arial" w:cs="Arial" w:eastAsia="Arial" w:hAnsi="Arial"/>
                <w:sz w:val="16"/>
                <w:szCs w:val="16"/>
                <w:color w:val="auto"/>
              </w:rPr>
              <w:t>Other (expense) income, net</w:t>
            </w:r>
          </w:p>
        </w:tc>
        <w:tc>
          <w:tcPr>
            <w:tcW w:w="5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r>
      <w:tr>
        <w:trPr>
          <w:trHeight w:val="213"/>
        </w:trPr>
        <w:tc>
          <w:tcPr>
            <w:tcW w:w="7680" w:type="dxa"/>
            <w:vAlign w:val="bottom"/>
          </w:tcPr>
          <w:p>
            <w:pPr>
              <w:ind w:left="260"/>
              <w:spacing w:after="0"/>
              <w:rPr>
                <w:sz w:val="20"/>
                <w:szCs w:val="20"/>
                <w:color w:val="auto"/>
              </w:rPr>
            </w:pPr>
            <w:r>
              <w:rPr>
                <w:rFonts w:ascii="Arial" w:cs="Arial" w:eastAsia="Arial" w:hAnsi="Arial"/>
                <w:sz w:val="16"/>
                <w:szCs w:val="16"/>
                <w:color w:val="auto"/>
              </w:rPr>
              <w:t>Interest expense, net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(2,791)</w:t>
            </w:r>
          </w:p>
        </w:tc>
      </w:tr>
      <w:tr>
        <w:trPr>
          <w:trHeight w:val="219"/>
        </w:trPr>
        <w:tc>
          <w:tcPr>
            <w:tcW w:w="7680" w:type="dxa"/>
            <w:vAlign w:val="bottom"/>
            <w:shd w:val="clear" w:color="auto" w:fill="CCFFCC"/>
          </w:tcPr>
          <w:p>
            <w:pPr>
              <w:ind w:left="260"/>
              <w:spacing w:after="0"/>
              <w:rPr>
                <w:sz w:val="20"/>
                <w:szCs w:val="20"/>
                <w:color w:val="auto"/>
              </w:rPr>
            </w:pPr>
            <w:r>
              <w:rPr>
                <w:rFonts w:ascii="Arial" w:cs="Arial" w:eastAsia="Arial" w:hAnsi="Arial"/>
                <w:sz w:val="16"/>
                <w:szCs w:val="16"/>
                <w:color w:val="auto"/>
              </w:rPr>
              <w:t>Other income (expense), net</w:t>
            </w:r>
          </w:p>
        </w:tc>
        <w:tc>
          <w:tcPr>
            <w:tcW w:w="58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712</w:t>
            </w:r>
          </w:p>
        </w:tc>
        <w:tc>
          <w:tcPr>
            <w:tcW w:w="2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(667)</w:t>
            </w:r>
          </w:p>
        </w:tc>
      </w:tr>
      <w:tr>
        <w:trPr>
          <w:trHeight w:val="206"/>
        </w:trPr>
        <w:tc>
          <w:tcPr>
            <w:tcW w:w="7680" w:type="dxa"/>
            <w:vAlign w:val="bottom"/>
            <w:tcBorders>
              <w:bottom w:val="single" w:sz="8" w:color="CCFFCC"/>
            </w:tcBorders>
          </w:tcPr>
          <w:p>
            <w:pPr>
              <w:ind w:left="20"/>
              <w:spacing w:after="0"/>
              <w:rPr>
                <w:sz w:val="20"/>
                <w:szCs w:val="20"/>
                <w:color w:val="auto"/>
              </w:rPr>
            </w:pPr>
            <w:r>
              <w:rPr>
                <w:rFonts w:ascii="Arial" w:cs="Arial" w:eastAsia="Arial" w:hAnsi="Arial"/>
                <w:sz w:val="16"/>
                <w:szCs w:val="16"/>
                <w:color w:val="auto"/>
              </w:rPr>
              <w:t>Total other (expense) income, net</w:t>
            </w:r>
          </w:p>
        </w:tc>
        <w:tc>
          <w:tcPr>
            <w:tcW w:w="580" w:type="dxa"/>
            <w:vAlign w:val="bottom"/>
            <w:tcBorders>
              <w:bottom w:val="single" w:sz="8" w:color="CCFFC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(8,417)</w:t>
            </w:r>
          </w:p>
        </w:tc>
        <w:tc>
          <w:tcPr>
            <w:tcW w:w="220" w:type="dxa"/>
            <w:vAlign w:val="bottom"/>
            <w:tcBorders>
              <w:bottom w:val="single" w:sz="8" w:color="CCFFC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w:t>
            </w:r>
          </w:p>
        </w:tc>
      </w:tr>
      <w:tr>
        <w:trPr>
          <w:trHeight w:val="213"/>
        </w:trPr>
        <w:tc>
          <w:tcPr>
            <w:tcW w:w="7680" w:type="dxa"/>
            <w:vAlign w:val="bottom"/>
            <w:shd w:val="clear" w:color="auto" w:fill="CCFFCC"/>
          </w:tcPr>
          <w:p>
            <w:pPr>
              <w:ind w:left="20"/>
              <w:spacing w:after="0"/>
              <w:rPr>
                <w:sz w:val="20"/>
                <w:szCs w:val="20"/>
                <w:color w:val="auto"/>
              </w:rPr>
            </w:pPr>
            <w:r>
              <w:rPr>
                <w:rFonts w:ascii="Arial" w:cs="Arial" w:eastAsia="Arial" w:hAnsi="Arial"/>
                <w:sz w:val="16"/>
                <w:szCs w:val="16"/>
                <w:color w:val="auto"/>
              </w:rPr>
              <w:t>Loss before (benefit from) provision for income taxes</w:t>
            </w:r>
          </w:p>
        </w:tc>
        <w:tc>
          <w:tcPr>
            <w:tcW w:w="5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(22,046)</w:t>
            </w: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(36,649)</w:t>
            </w:r>
          </w:p>
        </w:tc>
      </w:tr>
      <w:tr>
        <w:trPr>
          <w:trHeight w:val="213"/>
        </w:trPr>
        <w:tc>
          <w:tcPr>
            <w:tcW w:w="7680" w:type="dxa"/>
            <w:vAlign w:val="bottom"/>
            <w:tcBorders>
              <w:bottom w:val="single" w:sz="8" w:color="CCFFCC"/>
            </w:tcBorders>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58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2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r>
      <w:tr>
        <w:trPr>
          <w:trHeight w:val="233"/>
        </w:trPr>
        <w:tc>
          <w:tcPr>
            <w:tcW w:w="7680" w:type="dxa"/>
            <w:vAlign w:val="bottom"/>
            <w:shd w:val="clear" w:color="auto" w:fill="CCFFCC"/>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FFCC"/>
          </w:tcPr>
          <w:p>
            <w:pPr>
              <w:ind w:left="6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(21,195)</w:t>
            </w:r>
          </w:p>
        </w:tc>
        <w:tc>
          <w:tcPr>
            <w:tcW w:w="220" w:type="dxa"/>
            <w:vAlign w:val="bottom"/>
            <w:shd w:val="clear" w:color="auto" w:fill="CCFFCC"/>
          </w:tcPr>
          <w:p>
            <w:pPr>
              <w:spacing w:after="0"/>
              <w:rPr>
                <w:sz w:val="20"/>
                <w:szCs w:val="20"/>
                <w:color w:val="auto"/>
              </w:rPr>
            </w:pPr>
          </w:p>
        </w:tc>
        <w:tc>
          <w:tcPr>
            <w:tcW w:w="320" w:type="dxa"/>
            <w:vAlign w:val="bottom"/>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(37,001)</w:t>
            </w:r>
          </w:p>
        </w:tc>
      </w:tr>
      <w:tr>
        <w:trPr>
          <w:trHeight w:val="20"/>
        </w:trPr>
        <w:tc>
          <w:tcPr>
            <w:tcW w:w="768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7680" w:type="dxa"/>
            <w:vAlign w:val="bottom"/>
            <w:shd w:val="clear" w:color="auto" w:fill="CCFFCC"/>
          </w:tcPr>
          <w:p>
            <w:pPr>
              <w:ind w:left="20"/>
              <w:spacing w:after="0"/>
              <w:rPr>
                <w:sz w:val="20"/>
                <w:szCs w:val="20"/>
                <w:color w:val="auto"/>
              </w:rPr>
            </w:pPr>
            <w:r>
              <w:rPr>
                <w:rFonts w:ascii="Arial" w:cs="Arial" w:eastAsia="Arial" w:hAnsi="Arial"/>
                <w:sz w:val="16"/>
                <w:szCs w:val="16"/>
                <w:color w:val="auto"/>
              </w:rPr>
              <w:t>Net loss per share of common stock:</w:t>
            </w:r>
          </w:p>
        </w:tc>
        <w:tc>
          <w:tcPr>
            <w:tcW w:w="5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Arial" w:cs="Arial" w:eastAsia="Arial" w:hAnsi="Arial"/>
                <w:sz w:val="16"/>
                <w:szCs w:val="16"/>
                <w:color w:val="auto"/>
              </w:rPr>
              <w:t>Basic</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(0.31)</w:t>
            </w:r>
          </w:p>
        </w:tc>
        <w:tc>
          <w:tcPr>
            <w:tcW w:w="2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20"/>
        </w:trPr>
        <w:tc>
          <w:tcPr>
            <w:tcW w:w="7680" w:type="dxa"/>
            <w:vAlign w:val="bottom"/>
            <w:tcBorders>
              <w:bottom w:val="single" w:sz="8" w:color="CCFFCC"/>
            </w:tcBorders>
          </w:tcPr>
          <w:p>
            <w:pPr>
              <w:spacing w:after="0" w:line="20" w:lineRule="exact"/>
              <w:rPr>
                <w:sz w:val="1"/>
                <w:szCs w:val="1"/>
                <w:color w:val="auto"/>
              </w:rPr>
            </w:pPr>
          </w:p>
        </w:tc>
        <w:tc>
          <w:tcPr>
            <w:tcW w:w="580" w:type="dxa"/>
            <w:vAlign w:val="bottom"/>
            <w:tcBorders>
              <w:bottom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6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Diluted</w:t>
            </w:r>
          </w:p>
        </w:tc>
        <w:tc>
          <w:tcPr>
            <w:tcW w:w="920" w:type="dxa"/>
            <w:vAlign w:val="bottom"/>
            <w:gridSpan w:val="2"/>
            <w:shd w:val="clear" w:color="auto" w:fill="CCFFCC"/>
          </w:tcPr>
          <w:p>
            <w:pPr>
              <w:ind w:left="6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(0.31)</w:t>
            </w:r>
          </w:p>
        </w:tc>
        <w:tc>
          <w:tcPr>
            <w:tcW w:w="220" w:type="dxa"/>
            <w:vAlign w:val="bottom"/>
            <w:shd w:val="clear" w:color="auto" w:fill="CCFFCC"/>
          </w:tcPr>
          <w:p>
            <w:pPr>
              <w:spacing w:after="0"/>
              <w:rPr>
                <w:sz w:val="20"/>
                <w:szCs w:val="20"/>
                <w:color w:val="auto"/>
              </w:rPr>
            </w:pPr>
          </w:p>
        </w:tc>
        <w:tc>
          <w:tcPr>
            <w:tcW w:w="320" w:type="dxa"/>
            <w:vAlign w:val="bottom"/>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(0.57)</w:t>
            </w:r>
          </w:p>
        </w:tc>
      </w:tr>
      <w:tr>
        <w:trPr>
          <w:trHeight w:val="20"/>
        </w:trPr>
        <w:tc>
          <w:tcPr>
            <w:tcW w:w="768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7680" w:type="dxa"/>
            <w:vAlign w:val="bottom"/>
            <w:shd w:val="clear" w:color="auto" w:fill="CCFFCC"/>
          </w:tcPr>
          <w:p>
            <w:pPr>
              <w:ind w:left="20"/>
              <w:spacing w:after="0"/>
              <w:rPr>
                <w:sz w:val="20"/>
                <w:szCs w:val="20"/>
                <w:color w:val="auto"/>
              </w:rPr>
            </w:pPr>
            <w:r>
              <w:rPr>
                <w:rFonts w:ascii="Arial" w:cs="Arial" w:eastAsia="Arial" w:hAnsi="Arial"/>
                <w:sz w:val="16"/>
                <w:szCs w:val="16"/>
                <w:color w:val="auto"/>
              </w:rPr>
              <w:t>Weighted-average shares used to compute net loss per share:</w:t>
            </w:r>
          </w:p>
        </w:tc>
        <w:tc>
          <w:tcPr>
            <w:tcW w:w="5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Arial" w:cs="Arial" w:eastAsia="Arial" w:hAnsi="Arial"/>
                <w:sz w:val="16"/>
                <w:szCs w:val="16"/>
                <w:color w:val="auto"/>
              </w:rPr>
              <w:t>Basic</w:t>
            </w:r>
          </w:p>
        </w:tc>
        <w:tc>
          <w:tcPr>
            <w:tcW w:w="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67,901,809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64,388,850</w:t>
            </w:r>
          </w:p>
        </w:tc>
      </w:tr>
      <w:tr>
        <w:trPr>
          <w:trHeight w:val="20"/>
        </w:trPr>
        <w:tc>
          <w:tcPr>
            <w:tcW w:w="7680" w:type="dxa"/>
            <w:vAlign w:val="bottom"/>
            <w:tcBorders>
              <w:bottom w:val="single" w:sz="8" w:color="CCFFCC"/>
            </w:tcBorders>
          </w:tcPr>
          <w:p>
            <w:pPr>
              <w:spacing w:after="0" w:line="20" w:lineRule="exact"/>
              <w:rPr>
                <w:sz w:val="1"/>
                <w:szCs w:val="1"/>
                <w:color w:val="auto"/>
              </w:rPr>
            </w:pPr>
          </w:p>
        </w:tc>
        <w:tc>
          <w:tcPr>
            <w:tcW w:w="58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76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6"/>
                <w:szCs w:val="16"/>
                <w:color w:val="auto"/>
              </w:rPr>
              <w:t>Diluted</w:t>
            </w:r>
          </w:p>
        </w:tc>
        <w:tc>
          <w:tcPr>
            <w:tcW w:w="58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67,901,809</w:t>
            </w:r>
          </w:p>
        </w:tc>
        <w:tc>
          <w:tcPr>
            <w:tcW w:w="2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spacing w:after="0"/>
              <w:rPr>
                <w:sz w:val="20"/>
                <w:szCs w:val="20"/>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64,388,850</w:t>
            </w:r>
          </w:p>
        </w:tc>
      </w:tr>
      <w:tr>
        <w:trPr>
          <w:trHeight w:val="20"/>
        </w:trPr>
        <w:tc>
          <w:tcPr>
            <w:tcW w:w="768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60" w:type="dxa"/>
            <w:vAlign w:val="bottom"/>
            <w:tcBorders>
              <w:top w:val="single" w:sz="8" w:color="CCFFCC"/>
              <w:bottom w:val="single" w:sz="8" w:color="auto"/>
            </w:tcBorders>
          </w:tcPr>
          <w:p>
            <w:pPr>
              <w:spacing w:after="0" w:line="20" w:lineRule="exact"/>
              <w:rPr>
                <w:sz w:val="1"/>
                <w:szCs w:val="1"/>
                <w:color w:val="auto"/>
              </w:rPr>
            </w:pPr>
          </w:p>
        </w:tc>
      </w:tr>
      <w:tr>
        <w:trPr>
          <w:trHeight w:val="204"/>
        </w:trPr>
        <w:tc>
          <w:tcPr>
            <w:tcW w:w="7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7680" w:type="dxa"/>
            <w:vAlign w:val="bottom"/>
            <w:tcBorders>
              <w:bottom w:val="single" w:sz="8" w:color="auto"/>
            </w:tcBorders>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04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060" w:type="dxa"/>
            <w:vAlign w:val="bottom"/>
            <w:shd w:val="clear" w:color="auto" w:fill="CCFFCC"/>
          </w:tcPr>
          <w:p>
            <w:pPr>
              <w:spacing w:after="0"/>
              <w:rPr>
                <w:sz w:val="22"/>
                <w:szCs w:val="22"/>
                <w:color w:val="auto"/>
              </w:rPr>
            </w:pPr>
          </w:p>
        </w:tc>
      </w:tr>
      <w:tr>
        <w:trPr>
          <w:trHeight w:val="183"/>
        </w:trPr>
        <w:tc>
          <w:tcPr>
            <w:tcW w:w="7680" w:type="dxa"/>
            <w:vAlign w:val="bottom"/>
          </w:tcPr>
          <w:p>
            <w:pPr>
              <w:ind w:left="140"/>
              <w:spacing w:after="0" w:line="182" w:lineRule="exact"/>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Amounts include stock-based compensation expense, as follows:</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7680" w:type="dxa"/>
            <w:vAlign w:val="bottom"/>
            <w:shd w:val="clear" w:color="auto" w:fill="CCFFCC"/>
          </w:tcPr>
          <w:p>
            <w:pPr>
              <w:ind w:left="360"/>
              <w:spacing w:after="0"/>
              <w:rPr>
                <w:sz w:val="20"/>
                <w:szCs w:val="20"/>
                <w:color w:val="auto"/>
              </w:rPr>
            </w:pPr>
            <w:r>
              <w:rPr>
                <w:rFonts w:ascii="Arial" w:cs="Arial" w:eastAsia="Arial" w:hAnsi="Arial"/>
                <w:sz w:val="14"/>
                <w:szCs w:val="14"/>
                <w:color w:val="auto"/>
              </w:rPr>
              <w:t>Cost of revenue</w:t>
            </w:r>
          </w:p>
        </w:tc>
        <w:tc>
          <w:tcPr>
            <w:tcW w:w="920" w:type="dxa"/>
            <w:vAlign w:val="bottom"/>
            <w:gridSpan w:val="2"/>
            <w:shd w:val="clear" w:color="auto" w:fill="CCFFCC"/>
          </w:tcPr>
          <w:p>
            <w:pPr>
              <w:ind w:left="6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1,895</w:t>
            </w:r>
          </w:p>
        </w:tc>
        <w:tc>
          <w:tcPr>
            <w:tcW w:w="220" w:type="dxa"/>
            <w:vAlign w:val="bottom"/>
            <w:shd w:val="clear" w:color="auto" w:fill="CCFFCC"/>
          </w:tcPr>
          <w:p>
            <w:pPr>
              <w:spacing w:after="0"/>
              <w:rPr>
                <w:sz w:val="16"/>
                <w:szCs w:val="16"/>
                <w:color w:val="auto"/>
              </w:rPr>
            </w:pP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1,249</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3,782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5,138</w:t>
            </w:r>
          </w:p>
        </w:tc>
      </w:tr>
      <w:tr>
        <w:trPr>
          <w:trHeight w:val="192"/>
        </w:trPr>
        <w:tc>
          <w:tcPr>
            <w:tcW w:w="7680" w:type="dxa"/>
            <w:vAlign w:val="bottom"/>
            <w:shd w:val="clear" w:color="auto" w:fill="CCFFCC"/>
          </w:tcPr>
          <w:p>
            <w:pPr>
              <w:ind w:left="360"/>
              <w:spacing w:after="0"/>
              <w:rPr>
                <w:sz w:val="20"/>
                <w:szCs w:val="20"/>
                <w:color w:val="auto"/>
              </w:rPr>
            </w:pPr>
            <w:r>
              <w:rPr>
                <w:rFonts w:ascii="Arial" w:cs="Arial" w:eastAsia="Arial" w:hAnsi="Arial"/>
                <w:sz w:val="14"/>
                <w:szCs w:val="14"/>
                <w:color w:val="auto"/>
              </w:rPr>
              <w:t>General and administrative</w:t>
            </w:r>
          </w:p>
        </w:tc>
        <w:tc>
          <w:tcPr>
            <w:tcW w:w="58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2,650</w:t>
            </w:r>
          </w:p>
        </w:tc>
        <w:tc>
          <w:tcPr>
            <w:tcW w:w="22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2,727</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Product development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6,284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5,581</w:t>
            </w:r>
          </w:p>
        </w:tc>
      </w:tr>
      <w:tr>
        <w:trPr>
          <w:trHeight w:val="219"/>
        </w:trPr>
        <w:tc>
          <w:tcPr>
            <w:tcW w:w="7680" w:type="dxa"/>
            <w:vAlign w:val="bottom"/>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r>
      <w:tr>
        <w:trPr>
          <w:trHeight w:val="189"/>
        </w:trPr>
        <w:tc>
          <w:tcPr>
            <w:tcW w:w="7680" w:type="dxa"/>
            <w:vAlign w:val="bottom"/>
          </w:tcPr>
          <w:p>
            <w:pPr>
              <w:ind w:left="140"/>
              <w:spacing w:after="0" w:line="189" w:lineRule="exact"/>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Amounts include depreciation expense, as follows:</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7680" w:type="dxa"/>
            <w:vAlign w:val="bottom"/>
            <w:shd w:val="clear" w:color="auto" w:fill="CCFFCC"/>
          </w:tcPr>
          <w:p>
            <w:pPr>
              <w:ind w:left="360"/>
              <w:spacing w:after="0"/>
              <w:rPr>
                <w:sz w:val="20"/>
                <w:szCs w:val="20"/>
                <w:color w:val="auto"/>
              </w:rPr>
            </w:pPr>
            <w:r>
              <w:rPr>
                <w:rFonts w:ascii="Arial" w:cs="Arial" w:eastAsia="Arial" w:hAnsi="Arial"/>
                <w:sz w:val="14"/>
                <w:szCs w:val="14"/>
                <w:color w:val="auto"/>
              </w:rPr>
              <w:t>Cost of revenue</w:t>
            </w:r>
          </w:p>
        </w:tc>
        <w:tc>
          <w:tcPr>
            <w:tcW w:w="920" w:type="dxa"/>
            <w:vAlign w:val="bottom"/>
            <w:gridSpan w:val="2"/>
            <w:shd w:val="clear" w:color="auto" w:fill="CCFFCC"/>
          </w:tcPr>
          <w:p>
            <w:pPr>
              <w:ind w:left="6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2,534</w:t>
            </w:r>
          </w:p>
        </w:tc>
        <w:tc>
          <w:tcPr>
            <w:tcW w:w="220" w:type="dxa"/>
            <w:vAlign w:val="bottom"/>
            <w:shd w:val="clear" w:color="auto" w:fill="CCFFCC"/>
          </w:tcPr>
          <w:p>
            <w:pPr>
              <w:spacing w:after="0"/>
              <w:rPr>
                <w:sz w:val="16"/>
                <w:szCs w:val="16"/>
                <w:color w:val="auto"/>
              </w:rPr>
            </w:pP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2,373</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667</w:t>
            </w:r>
          </w:p>
        </w:tc>
      </w:tr>
      <w:tr>
        <w:trPr>
          <w:trHeight w:val="192"/>
        </w:trPr>
        <w:tc>
          <w:tcPr>
            <w:tcW w:w="7680" w:type="dxa"/>
            <w:vAlign w:val="bottom"/>
            <w:shd w:val="clear" w:color="auto" w:fill="CCFFCC"/>
          </w:tcPr>
          <w:p>
            <w:pPr>
              <w:ind w:left="360"/>
              <w:spacing w:after="0"/>
              <w:rPr>
                <w:sz w:val="20"/>
                <w:szCs w:val="20"/>
                <w:color w:val="auto"/>
              </w:rPr>
            </w:pPr>
            <w:r>
              <w:rPr>
                <w:rFonts w:ascii="Arial" w:cs="Arial" w:eastAsia="Arial" w:hAnsi="Arial"/>
                <w:sz w:val="14"/>
                <w:szCs w:val="14"/>
                <w:color w:val="auto"/>
              </w:rPr>
              <w:t>General and administrative</w:t>
            </w:r>
          </w:p>
        </w:tc>
        <w:tc>
          <w:tcPr>
            <w:tcW w:w="58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105</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Product development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2,392</w:t>
            </w:r>
          </w:p>
        </w:tc>
      </w:tr>
      <w:tr>
        <w:trPr>
          <w:trHeight w:val="219"/>
        </w:trPr>
        <w:tc>
          <w:tcPr>
            <w:tcW w:w="7680" w:type="dxa"/>
            <w:vAlign w:val="bottom"/>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r>
      <w:tr>
        <w:trPr>
          <w:trHeight w:val="189"/>
        </w:trPr>
        <w:tc>
          <w:tcPr>
            <w:tcW w:w="7680" w:type="dxa"/>
            <w:vAlign w:val="bottom"/>
          </w:tcPr>
          <w:p>
            <w:pPr>
              <w:ind w:left="140"/>
              <w:spacing w:after="0" w:line="189" w:lineRule="exact"/>
              <w:rPr>
                <w:sz w:val="20"/>
                <w:szCs w:val="20"/>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Amounts include amortization of purchased intangibles, as follows:</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7680" w:type="dxa"/>
            <w:vAlign w:val="bottom"/>
            <w:shd w:val="clear" w:color="auto" w:fill="CCFFCC"/>
          </w:tcPr>
          <w:p>
            <w:pPr>
              <w:ind w:left="360"/>
              <w:spacing w:after="0"/>
              <w:rPr>
                <w:sz w:val="20"/>
                <w:szCs w:val="20"/>
                <w:color w:val="auto"/>
              </w:rPr>
            </w:pPr>
            <w:r>
              <w:rPr>
                <w:rFonts w:ascii="Arial" w:cs="Arial" w:eastAsia="Arial" w:hAnsi="Arial"/>
                <w:sz w:val="14"/>
                <w:szCs w:val="14"/>
                <w:color w:val="auto"/>
              </w:rPr>
              <w:t>Cost of revenue</w:t>
            </w:r>
          </w:p>
        </w:tc>
        <w:tc>
          <w:tcPr>
            <w:tcW w:w="920" w:type="dxa"/>
            <w:vAlign w:val="bottom"/>
            <w:gridSpan w:val="2"/>
            <w:shd w:val="clear" w:color="auto" w:fill="CCFFCC"/>
          </w:tcPr>
          <w:p>
            <w:pPr>
              <w:ind w:left="6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1,175</w:t>
            </w:r>
          </w:p>
        </w:tc>
        <w:tc>
          <w:tcPr>
            <w:tcW w:w="220" w:type="dxa"/>
            <w:vAlign w:val="bottom"/>
            <w:shd w:val="clear" w:color="auto" w:fill="CCFFCC"/>
          </w:tcPr>
          <w:p>
            <w:pPr>
              <w:spacing w:after="0"/>
              <w:rPr>
                <w:sz w:val="16"/>
                <w:szCs w:val="16"/>
                <w:color w:val="auto"/>
              </w:rPr>
            </w:pP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284</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23495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r>
      <w:tr>
        <w:trPr>
          <w:trHeight w:val="216"/>
        </w:trPr>
        <w:tc>
          <w:tcPr>
            <w:tcW w:w="8700" w:type="dxa"/>
            <w:vAlign w:val="bottom"/>
            <w:shd w:val="clear" w:color="auto" w:fill="CCFFCC"/>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(21,195)</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(37,001)</w:t>
            </w:r>
          </w:p>
        </w:tc>
      </w:tr>
      <w:tr>
        <w:trPr>
          <w:trHeight w:val="213"/>
        </w:trPr>
        <w:tc>
          <w:tcPr>
            <w:tcW w:w="8700" w:type="dxa"/>
            <w:vAlign w:val="bottom"/>
            <w:tcBorders>
              <w:bottom w:val="single" w:sz="8" w:color="CCFFCC"/>
            </w:tcBorders>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w:t>
            </w:r>
          </w:p>
        </w:tc>
        <w:tc>
          <w:tcPr>
            <w:tcW w:w="1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2,469</w:t>
            </w:r>
          </w:p>
        </w:tc>
      </w:tr>
      <w:tr>
        <w:trPr>
          <w:trHeight w:val="237"/>
        </w:trPr>
        <w:tc>
          <w:tcPr>
            <w:tcW w:w="87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(22,941)</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(34,532)</w:t>
            </w:r>
          </w:p>
        </w:tc>
      </w:tr>
      <w:tr>
        <w:trPr>
          <w:trHeight w:val="20"/>
        </w:trPr>
        <w:tc>
          <w:tcPr>
            <w:tcW w:w="87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8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84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Three Months Ended March 31, 2021</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45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Borders>
              <w:top w:val="single" w:sz="8" w:color="auto"/>
            </w:tcBorders>
            <w:vMerge w:val="restart"/>
          </w:tcPr>
          <w:p>
            <w:pPr>
              <w:spacing w:after="0"/>
              <w:rPr>
                <w:sz w:val="11"/>
                <w:szCs w:val="11"/>
                <w:color w:val="auto"/>
              </w:rPr>
            </w:pPr>
          </w:p>
        </w:tc>
        <w:tc>
          <w:tcPr>
            <w:tcW w:w="1420" w:type="dxa"/>
            <w:vAlign w:val="bottom"/>
            <w:tcBorders>
              <w:top w:val="single" w:sz="8" w:color="auto"/>
            </w:tcBorders>
            <w:gridSpan w:val="4"/>
            <w:vMerge w:val="restart"/>
          </w:tcPr>
          <w:p>
            <w:pPr>
              <w:ind w:left="30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Borders>
              <w:top w:val="single" w:sz="8" w:color="auto"/>
            </w:tcBorders>
            <w:vMerge w:val="restart"/>
          </w:tcPr>
          <w:p>
            <w:pPr>
              <w:spacing w:after="0"/>
              <w:rPr>
                <w:sz w:val="11"/>
                <w:szCs w:val="11"/>
                <w:color w:val="auto"/>
              </w:rPr>
            </w:pPr>
          </w:p>
        </w:tc>
        <w:tc>
          <w:tcPr>
            <w:tcW w:w="7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4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560" w:type="dxa"/>
            <w:vAlign w:val="bottom"/>
          </w:tcPr>
          <w:p>
            <w:pPr>
              <w:spacing w:after="0"/>
              <w:rPr>
                <w:sz w:val="8"/>
                <w:szCs w:val="8"/>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8"/>
                <w:szCs w:val="8"/>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8"/>
                <w:szCs w:val="8"/>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8"/>
                <w:szCs w:val="8"/>
                <w:color w:val="auto"/>
              </w:rPr>
            </w:pPr>
          </w:p>
        </w:tc>
        <w:tc>
          <w:tcPr>
            <w:tcW w:w="66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Paid-in</w:t>
            </w:r>
          </w:p>
        </w:tc>
        <w:tc>
          <w:tcPr>
            <w:tcW w:w="86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980" w:type="dxa"/>
            <w:vAlign w:val="bottom"/>
            <w:gridSpan w:val="3"/>
          </w:tcPr>
          <w:p>
            <w:pPr>
              <w:jc w:val="center"/>
              <w:ind w:right="14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8"/>
                <w:szCs w:val="8"/>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3"/>
                <w:szCs w:val="13"/>
                <w:color w:val="auto"/>
              </w:rPr>
              <w:t>Balance at December 31, 2020</w:t>
            </w: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2"/>
              </w:rPr>
              <w:t>70,264,265</w:t>
            </w:r>
          </w:p>
        </w:tc>
        <w:tc>
          <w:tcPr>
            <w:tcW w:w="8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70</w:t>
            </w:r>
          </w:p>
        </w:tc>
        <w:tc>
          <w:tcPr>
            <w:tcW w:w="80" w:type="dxa"/>
            <w:vAlign w:val="bottom"/>
            <w:tcBorders>
              <w:top w:val="single" w:sz="8" w:color="CCFFCC"/>
            </w:tcBorders>
            <w:shd w:val="clear" w:color="auto" w:fill="CCFFCC"/>
          </w:tcPr>
          <w:p>
            <w:pPr>
              <w:spacing w:after="0"/>
              <w:rPr>
                <w:sz w:val="15"/>
                <w:szCs w:val="15"/>
                <w:color w:val="auto"/>
              </w:rPr>
            </w:pPr>
          </w:p>
        </w:tc>
        <w:tc>
          <w:tcPr>
            <w:tcW w:w="680" w:type="dxa"/>
            <w:vAlign w:val="bottom"/>
            <w:tcBorders>
              <w:top w:val="single" w:sz="8" w:color="auto"/>
            </w:tcBorders>
            <w:shd w:val="clear" w:color="auto" w:fill="CCFFCC"/>
          </w:tcPr>
          <w:p>
            <w:pPr>
              <w:ind w:left="60"/>
              <w:spacing w:after="0"/>
              <w:rPr>
                <w:sz w:val="20"/>
                <w:szCs w:val="20"/>
                <w:color w:val="auto"/>
              </w:rPr>
            </w:pPr>
            <w:r>
              <w:rPr>
                <w:rFonts w:ascii="Arial" w:cs="Arial" w:eastAsia="Arial" w:hAnsi="Arial"/>
                <w:sz w:val="13"/>
                <w:szCs w:val="13"/>
                <w:color w:val="auto"/>
                <w:w w:val="90"/>
              </w:rPr>
              <w:t>(2,709,830)</w:t>
            </w:r>
          </w:p>
        </w:tc>
        <w:tc>
          <w:tcPr>
            <w:tcW w:w="8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FFCC"/>
          </w:tcPr>
          <w:p>
            <w:pPr>
              <w:ind w:left="380"/>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635,672</w:t>
            </w:r>
          </w:p>
        </w:tc>
        <w:tc>
          <w:tcPr>
            <w:tcW w:w="8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(391,885)</w:t>
            </w:r>
          </w:p>
        </w:tc>
        <w:tc>
          <w:tcPr>
            <w:tcW w:w="10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80</w:t>
            </w:r>
          </w:p>
        </w:tc>
        <w:tc>
          <w:tcPr>
            <w:tcW w:w="12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97"/>
              </w:rPr>
              <w:t>243,934</w:t>
            </w:r>
          </w:p>
        </w:tc>
        <w:tc>
          <w:tcPr>
            <w:tcW w:w="0" w:type="dxa"/>
            <w:vAlign w:val="bottom"/>
          </w:tcPr>
          <w:p>
            <w:pPr>
              <w:spacing w:after="0"/>
              <w:rPr>
                <w:sz w:val="1"/>
                <w:szCs w:val="1"/>
                <w:color w:val="auto"/>
              </w:rPr>
            </w:pPr>
          </w:p>
        </w:tc>
      </w:tr>
      <w:tr>
        <w:trPr>
          <w:trHeight w:val="168"/>
        </w:trPr>
        <w:tc>
          <w:tcPr>
            <w:tcW w:w="4560" w:type="dxa"/>
            <w:vAlign w:val="bottom"/>
          </w:tcPr>
          <w:p>
            <w:pPr>
              <w:ind w:left="200"/>
              <w:spacing w:after="0"/>
              <w:rPr>
                <w:sz w:val="20"/>
                <w:szCs w:val="20"/>
                <w:color w:val="auto"/>
              </w:rPr>
            </w:pPr>
            <w:r>
              <w:rPr>
                <w:rFonts w:ascii="Arial" w:cs="Arial" w:eastAsia="Arial" w:hAnsi="Arial"/>
                <w:sz w:val="13"/>
                <w:szCs w:val="13"/>
                <w:color w:val="auto"/>
              </w:rPr>
              <w:t>Common stock issued upon exercise of 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209,185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2,617</w:t>
            </w:r>
          </w:p>
        </w:tc>
        <w:tc>
          <w:tcPr>
            <w:tcW w:w="0" w:type="dxa"/>
            <w:vAlign w:val="bottom"/>
          </w:tcPr>
          <w:p>
            <w:pPr>
              <w:spacing w:after="0"/>
              <w:rPr>
                <w:sz w:val="1"/>
                <w:szCs w:val="1"/>
                <w:color w:val="auto"/>
              </w:rPr>
            </w:pPr>
          </w:p>
        </w:tc>
      </w:tr>
      <w:tr>
        <w:trPr>
          <w:trHeight w:val="183"/>
        </w:trPr>
        <w:tc>
          <w:tcPr>
            <w:tcW w:w="4560" w:type="dxa"/>
            <w:vAlign w:val="bottom"/>
            <w:shd w:val="clear" w:color="auto" w:fill="CCFFCC"/>
          </w:tcPr>
          <w:p>
            <w:pPr>
              <w:ind w:left="200"/>
              <w:spacing w:after="0"/>
              <w:rPr>
                <w:sz w:val="20"/>
                <w:szCs w:val="20"/>
                <w:color w:val="auto"/>
              </w:rPr>
            </w:pPr>
            <w:r>
              <w:rPr>
                <w:rFonts w:ascii="Arial" w:cs="Arial" w:eastAsia="Arial" w:hAnsi="Arial"/>
                <w:sz w:val="13"/>
                <w:szCs w:val="13"/>
                <w:color w:val="auto"/>
              </w:rPr>
              <w:t>Common stock issued upon vesting of restricted stock units</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454,508</w:t>
            </w: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FFCC"/>
          </w:tcPr>
          <w:p>
            <w:pPr>
              <w:spacing w:after="0"/>
              <w:rPr>
                <w:sz w:val="15"/>
                <w:szCs w:val="15"/>
                <w:color w:val="auto"/>
              </w:rPr>
            </w:pPr>
          </w:p>
        </w:tc>
        <w:tc>
          <w:tcPr>
            <w:tcW w:w="760" w:type="dxa"/>
            <w:vAlign w:val="bottom"/>
            <w:gridSpan w:val="2"/>
            <w:shd w:val="clear" w:color="auto" w:fill="CCFFCC"/>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40" w:type="dxa"/>
            <w:vAlign w:val="bottom"/>
            <w:gridSpan w:val="2"/>
            <w:shd w:val="clear" w:color="auto" w:fill="CCFFCC"/>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5"/>
                <w:szCs w:val="15"/>
                <w:color w:val="auto"/>
              </w:rPr>
            </w:pP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5"/>
                <w:szCs w:val="15"/>
                <w:color w:val="auto"/>
              </w:rPr>
            </w:pPr>
          </w:p>
        </w:tc>
        <w:tc>
          <w:tcPr>
            <w:tcW w:w="56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56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9,225</w:t>
            </w:r>
          </w:p>
        </w:tc>
        <w:tc>
          <w:tcPr>
            <w:tcW w:w="0" w:type="dxa"/>
            <w:vAlign w:val="bottom"/>
          </w:tcPr>
          <w:p>
            <w:pPr>
              <w:spacing w:after="0"/>
              <w:rPr>
                <w:sz w:val="1"/>
                <w:szCs w:val="1"/>
                <w:color w:val="auto"/>
              </w:rPr>
            </w:pPr>
          </w:p>
        </w:tc>
      </w:tr>
      <w:tr>
        <w:trPr>
          <w:trHeight w:val="183"/>
        </w:trPr>
        <w:tc>
          <w:tcPr>
            <w:tcW w:w="4560" w:type="dxa"/>
            <w:vAlign w:val="bottom"/>
            <w:shd w:val="clear" w:color="auto" w:fill="CCFFCC"/>
          </w:tcPr>
          <w:p>
            <w:pPr>
              <w:ind w:left="200"/>
              <w:spacing w:after="0"/>
              <w:rPr>
                <w:sz w:val="20"/>
                <w:szCs w:val="20"/>
                <w:color w:val="auto"/>
              </w:rPr>
            </w:pPr>
            <w:r>
              <w:rPr>
                <w:rFonts w:ascii="Arial" w:cs="Arial" w:eastAsia="Arial" w:hAnsi="Arial"/>
                <w:sz w:val="13"/>
                <w:szCs w:val="13"/>
                <w:color w:val="auto"/>
              </w:rPr>
              <w:t>Cash awards settled in shares of the Company's common stock</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400,700</w:t>
            </w: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FFCC"/>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40" w:type="dxa"/>
            <w:vAlign w:val="bottom"/>
            <w:gridSpan w:val="2"/>
            <w:shd w:val="clear" w:color="auto" w:fill="CCFFCC"/>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25,925</w:t>
            </w:r>
          </w:p>
        </w:tc>
        <w:tc>
          <w:tcPr>
            <w:tcW w:w="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5"/>
                <w:szCs w:val="15"/>
                <w:color w:val="auto"/>
              </w:rPr>
            </w:pP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5"/>
                <w:szCs w:val="15"/>
                <w:color w:val="auto"/>
              </w:rPr>
            </w:pPr>
          </w:p>
        </w:tc>
        <w:tc>
          <w:tcPr>
            <w:tcW w:w="56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25,925</w:t>
            </w:r>
          </w:p>
        </w:tc>
        <w:tc>
          <w:tcPr>
            <w:tcW w:w="0" w:type="dxa"/>
            <w:vAlign w:val="bottom"/>
          </w:tcPr>
          <w:p>
            <w:pPr>
              <w:spacing w:after="0"/>
              <w:rPr>
                <w:sz w:val="1"/>
                <w:szCs w:val="1"/>
                <w:color w:val="auto"/>
              </w:rPr>
            </w:pPr>
          </w:p>
        </w:tc>
      </w:tr>
      <w:tr>
        <w:trPr>
          <w:trHeight w:val="168"/>
        </w:trPr>
        <w:tc>
          <w:tcPr>
            <w:tcW w:w="4560" w:type="dxa"/>
            <w:vAlign w:val="bottom"/>
          </w:tcPr>
          <w:p>
            <w:pPr>
              <w:ind w:left="200"/>
              <w:spacing w:after="0"/>
              <w:rPr>
                <w:sz w:val="20"/>
                <w:szCs w:val="20"/>
                <w:color w:val="auto"/>
              </w:rPr>
            </w:pPr>
            <w:r>
              <w:rPr>
                <w:rFonts w:ascii="Arial" w:cs="Arial" w:eastAsia="Arial" w:hAnsi="Arial"/>
                <w:sz w:val="13"/>
                <w:szCs w:val="13"/>
                <w:color w:val="auto"/>
              </w:rPr>
              <w:t>Common stock issued under Employee Stock Purchase Plan</w:t>
            </w:r>
          </w:p>
        </w:tc>
        <w:tc>
          <w:tcPr>
            <w:tcW w:w="680" w:type="dxa"/>
            <w:vAlign w:val="bottom"/>
          </w:tcPr>
          <w:p>
            <w:pPr>
              <w:jc w:val="right"/>
              <w:spacing w:after="0"/>
              <w:rPr>
                <w:sz w:val="20"/>
                <w:szCs w:val="20"/>
                <w:color w:val="auto"/>
              </w:rPr>
            </w:pPr>
            <w:r>
              <w:rPr>
                <w:rFonts w:ascii="Arial" w:cs="Arial" w:eastAsia="Arial" w:hAnsi="Arial"/>
                <w:sz w:val="13"/>
                <w:szCs w:val="13"/>
                <w:color w:val="auto"/>
              </w:rPr>
              <w:t>22,544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1,257</w:t>
            </w:r>
          </w:p>
        </w:tc>
        <w:tc>
          <w:tcPr>
            <w:tcW w:w="0" w:type="dxa"/>
            <w:vAlign w:val="bottom"/>
          </w:tcPr>
          <w:p>
            <w:pPr>
              <w:spacing w:after="0"/>
              <w:rPr>
                <w:sz w:val="1"/>
                <w:szCs w:val="1"/>
                <w:color w:val="auto"/>
              </w:rPr>
            </w:pPr>
          </w:p>
        </w:tc>
      </w:tr>
      <w:tr>
        <w:trPr>
          <w:trHeight w:val="183"/>
        </w:trPr>
        <w:tc>
          <w:tcPr>
            <w:tcW w:w="4560" w:type="dxa"/>
            <w:vAlign w:val="bottom"/>
            <w:shd w:val="clear" w:color="auto" w:fill="CCFFCC"/>
          </w:tcPr>
          <w:p>
            <w:pPr>
              <w:ind w:left="200"/>
              <w:spacing w:after="0"/>
              <w:rPr>
                <w:sz w:val="20"/>
                <w:szCs w:val="20"/>
                <w:color w:val="auto"/>
              </w:rPr>
            </w:pPr>
            <w:r>
              <w:rPr>
                <w:rFonts w:ascii="Arial" w:cs="Arial" w:eastAsia="Arial" w:hAnsi="Arial"/>
                <w:sz w:val="13"/>
                <w:szCs w:val="13"/>
                <w:color w:val="auto"/>
              </w:rPr>
              <w:t>Net loss</w:t>
            </w: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FFCC"/>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40" w:type="dxa"/>
            <w:vAlign w:val="bottom"/>
            <w:gridSpan w:val="2"/>
            <w:shd w:val="clear" w:color="auto" w:fill="CCFFCC"/>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FCC"/>
          </w:tcPr>
          <w:p>
            <w:pPr>
              <w:spacing w:after="0"/>
              <w:rPr>
                <w:sz w:val="15"/>
                <w:szCs w:val="15"/>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(21,195)</w:t>
            </w:r>
          </w:p>
        </w:tc>
        <w:tc>
          <w:tcPr>
            <w:tcW w:w="1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5"/>
                <w:szCs w:val="15"/>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(21,195)</w:t>
            </w: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3"/>
                <w:szCs w:val="13"/>
                <w:color w:val="auto"/>
              </w:rPr>
              <w:t>Other comprehensive loss</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(1,746)</w:t>
            </w:r>
          </w:p>
        </w:tc>
        <w:tc>
          <w:tcPr>
            <w:tcW w:w="0" w:type="dxa"/>
            <w:vAlign w:val="bottom"/>
          </w:tcPr>
          <w:p>
            <w:pPr>
              <w:spacing w:after="0"/>
              <w:rPr>
                <w:sz w:val="1"/>
                <w:szCs w:val="1"/>
                <w:color w:val="auto"/>
              </w:rPr>
            </w:pPr>
          </w:p>
        </w:tc>
      </w:tr>
      <w:tr>
        <w:trPr>
          <w:trHeight w:val="201"/>
        </w:trPr>
        <w:tc>
          <w:tcPr>
            <w:tcW w:w="45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3"/>
                <w:szCs w:val="13"/>
                <w:color w:val="auto"/>
              </w:rPr>
              <w:t>Balance at March 31, 2021</w:t>
            </w: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2"/>
              </w:rPr>
              <w:t>71,351,202</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71</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680" w:type="dxa"/>
            <w:vAlign w:val="bottom"/>
            <w:tcBorders>
              <w:top w:val="single" w:sz="8" w:color="auto"/>
              <w:bottom w:val="single" w:sz="8" w:color="auto"/>
            </w:tcBorders>
            <w:shd w:val="clear" w:color="auto" w:fill="CCFFCC"/>
          </w:tcPr>
          <w:p>
            <w:pPr>
              <w:ind w:left="60"/>
              <w:spacing w:after="0"/>
              <w:rPr>
                <w:sz w:val="20"/>
                <w:szCs w:val="20"/>
                <w:color w:val="auto"/>
              </w:rPr>
            </w:pPr>
            <w:r>
              <w:rPr>
                <w:rFonts w:ascii="Arial" w:cs="Arial" w:eastAsia="Arial" w:hAnsi="Arial"/>
                <w:sz w:val="13"/>
                <w:szCs w:val="13"/>
                <w:color w:val="auto"/>
                <w:w w:val="90"/>
              </w:rPr>
              <w:t>(2,709,830)</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FFCC"/>
          </w:tcPr>
          <w:p>
            <w:pPr>
              <w:ind w:left="380"/>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674,695</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auto"/>
              <w:bottom w:val="single" w:sz="8" w:color="auto"/>
            </w:tcBorders>
            <w:shd w:val="clear" w:color="auto" w:fill="CCFFC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(413,080)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(1,666)</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97"/>
              </w:rPr>
              <w:t>260,017</w:t>
            </w:r>
          </w:p>
        </w:tc>
        <w:tc>
          <w:tcPr>
            <w:tcW w:w="0" w:type="dxa"/>
            <w:vAlign w:val="bottom"/>
          </w:tcPr>
          <w:p>
            <w:pPr>
              <w:spacing w:after="0"/>
              <w:rPr>
                <w:sz w:val="1"/>
                <w:szCs w:val="1"/>
                <w:color w:val="auto"/>
              </w:rPr>
            </w:pPr>
          </w:p>
        </w:tc>
      </w:tr>
      <w:tr>
        <w:trPr>
          <w:trHeight w:val="20"/>
        </w:trPr>
        <w:tc>
          <w:tcPr>
            <w:tcW w:w="456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56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56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58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6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56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Three Months Ended March 31, 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6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Borders>
              <w:top w:val="single" w:sz="8" w:color="auto"/>
            </w:tcBorders>
            <w:vMerge w:val="restart"/>
          </w:tcPr>
          <w:p>
            <w:pPr>
              <w:spacing w:after="0"/>
              <w:rPr>
                <w:sz w:val="11"/>
                <w:szCs w:val="11"/>
                <w:color w:val="auto"/>
              </w:rPr>
            </w:pPr>
          </w:p>
        </w:tc>
        <w:tc>
          <w:tcPr>
            <w:tcW w:w="1420" w:type="dxa"/>
            <w:vAlign w:val="bottom"/>
            <w:tcBorders>
              <w:top w:val="single" w:sz="8" w:color="auto"/>
            </w:tcBorders>
            <w:gridSpan w:val="4"/>
            <w:vMerge w:val="restart"/>
          </w:tcPr>
          <w:p>
            <w:pPr>
              <w:ind w:left="30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Borders>
              <w:top w:val="single" w:sz="8" w:color="auto"/>
            </w:tcBorders>
            <w:vMerge w:val="restart"/>
          </w:tcPr>
          <w:p>
            <w:pPr>
              <w:spacing w:after="0"/>
              <w:rPr>
                <w:sz w:val="11"/>
                <w:szCs w:val="11"/>
                <w:color w:val="auto"/>
              </w:rPr>
            </w:pPr>
          </w:p>
        </w:tc>
        <w:tc>
          <w:tcPr>
            <w:tcW w:w="7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4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680" w:type="dxa"/>
            <w:vAlign w:val="bottom"/>
          </w:tcPr>
          <w:p>
            <w:pPr>
              <w:spacing w:after="0"/>
              <w:rPr>
                <w:sz w:val="8"/>
                <w:szCs w:val="8"/>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8"/>
                <w:szCs w:val="8"/>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8"/>
                <w:szCs w:val="8"/>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8"/>
                <w:szCs w:val="8"/>
                <w:color w:val="auto"/>
              </w:rPr>
            </w:pPr>
          </w:p>
        </w:tc>
        <w:tc>
          <w:tcPr>
            <w:tcW w:w="66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Paid-in</w:t>
            </w:r>
          </w:p>
        </w:tc>
        <w:tc>
          <w:tcPr>
            <w:tcW w:w="84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96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8"/>
                <w:szCs w:val="8"/>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6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Balance at December 31, 2019</w:t>
            </w: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9"/>
              </w:rPr>
              <w:t>66,543,073</w:t>
            </w:r>
          </w:p>
        </w:tc>
        <w:tc>
          <w:tcPr>
            <w:tcW w:w="10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67</w:t>
            </w:r>
          </w:p>
        </w:tc>
        <w:tc>
          <w:tcPr>
            <w:tcW w:w="80" w:type="dxa"/>
            <w:vAlign w:val="bottom"/>
            <w:tcBorders>
              <w:top w:val="single" w:sz="8" w:color="CCFFCC"/>
            </w:tcBorders>
            <w:shd w:val="clear" w:color="auto" w:fill="CCFFCC"/>
          </w:tcPr>
          <w:p>
            <w:pPr>
              <w:spacing w:after="0"/>
              <w:rPr>
                <w:sz w:val="15"/>
                <w:szCs w:val="15"/>
                <w:color w:val="auto"/>
              </w:rPr>
            </w:pPr>
          </w:p>
        </w:tc>
        <w:tc>
          <w:tcPr>
            <w:tcW w:w="660" w:type="dxa"/>
            <w:vAlign w:val="bottom"/>
            <w:tcBorders>
              <w:top w:val="single" w:sz="8" w:color="auto"/>
            </w:tcBorders>
            <w:shd w:val="clear" w:color="auto" w:fill="CCFFCC"/>
          </w:tcPr>
          <w:p>
            <w:pPr>
              <w:ind w:left="40"/>
              <w:spacing w:after="0"/>
              <w:rPr>
                <w:sz w:val="20"/>
                <w:szCs w:val="20"/>
                <w:color w:val="auto"/>
              </w:rPr>
            </w:pPr>
            <w:r>
              <w:rPr>
                <w:rFonts w:ascii="Arial" w:cs="Arial" w:eastAsia="Arial" w:hAnsi="Arial"/>
                <w:sz w:val="13"/>
                <w:szCs w:val="13"/>
                <w:color w:val="auto"/>
                <w:w w:val="90"/>
              </w:rPr>
              <w:t>(2,709,830)</w:t>
            </w:r>
          </w:p>
        </w:tc>
        <w:tc>
          <w:tcPr>
            <w:tcW w:w="8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FFCC"/>
          </w:tcPr>
          <w:p>
            <w:pPr>
              <w:ind w:left="400"/>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436,557</w:t>
            </w:r>
          </w:p>
        </w:tc>
        <w:tc>
          <w:tcPr>
            <w:tcW w:w="8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(283,562)</w:t>
            </w:r>
          </w:p>
        </w:tc>
        <w:tc>
          <w:tcPr>
            <w:tcW w:w="8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FFCC"/>
          </w:tcPr>
          <w:p>
            <w:pPr>
              <w:ind w:left="400"/>
              <w:spacing w:after="0"/>
              <w:rPr>
                <w:sz w:val="20"/>
                <w:szCs w:val="20"/>
                <w:color w:val="auto"/>
              </w:rPr>
            </w:pPr>
            <w:r>
              <w:rPr>
                <w:rFonts w:ascii="Arial" w:cs="Arial" w:eastAsia="Arial" w:hAnsi="Arial"/>
                <w:sz w:val="13"/>
                <w:szCs w:val="13"/>
                <w:color w:val="auto"/>
                <w:w w:val="92"/>
              </w:rPr>
              <w:t>(4,524)</w:t>
            </w:r>
          </w:p>
        </w:tc>
        <w:tc>
          <w:tcPr>
            <w:tcW w:w="8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7"/>
              </w:rPr>
              <w:t>148,535</w:t>
            </w:r>
          </w:p>
        </w:tc>
        <w:tc>
          <w:tcPr>
            <w:tcW w:w="0" w:type="dxa"/>
            <w:vAlign w:val="bottom"/>
          </w:tcPr>
          <w:p>
            <w:pPr>
              <w:spacing w:after="0"/>
              <w:rPr>
                <w:sz w:val="1"/>
                <w:szCs w:val="1"/>
                <w:color w:val="auto"/>
              </w:rPr>
            </w:pPr>
          </w:p>
        </w:tc>
      </w:tr>
      <w:tr>
        <w:trPr>
          <w:trHeight w:val="168"/>
        </w:trPr>
        <w:tc>
          <w:tcPr>
            <w:tcW w:w="4680" w:type="dxa"/>
            <w:vAlign w:val="bottom"/>
          </w:tcPr>
          <w:p>
            <w:pPr>
              <w:ind w:left="220"/>
              <w:spacing w:after="0"/>
              <w:rPr>
                <w:sz w:val="20"/>
                <w:szCs w:val="20"/>
                <w:color w:val="auto"/>
              </w:rPr>
            </w:pPr>
            <w:r>
              <w:rPr>
                <w:rFonts w:ascii="Arial" w:cs="Arial" w:eastAsia="Arial" w:hAnsi="Arial"/>
                <w:sz w:val="13"/>
                <w:szCs w:val="13"/>
                <w:color w:val="auto"/>
              </w:rPr>
              <w:t>Common stock issued upon exercise of stock options</w:t>
            </w:r>
          </w:p>
        </w:tc>
        <w:tc>
          <w:tcPr>
            <w:tcW w:w="660" w:type="dxa"/>
            <w:vAlign w:val="bottom"/>
          </w:tcPr>
          <w:p>
            <w:pPr>
              <w:jc w:val="right"/>
              <w:spacing w:after="0"/>
              <w:rPr>
                <w:sz w:val="20"/>
                <w:szCs w:val="20"/>
                <w:color w:val="auto"/>
              </w:rPr>
            </w:pPr>
            <w:r>
              <w:rPr>
                <w:rFonts w:ascii="Arial" w:cs="Arial" w:eastAsia="Arial" w:hAnsi="Arial"/>
                <w:sz w:val="13"/>
                <w:szCs w:val="13"/>
                <w:color w:val="auto"/>
              </w:rPr>
              <w:t>199,215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1,955</w:t>
            </w:r>
          </w:p>
        </w:tc>
        <w:tc>
          <w:tcPr>
            <w:tcW w:w="0" w:type="dxa"/>
            <w:vAlign w:val="bottom"/>
          </w:tcPr>
          <w:p>
            <w:pPr>
              <w:spacing w:after="0"/>
              <w:rPr>
                <w:sz w:val="1"/>
                <w:szCs w:val="1"/>
                <w:color w:val="auto"/>
              </w:rPr>
            </w:pPr>
          </w:p>
        </w:tc>
      </w:tr>
      <w:tr>
        <w:trPr>
          <w:trHeight w:val="183"/>
        </w:trPr>
        <w:tc>
          <w:tcPr>
            <w:tcW w:w="4680" w:type="dxa"/>
            <w:vAlign w:val="bottom"/>
            <w:shd w:val="clear" w:color="auto" w:fill="CCFFCC"/>
          </w:tcPr>
          <w:p>
            <w:pPr>
              <w:ind w:left="220"/>
              <w:spacing w:after="0"/>
              <w:rPr>
                <w:sz w:val="20"/>
                <w:szCs w:val="20"/>
                <w:color w:val="auto"/>
              </w:rPr>
            </w:pPr>
            <w:r>
              <w:rPr>
                <w:rFonts w:ascii="Arial" w:cs="Arial" w:eastAsia="Arial" w:hAnsi="Arial"/>
                <w:sz w:val="13"/>
                <w:szCs w:val="13"/>
                <w:color w:val="auto"/>
              </w:rPr>
              <w:t>Common stock issued upon vesting of restricted stock units</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203,690</w:t>
            </w:r>
          </w:p>
        </w:tc>
        <w:tc>
          <w:tcPr>
            <w:tcW w:w="10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FFCC"/>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60" w:type="dxa"/>
            <w:vAlign w:val="bottom"/>
            <w:gridSpan w:val="2"/>
            <w:shd w:val="clear" w:color="auto" w:fill="CCFFCC"/>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FCC"/>
          </w:tcPr>
          <w:p>
            <w:pPr>
              <w:spacing w:after="0"/>
              <w:rPr>
                <w:sz w:val="15"/>
                <w:szCs w:val="15"/>
                <w:color w:val="auto"/>
              </w:rPr>
            </w:pPr>
          </w:p>
        </w:tc>
        <w:tc>
          <w:tcPr>
            <w:tcW w:w="70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5"/>
                <w:szCs w:val="15"/>
                <w:color w:val="auto"/>
              </w:rPr>
            </w:pPr>
          </w:p>
        </w:tc>
        <w:tc>
          <w:tcPr>
            <w:tcW w:w="880" w:type="dxa"/>
            <w:vAlign w:val="bottom"/>
            <w:gridSpan w:val="2"/>
            <w:shd w:val="clear" w:color="auto" w:fill="CCFFCC"/>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5"/>
                <w:szCs w:val="15"/>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680" w:type="dxa"/>
            <w:vAlign w:val="bottom"/>
          </w:tcPr>
          <w:p>
            <w:pPr>
              <w:ind w:left="220"/>
              <w:spacing w:after="0"/>
              <w:rPr>
                <w:sz w:val="20"/>
                <w:szCs w:val="20"/>
                <w:color w:val="auto"/>
              </w:rPr>
            </w:pPr>
            <w:r>
              <w:rPr>
                <w:rFonts w:ascii="Arial" w:cs="Arial" w:eastAsia="Arial" w:hAnsi="Arial"/>
                <w:sz w:val="13"/>
                <w:szCs w:val="13"/>
                <w:color w:val="auto"/>
              </w:rPr>
              <w:t>Common stock as earn-out payment in connection with AdvantageTec Inc.</w:t>
            </w:r>
          </w:p>
        </w:tc>
        <w:tc>
          <w:tcPr>
            <w:tcW w:w="660" w:type="dxa"/>
            <w:vAlign w:val="bottom"/>
          </w:tcPr>
          <w:p>
            <w:pPr>
              <w:jc w:val="right"/>
              <w:spacing w:after="0"/>
              <w:rPr>
                <w:sz w:val="20"/>
                <w:szCs w:val="20"/>
                <w:color w:val="auto"/>
              </w:rPr>
            </w:pPr>
            <w:r>
              <w:rPr>
                <w:rFonts w:ascii="Arial" w:cs="Arial" w:eastAsia="Arial" w:hAnsi="Arial"/>
                <w:sz w:val="13"/>
                <w:szCs w:val="13"/>
                <w:color w:val="auto"/>
              </w:rPr>
              <w:t>11,508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83"/>
        </w:trPr>
        <w:tc>
          <w:tcPr>
            <w:tcW w:w="4680" w:type="dxa"/>
            <w:vAlign w:val="bottom"/>
            <w:shd w:val="clear" w:color="auto" w:fill="CCFFCC"/>
          </w:tcPr>
          <w:p>
            <w:pPr>
              <w:ind w:left="220"/>
              <w:spacing w:after="0"/>
              <w:rPr>
                <w:sz w:val="20"/>
                <w:szCs w:val="20"/>
                <w:color w:val="auto"/>
              </w:rPr>
            </w:pPr>
            <w:r>
              <w:rPr>
                <w:rFonts w:ascii="Arial" w:cs="Arial" w:eastAsia="Arial" w:hAnsi="Arial"/>
                <w:sz w:val="13"/>
                <w:szCs w:val="13"/>
                <w:color w:val="auto"/>
              </w:rPr>
              <w:t>Stock-based compensation</w:t>
            </w: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FFCC"/>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60" w:type="dxa"/>
            <w:vAlign w:val="bottom"/>
            <w:gridSpan w:val="2"/>
            <w:shd w:val="clear" w:color="auto" w:fill="CCFFCC"/>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9,519</w:t>
            </w:r>
          </w:p>
        </w:tc>
        <w:tc>
          <w:tcPr>
            <w:tcW w:w="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5"/>
                <w:szCs w:val="15"/>
                <w:color w:val="auto"/>
              </w:rPr>
            </w:pPr>
          </w:p>
        </w:tc>
        <w:tc>
          <w:tcPr>
            <w:tcW w:w="880" w:type="dxa"/>
            <w:vAlign w:val="bottom"/>
            <w:gridSpan w:val="2"/>
            <w:shd w:val="clear" w:color="auto" w:fill="CCFFCC"/>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5"/>
                <w:szCs w:val="15"/>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9,519</w:t>
            </w:r>
          </w:p>
        </w:tc>
        <w:tc>
          <w:tcPr>
            <w:tcW w:w="0" w:type="dxa"/>
            <w:vAlign w:val="bottom"/>
          </w:tcPr>
          <w:p>
            <w:pPr>
              <w:spacing w:after="0"/>
              <w:rPr>
                <w:sz w:val="1"/>
                <w:szCs w:val="1"/>
                <w:color w:val="auto"/>
              </w:rPr>
            </w:pPr>
          </w:p>
        </w:tc>
      </w:tr>
      <w:tr>
        <w:trPr>
          <w:trHeight w:val="168"/>
        </w:trPr>
        <w:tc>
          <w:tcPr>
            <w:tcW w:w="4680" w:type="dxa"/>
            <w:vAlign w:val="bottom"/>
          </w:tcPr>
          <w:p>
            <w:pPr>
              <w:ind w:left="220"/>
              <w:spacing w:after="0"/>
              <w:rPr>
                <w:sz w:val="20"/>
                <w:szCs w:val="20"/>
                <w:color w:val="auto"/>
              </w:rPr>
            </w:pPr>
            <w:r>
              <w:rPr>
                <w:rFonts w:ascii="Arial" w:cs="Arial" w:eastAsia="Arial" w:hAnsi="Arial"/>
                <w:sz w:val="13"/>
                <w:szCs w:val="13"/>
                <w:color w:val="auto"/>
              </w:rPr>
              <w:t>Cash awards settled in shares of the Company's common stock</w:t>
            </w:r>
          </w:p>
        </w:tc>
        <w:tc>
          <w:tcPr>
            <w:tcW w:w="660" w:type="dxa"/>
            <w:vAlign w:val="bottom"/>
          </w:tcPr>
          <w:p>
            <w:pPr>
              <w:jc w:val="right"/>
              <w:spacing w:after="0"/>
              <w:rPr>
                <w:sz w:val="20"/>
                <w:szCs w:val="20"/>
                <w:color w:val="auto"/>
              </w:rPr>
            </w:pPr>
            <w:r>
              <w:rPr>
                <w:rFonts w:ascii="Arial" w:cs="Arial" w:eastAsia="Arial" w:hAnsi="Arial"/>
                <w:sz w:val="13"/>
                <w:szCs w:val="13"/>
                <w:color w:val="auto"/>
              </w:rPr>
              <w:t>991,905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24,656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24,656</w:t>
            </w:r>
          </w:p>
        </w:tc>
        <w:tc>
          <w:tcPr>
            <w:tcW w:w="0" w:type="dxa"/>
            <w:vAlign w:val="bottom"/>
          </w:tcPr>
          <w:p>
            <w:pPr>
              <w:spacing w:after="0"/>
              <w:rPr>
                <w:sz w:val="1"/>
                <w:szCs w:val="1"/>
                <w:color w:val="auto"/>
              </w:rPr>
            </w:pPr>
          </w:p>
        </w:tc>
      </w:tr>
      <w:tr>
        <w:trPr>
          <w:trHeight w:val="183"/>
        </w:trPr>
        <w:tc>
          <w:tcPr>
            <w:tcW w:w="4680" w:type="dxa"/>
            <w:vAlign w:val="bottom"/>
            <w:shd w:val="clear" w:color="auto" w:fill="CCFFCC"/>
          </w:tcPr>
          <w:p>
            <w:pPr>
              <w:ind w:left="220"/>
              <w:spacing w:after="0"/>
              <w:rPr>
                <w:sz w:val="20"/>
                <w:szCs w:val="20"/>
                <w:color w:val="auto"/>
              </w:rPr>
            </w:pPr>
            <w:r>
              <w:rPr>
                <w:rFonts w:ascii="Arial" w:cs="Arial" w:eastAsia="Arial" w:hAnsi="Arial"/>
                <w:sz w:val="13"/>
                <w:szCs w:val="13"/>
                <w:color w:val="auto"/>
              </w:rPr>
              <w:t>ASU 2016-13 (Topic 326) Adjustment (See note 1)</w:t>
            </w: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FFCC"/>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60" w:type="dxa"/>
            <w:vAlign w:val="bottom"/>
            <w:gridSpan w:val="2"/>
            <w:shd w:val="clear" w:color="auto" w:fill="CCFFCC"/>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FCC"/>
          </w:tcPr>
          <w:p>
            <w:pPr>
              <w:spacing w:after="0"/>
              <w:rPr>
                <w:sz w:val="15"/>
                <w:szCs w:val="15"/>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(729)</w:t>
            </w:r>
          </w:p>
        </w:tc>
        <w:tc>
          <w:tcPr>
            <w:tcW w:w="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80" w:type="dxa"/>
            <w:vAlign w:val="bottom"/>
            <w:gridSpan w:val="2"/>
            <w:shd w:val="clear" w:color="auto" w:fill="CCFFCC"/>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5"/>
                <w:szCs w:val="15"/>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(729)</w:t>
            </w:r>
          </w:p>
        </w:tc>
        <w:tc>
          <w:tcPr>
            <w:tcW w:w="0" w:type="dxa"/>
            <w:vAlign w:val="bottom"/>
          </w:tcPr>
          <w:p>
            <w:pPr>
              <w:spacing w:after="0"/>
              <w:rPr>
                <w:sz w:val="1"/>
                <w:szCs w:val="1"/>
                <w:color w:val="auto"/>
              </w:rPr>
            </w:pPr>
          </w:p>
        </w:tc>
      </w:tr>
      <w:tr>
        <w:trPr>
          <w:trHeight w:val="168"/>
        </w:trPr>
        <w:tc>
          <w:tcPr>
            <w:tcW w:w="4680" w:type="dxa"/>
            <w:vAlign w:val="bottom"/>
          </w:tcPr>
          <w:p>
            <w:pPr>
              <w:ind w:left="220"/>
              <w:spacing w:after="0"/>
              <w:rPr>
                <w:sz w:val="20"/>
                <w:szCs w:val="20"/>
                <w:color w:val="auto"/>
              </w:rPr>
            </w:pPr>
            <w:r>
              <w:rPr>
                <w:rFonts w:ascii="Arial" w:cs="Arial" w:eastAsia="Arial" w:hAnsi="Arial"/>
                <w:sz w:val="13"/>
                <w:szCs w:val="13"/>
                <w:color w:val="auto"/>
              </w:rPr>
              <w:t>Common stock issued under Employee Stock Purchase Plan</w:t>
            </w:r>
          </w:p>
        </w:tc>
        <w:tc>
          <w:tcPr>
            <w:tcW w:w="660" w:type="dxa"/>
            <w:vAlign w:val="bottom"/>
          </w:tcPr>
          <w:p>
            <w:pPr>
              <w:jc w:val="right"/>
              <w:spacing w:after="0"/>
              <w:rPr>
                <w:sz w:val="20"/>
                <w:szCs w:val="20"/>
                <w:color w:val="auto"/>
              </w:rPr>
            </w:pPr>
            <w:r>
              <w:rPr>
                <w:rFonts w:ascii="Arial" w:cs="Arial" w:eastAsia="Arial" w:hAnsi="Arial"/>
                <w:sz w:val="13"/>
                <w:szCs w:val="13"/>
                <w:color w:val="auto"/>
              </w:rPr>
              <w:t>50,818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1,626</w:t>
            </w:r>
          </w:p>
        </w:tc>
        <w:tc>
          <w:tcPr>
            <w:tcW w:w="0" w:type="dxa"/>
            <w:vAlign w:val="bottom"/>
          </w:tcPr>
          <w:p>
            <w:pPr>
              <w:spacing w:after="0"/>
              <w:rPr>
                <w:sz w:val="1"/>
                <w:szCs w:val="1"/>
                <w:color w:val="auto"/>
              </w:rPr>
            </w:pPr>
          </w:p>
        </w:tc>
      </w:tr>
      <w:tr>
        <w:trPr>
          <w:trHeight w:val="183"/>
        </w:trPr>
        <w:tc>
          <w:tcPr>
            <w:tcW w:w="4680" w:type="dxa"/>
            <w:vAlign w:val="bottom"/>
            <w:shd w:val="clear" w:color="auto" w:fill="CCFFCC"/>
          </w:tcPr>
          <w:p>
            <w:pPr>
              <w:ind w:left="220"/>
              <w:spacing w:after="0"/>
              <w:rPr>
                <w:sz w:val="20"/>
                <w:szCs w:val="20"/>
                <w:color w:val="auto"/>
              </w:rPr>
            </w:pPr>
            <w:r>
              <w:rPr>
                <w:rFonts w:ascii="Arial" w:cs="Arial" w:eastAsia="Arial" w:hAnsi="Arial"/>
                <w:sz w:val="13"/>
                <w:szCs w:val="13"/>
                <w:color w:val="auto"/>
              </w:rPr>
              <w:t>Net loss</w:t>
            </w: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FFCC"/>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60" w:type="dxa"/>
            <w:vAlign w:val="bottom"/>
            <w:gridSpan w:val="2"/>
            <w:shd w:val="clear" w:color="auto" w:fill="CCFFCC"/>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FCC"/>
          </w:tcPr>
          <w:p>
            <w:pPr>
              <w:spacing w:after="0"/>
              <w:rPr>
                <w:sz w:val="15"/>
                <w:szCs w:val="15"/>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(37,001)</w:t>
            </w:r>
          </w:p>
        </w:tc>
        <w:tc>
          <w:tcPr>
            <w:tcW w:w="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80" w:type="dxa"/>
            <w:vAlign w:val="bottom"/>
            <w:gridSpan w:val="2"/>
            <w:shd w:val="clear" w:color="auto" w:fill="CCFFCC"/>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5"/>
                <w:szCs w:val="15"/>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3"/>
                <w:szCs w:val="13"/>
                <w:color w:val="auto"/>
                <w:w w:val="99"/>
              </w:rPr>
              <w:t>(37,001)</w:t>
            </w:r>
          </w:p>
        </w:tc>
        <w:tc>
          <w:tcPr>
            <w:tcW w:w="0" w:type="dxa"/>
            <w:vAlign w:val="bottom"/>
          </w:tcPr>
          <w:p>
            <w:pPr>
              <w:spacing w:after="0"/>
              <w:rPr>
                <w:sz w:val="1"/>
                <w:szCs w:val="1"/>
                <w:color w:val="auto"/>
              </w:rPr>
            </w:pPr>
          </w:p>
        </w:tc>
      </w:tr>
      <w:tr>
        <w:trPr>
          <w:trHeight w:val="169"/>
        </w:trPr>
        <w:tc>
          <w:tcPr>
            <w:tcW w:w="4680" w:type="dxa"/>
            <w:vAlign w:val="bottom"/>
          </w:tcPr>
          <w:p>
            <w:pPr>
              <w:ind w:left="220"/>
              <w:spacing w:after="0"/>
              <w:rPr>
                <w:sz w:val="20"/>
                <w:szCs w:val="20"/>
                <w:color w:val="auto"/>
              </w:rPr>
            </w:pPr>
            <w:r>
              <w:rPr>
                <w:rFonts w:ascii="Arial" w:cs="Arial" w:eastAsia="Arial" w:hAnsi="Arial"/>
                <w:sz w:val="13"/>
                <w:szCs w:val="13"/>
                <w:color w:val="auto"/>
              </w:rPr>
              <w:t>Other comprehensive loss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400"/>
              <w:spacing w:after="0"/>
              <w:rPr>
                <w:sz w:val="20"/>
                <w:szCs w:val="20"/>
                <w:color w:val="auto"/>
              </w:rPr>
            </w:pPr>
            <w:r>
              <w:rPr>
                <w:rFonts w:ascii="Arial" w:cs="Arial" w:eastAsia="Arial" w:hAnsi="Arial"/>
                <w:sz w:val="13"/>
                <w:szCs w:val="13"/>
                <w:color w:val="auto"/>
                <w:w w:val="92"/>
              </w:rPr>
              <w:t>(2,469)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(2,469)</w:t>
            </w:r>
          </w:p>
        </w:tc>
        <w:tc>
          <w:tcPr>
            <w:tcW w:w="0" w:type="dxa"/>
            <w:vAlign w:val="bottom"/>
          </w:tcPr>
          <w:p>
            <w:pPr>
              <w:spacing w:after="0"/>
              <w:rPr>
                <w:sz w:val="1"/>
                <w:szCs w:val="1"/>
                <w:color w:val="auto"/>
              </w:rPr>
            </w:pPr>
          </w:p>
        </w:tc>
      </w:tr>
      <w:tr>
        <w:trPr>
          <w:trHeight w:val="200"/>
        </w:trPr>
        <w:tc>
          <w:tcPr>
            <w:tcW w:w="468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Balance at March 31, 2020</w:t>
            </w: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9"/>
              </w:rPr>
              <w:t>68,000,209</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68</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660" w:type="dxa"/>
            <w:vAlign w:val="bottom"/>
            <w:tcBorders>
              <w:top w:val="single" w:sz="8" w:color="auto"/>
              <w:bottom w:val="single" w:sz="8" w:color="auto"/>
            </w:tcBorders>
            <w:shd w:val="clear" w:color="auto" w:fill="CCFFCC"/>
          </w:tcPr>
          <w:p>
            <w:pPr>
              <w:ind w:left="40"/>
              <w:spacing w:after="0"/>
              <w:rPr>
                <w:sz w:val="20"/>
                <w:szCs w:val="20"/>
                <w:color w:val="auto"/>
              </w:rPr>
            </w:pPr>
            <w:r>
              <w:rPr>
                <w:rFonts w:ascii="Arial" w:cs="Arial" w:eastAsia="Arial" w:hAnsi="Arial"/>
                <w:sz w:val="13"/>
                <w:szCs w:val="13"/>
                <w:color w:val="auto"/>
                <w:w w:val="90"/>
              </w:rPr>
              <w:t>(2,709,830)</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FFCC"/>
          </w:tcPr>
          <w:p>
            <w:pPr>
              <w:ind w:left="400"/>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474,606</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auto"/>
              <w:bottom w:val="single" w:sz="8" w:color="auto"/>
            </w:tcBorders>
            <w:shd w:val="clear" w:color="auto" w:fill="CCFFC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(321,292)</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FFCC"/>
          </w:tcPr>
          <w:p>
            <w:pPr>
              <w:ind w:left="400"/>
              <w:spacing w:after="0"/>
              <w:rPr>
                <w:sz w:val="20"/>
                <w:szCs w:val="20"/>
                <w:color w:val="auto"/>
              </w:rPr>
            </w:pPr>
            <w:r>
              <w:rPr>
                <w:rFonts w:ascii="Arial" w:cs="Arial" w:eastAsia="Arial" w:hAnsi="Arial"/>
                <w:sz w:val="13"/>
                <w:szCs w:val="13"/>
                <w:color w:val="auto"/>
                <w:w w:val="92"/>
              </w:rPr>
              <w:t>(6,993)</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7"/>
              </w:rPr>
              <w:t>146,386</w:t>
            </w:r>
          </w:p>
        </w:tc>
        <w:tc>
          <w:tcPr>
            <w:tcW w:w="0" w:type="dxa"/>
            <w:vAlign w:val="bottom"/>
          </w:tcPr>
          <w:p>
            <w:pPr>
              <w:spacing w:after="0"/>
              <w:rPr>
                <w:sz w:val="1"/>
                <w:szCs w:val="1"/>
                <w:color w:val="auto"/>
              </w:rPr>
            </w:pPr>
          </w:p>
        </w:tc>
      </w:tr>
      <w:tr>
        <w:trPr>
          <w:trHeight w:val="20"/>
        </w:trPr>
        <w:tc>
          <w:tcPr>
            <w:tcW w:w="468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bottom w:val="single" w:sz="8" w:color="auto"/>
            </w:tcBorders>
          </w:tcPr>
          <w:p>
            <w:pPr>
              <w:spacing w:after="0" w:line="20" w:lineRule="exact"/>
              <w:rPr>
                <w:sz w:val="1"/>
                <w:szCs w:val="1"/>
                <w:color w:val="auto"/>
              </w:rPr>
            </w:pPr>
          </w:p>
        </w:tc>
        <w:tc>
          <w:tcPr>
            <w:tcW w:w="58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58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58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62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54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931"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Three Months Ended</w:t>
      </w:r>
    </w:p>
    <w:p>
      <w:pPr>
        <w:spacing w:after="0" w:line="38" w:lineRule="exact"/>
        <w:rPr>
          <w:sz w:val="20"/>
          <w:szCs w:val="20"/>
          <w:color w:val="auto"/>
        </w:rPr>
      </w:pPr>
    </w:p>
    <w:p>
      <w:pPr>
        <w:ind w:left="948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1851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20" w:type="dxa"/>
            <w:vAlign w:val="bottom"/>
            <w:tcBorders>
              <w:bottom w:val="single" w:sz="8" w:color="CDFFCC"/>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DFFC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2020</w:t>
            </w:r>
          </w:p>
        </w:tc>
      </w:tr>
      <w:tr>
        <w:trPr>
          <w:trHeight w:val="189"/>
        </w:trPr>
        <w:tc>
          <w:tcPr>
            <w:tcW w:w="8320" w:type="dxa"/>
            <w:vAlign w:val="bottom"/>
            <w:shd w:val="clear" w:color="auto" w:fill="CDFFCC"/>
          </w:tcPr>
          <w:p>
            <w:pPr>
              <w:ind w:left="20"/>
              <w:spacing w:after="0"/>
              <w:rPr>
                <w:sz w:val="20"/>
                <w:szCs w:val="20"/>
                <w:color w:val="auto"/>
              </w:rPr>
            </w:pPr>
            <w:r>
              <w:rPr>
                <w:rFonts w:ascii="Arial" w:cs="Arial" w:eastAsia="Arial" w:hAnsi="Arial"/>
                <w:sz w:val="14"/>
                <w:szCs w:val="14"/>
                <w:color w:val="auto"/>
              </w:rPr>
              <w:t>OPERATING ACTIVITIES:</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spacing w:after="0"/>
              <w:rPr>
                <w:sz w:val="16"/>
                <w:szCs w:val="16"/>
                <w:color w:val="auto"/>
              </w:rPr>
            </w:pP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spacing w:after="0"/>
              <w:rPr>
                <w:sz w:val="16"/>
                <w:szCs w:val="16"/>
                <w:color w:val="auto"/>
              </w:rPr>
            </w:pP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(21,195)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(37,001)</w:t>
            </w: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spacing w:after="0"/>
              <w:rPr>
                <w:sz w:val="16"/>
                <w:szCs w:val="16"/>
                <w:color w:val="auto"/>
              </w:rPr>
            </w:pP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spacing w:after="0"/>
              <w:rPr>
                <w:sz w:val="16"/>
                <w:szCs w:val="16"/>
                <w:color w:val="auto"/>
              </w:rPr>
            </w:pP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14,611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14,695</w:t>
            </w: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6,605</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5,538</w:t>
            </w: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Amortization of tenant allowance</w:t>
            </w:r>
          </w:p>
        </w:tc>
        <w:tc>
          <w:tcPr>
            <w:tcW w:w="86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Amortization of purchased intangibles and finance leases</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1,550</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689</w:t>
            </w: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Amortization of debt issuance costs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298</w:t>
            </w: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Accretion of debt discount on convertible senior notes</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8,118</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2,368</w:t>
            </w: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Changes in fair value of contingent consideration</w:t>
            </w:r>
          </w:p>
        </w:tc>
        <w:tc>
          <w:tcPr>
            <w:tcW w:w="86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Provision for doubtful accounts, net</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615</w:t>
            </w:r>
          </w:p>
        </w:tc>
      </w:tr>
      <w:tr>
        <w:trPr>
          <w:trHeight w:val="223"/>
        </w:trPr>
        <w:tc>
          <w:tcPr>
            <w:tcW w:w="8320" w:type="dxa"/>
            <w:vAlign w:val="bottom"/>
            <w:tcBorders>
              <w:bottom w:val="single" w:sz="8" w:color="CDFFCC"/>
            </w:tcBorders>
          </w:tcPr>
          <w:p>
            <w:pPr>
              <w:ind w:left="140"/>
              <w:spacing w:after="0"/>
              <w:rPr>
                <w:sz w:val="20"/>
                <w:szCs w:val="20"/>
                <w:color w:val="auto"/>
              </w:rPr>
            </w:pPr>
            <w:r>
              <w:rPr>
                <w:rFonts w:ascii="Arial" w:cs="Arial" w:eastAsia="Arial" w:hAnsi="Arial"/>
                <w:sz w:val="14"/>
                <w:szCs w:val="14"/>
                <w:color w:val="auto"/>
              </w:rPr>
              <w:t>Deferred income taxes</w:t>
            </w:r>
          </w:p>
        </w:tc>
        <w:tc>
          <w:tcPr>
            <w:tcW w:w="860" w:type="dxa"/>
            <w:vAlign w:val="bottom"/>
            <w:tcBorders>
              <w:bottom w:val="single" w:sz="8" w:color="CDFFCC"/>
            </w:tcBorders>
          </w:tcPr>
          <w:p>
            <w:pPr>
              <w:spacing w:after="0"/>
              <w:rPr>
                <w:sz w:val="19"/>
                <w:szCs w:val="19"/>
                <w:color w:val="auto"/>
              </w:rPr>
            </w:pPr>
          </w:p>
        </w:tc>
        <w:tc>
          <w:tcPr>
            <w:tcW w:w="540" w:type="dxa"/>
            <w:vAlign w:val="bottom"/>
            <w:tcBorders>
              <w:bottom w:val="single" w:sz="8" w:color="CDFFCC"/>
            </w:tcBorders>
          </w:tcPr>
          <w:p>
            <w:pPr>
              <w:jc w:val="right"/>
              <w:spacing w:after="0"/>
              <w:rPr>
                <w:sz w:val="20"/>
                <w:szCs w:val="20"/>
                <w:color w:val="auto"/>
              </w:rPr>
            </w:pPr>
            <w:r>
              <w:rPr>
                <w:rFonts w:ascii="Arial" w:cs="Arial" w:eastAsia="Arial" w:hAnsi="Arial"/>
                <w:sz w:val="14"/>
                <w:szCs w:val="14"/>
                <w:color w:val="auto"/>
              </w:rPr>
              <w:t>(1,595)</w:t>
            </w:r>
          </w:p>
        </w:tc>
        <w:tc>
          <w:tcPr>
            <w:tcW w:w="120" w:type="dxa"/>
            <w:vAlign w:val="bottom"/>
            <w:tcBorders>
              <w:bottom w:val="single" w:sz="8" w:color="CDFFCC"/>
            </w:tcBorders>
          </w:tcPr>
          <w:p>
            <w:pPr>
              <w:spacing w:after="0"/>
              <w:rPr>
                <w:sz w:val="19"/>
                <w:szCs w:val="19"/>
                <w:color w:val="auto"/>
              </w:rPr>
            </w:pPr>
          </w:p>
        </w:tc>
        <w:tc>
          <w:tcPr>
            <w:tcW w:w="320" w:type="dxa"/>
            <w:vAlign w:val="bottom"/>
            <w:tcBorders>
              <w:bottom w:val="single" w:sz="8" w:color="CDFFCC"/>
            </w:tcBorders>
          </w:tcPr>
          <w:p>
            <w:pPr>
              <w:spacing w:after="0"/>
              <w:rPr>
                <w:sz w:val="19"/>
                <w:szCs w:val="19"/>
                <w:color w:val="auto"/>
              </w:rPr>
            </w:pPr>
          </w:p>
        </w:tc>
        <w:tc>
          <w:tcPr>
            <w:tcW w:w="1080" w:type="dxa"/>
            <w:vAlign w:val="bottom"/>
            <w:tcBorders>
              <w:bottom w:val="single" w:sz="8" w:color="CDFFCC"/>
            </w:tcBorders>
          </w:tcPr>
          <w:p>
            <w:pPr>
              <w:jc w:val="right"/>
              <w:spacing w:after="0"/>
              <w:rPr>
                <w:sz w:val="20"/>
                <w:szCs w:val="20"/>
                <w:color w:val="auto"/>
              </w:rPr>
            </w:pPr>
            <w:r>
              <w:rPr>
                <w:rFonts w:ascii="Arial" w:cs="Arial" w:eastAsia="Arial" w:hAnsi="Arial"/>
                <w:sz w:val="14"/>
                <w:szCs w:val="14"/>
                <w:color w:val="auto"/>
              </w:rPr>
              <w:t>212</w:t>
            </w: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8320" w:type="dxa"/>
            <w:vAlign w:val="bottom"/>
            <w:shd w:val="clear" w:color="auto" w:fill="CDFFCC"/>
          </w:tcPr>
          <w:p>
            <w:pPr>
              <w:ind w:left="360"/>
              <w:spacing w:after="0"/>
              <w:rPr>
                <w:sz w:val="20"/>
                <w:szCs w:val="20"/>
                <w:color w:val="auto"/>
              </w:rPr>
            </w:pPr>
            <w:r>
              <w:rPr>
                <w:rFonts w:ascii="Arial" w:cs="Arial" w:eastAsia="Arial" w:hAnsi="Arial"/>
                <w:sz w:val="14"/>
                <w:szCs w:val="14"/>
                <w:color w:val="auto"/>
              </w:rPr>
              <w:t>Accounts receivable</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w w:val="95"/>
              </w:rPr>
              <w:t>(13,658)</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24,112</w:t>
            </w:r>
          </w:p>
        </w:tc>
      </w:tr>
      <w:tr>
        <w:trPr>
          <w:trHeight w:val="186"/>
        </w:trPr>
        <w:tc>
          <w:tcPr>
            <w:tcW w:w="832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(1,878)</w:t>
            </w:r>
          </w:p>
        </w:tc>
      </w:tr>
      <w:tr>
        <w:trPr>
          <w:trHeight w:val="192"/>
        </w:trPr>
        <w:tc>
          <w:tcPr>
            <w:tcW w:w="8320" w:type="dxa"/>
            <w:vAlign w:val="bottom"/>
            <w:shd w:val="clear" w:color="auto" w:fill="CDFFCC"/>
          </w:tcPr>
          <w:p>
            <w:pPr>
              <w:ind w:left="360"/>
              <w:spacing w:after="0"/>
              <w:rPr>
                <w:sz w:val="20"/>
                <w:szCs w:val="20"/>
                <w:color w:val="auto"/>
              </w:rPr>
            </w:pPr>
            <w:r>
              <w:rPr>
                <w:rFonts w:ascii="Arial" w:cs="Arial" w:eastAsia="Arial" w:hAnsi="Arial"/>
                <w:sz w:val="14"/>
                <w:szCs w:val="14"/>
                <w:color w:val="auto"/>
              </w:rPr>
              <w:t>Contract acquisition costs noncurrent</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(2,445)</w:t>
            </w:r>
          </w:p>
        </w:tc>
      </w:tr>
      <w:tr>
        <w:trPr>
          <w:trHeight w:val="186"/>
        </w:trPr>
        <w:tc>
          <w:tcPr>
            <w:tcW w:w="832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2"/>
        </w:trPr>
        <w:tc>
          <w:tcPr>
            <w:tcW w:w="8320" w:type="dxa"/>
            <w:vAlign w:val="bottom"/>
            <w:shd w:val="clear" w:color="auto" w:fill="CDFFCC"/>
          </w:tcPr>
          <w:p>
            <w:pPr>
              <w:ind w:left="360"/>
              <w:spacing w:after="0"/>
              <w:rPr>
                <w:sz w:val="20"/>
                <w:szCs w:val="20"/>
                <w:color w:val="auto"/>
              </w:rPr>
            </w:pPr>
            <w:r>
              <w:rPr>
                <w:rFonts w:ascii="Arial" w:cs="Arial" w:eastAsia="Arial" w:hAnsi="Arial"/>
                <w:sz w:val="14"/>
                <w:szCs w:val="14"/>
                <w:color w:val="auto"/>
              </w:rPr>
              <w:t>Accounts payable</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(1,920)</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(3,412)</w:t>
            </w:r>
          </w:p>
        </w:tc>
      </w:tr>
      <w:tr>
        <w:trPr>
          <w:trHeight w:val="186"/>
        </w:trPr>
        <w:tc>
          <w:tcPr>
            <w:tcW w:w="8320" w:type="dxa"/>
            <w:vAlign w:val="bottom"/>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17,208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2,987</w:t>
            </w:r>
          </w:p>
        </w:tc>
      </w:tr>
      <w:tr>
        <w:trPr>
          <w:trHeight w:val="192"/>
        </w:trPr>
        <w:tc>
          <w:tcPr>
            <w:tcW w:w="8320" w:type="dxa"/>
            <w:vAlign w:val="bottom"/>
            <w:shd w:val="clear" w:color="auto" w:fill="CDFFCC"/>
          </w:tcPr>
          <w:p>
            <w:pPr>
              <w:ind w:left="360"/>
              <w:spacing w:after="0"/>
              <w:rPr>
                <w:sz w:val="20"/>
                <w:szCs w:val="20"/>
                <w:color w:val="auto"/>
              </w:rPr>
            </w:pPr>
            <w:r>
              <w:rPr>
                <w:rFonts w:ascii="Arial" w:cs="Arial" w:eastAsia="Arial" w:hAnsi="Arial"/>
                <w:sz w:val="14"/>
                <w:szCs w:val="14"/>
                <w:color w:val="auto"/>
              </w:rPr>
              <w:t>Deferred revenue</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21,642</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(2,473)</w:t>
            </w:r>
          </w:p>
        </w:tc>
      </w:tr>
      <w:tr>
        <w:trPr>
          <w:trHeight w:val="186"/>
        </w:trPr>
        <w:tc>
          <w:tcPr>
            <w:tcW w:w="832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390</w:t>
            </w:r>
          </w:p>
        </w:tc>
      </w:tr>
      <w:tr>
        <w:trPr>
          <w:trHeight w:val="192"/>
        </w:trPr>
        <w:tc>
          <w:tcPr>
            <w:tcW w:w="8320" w:type="dxa"/>
            <w:vAlign w:val="bottom"/>
            <w:shd w:val="clear" w:color="auto" w:fill="CDFFCC"/>
          </w:tcPr>
          <w:p>
            <w:pPr>
              <w:ind w:left="360"/>
              <w:spacing w:after="0"/>
              <w:rPr>
                <w:sz w:val="20"/>
                <w:szCs w:val="20"/>
                <w:color w:val="auto"/>
              </w:rPr>
            </w:pPr>
            <w:r>
              <w:rPr>
                <w:rFonts w:ascii="Arial" w:cs="Arial" w:eastAsia="Arial" w:hAnsi="Arial"/>
                <w:sz w:val="14"/>
                <w:szCs w:val="14"/>
                <w:color w:val="auto"/>
              </w:rPr>
              <w:t>Other liabilities</w:t>
            </w:r>
          </w:p>
        </w:tc>
        <w:tc>
          <w:tcPr>
            <w:tcW w:w="860" w:type="dxa"/>
            <w:vAlign w:val="bottom"/>
            <w:tcBorders>
              <w:bottom w:val="single" w:sz="8" w:color="auto"/>
            </w:tcBorders>
            <w:shd w:val="clear" w:color="auto" w:fill="CDFFCC"/>
          </w:tcPr>
          <w:p>
            <w:pPr>
              <w:spacing w:after="0"/>
              <w:rPr>
                <w:sz w:val="16"/>
                <w:szCs w:val="16"/>
                <w:color w:val="auto"/>
              </w:rPr>
            </w:pPr>
          </w:p>
        </w:tc>
        <w:tc>
          <w:tcPr>
            <w:tcW w:w="5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DFFCC"/>
          </w:tcPr>
          <w:p>
            <w:pPr>
              <w:spacing w:after="0"/>
              <w:rPr>
                <w:sz w:val="16"/>
                <w:szCs w:val="16"/>
                <w:color w:val="auto"/>
              </w:rPr>
            </w:pPr>
          </w:p>
        </w:tc>
        <w:tc>
          <w:tcPr>
            <w:tcW w:w="320" w:type="dxa"/>
            <w:vAlign w:val="bottom"/>
            <w:tcBorders>
              <w:bottom w:val="single" w:sz="8" w:color="auto"/>
            </w:tcBorders>
            <w:shd w:val="clear" w:color="auto" w:fill="CDFFCC"/>
          </w:tcPr>
          <w:p>
            <w:pPr>
              <w:spacing w:after="0"/>
              <w:rPr>
                <w:sz w:val="16"/>
                <w:szCs w:val="16"/>
                <w:color w:val="auto"/>
              </w:rPr>
            </w:pPr>
          </w:p>
        </w:tc>
        <w:tc>
          <w:tcPr>
            <w:tcW w:w="10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(3)</w:t>
            </w:r>
          </w:p>
        </w:tc>
      </w:tr>
      <w:tr>
        <w:trPr>
          <w:trHeight w:val="222"/>
        </w:trPr>
        <w:tc>
          <w:tcPr>
            <w:tcW w:w="8320" w:type="dxa"/>
            <w:vAlign w:val="bottom"/>
            <w:tcBorders>
              <w:bottom w:val="single" w:sz="8" w:color="CDFFCC"/>
            </w:tcBorders>
          </w:tcPr>
          <w:p>
            <w:pPr>
              <w:ind w:left="560"/>
              <w:spacing w:after="0"/>
              <w:rPr>
                <w:sz w:val="20"/>
                <w:szCs w:val="20"/>
                <w:color w:val="auto"/>
              </w:rPr>
            </w:pPr>
            <w:r>
              <w:rPr>
                <w:rFonts w:ascii="Arial" w:cs="Arial" w:eastAsia="Arial" w:hAnsi="Arial"/>
                <w:sz w:val="14"/>
                <w:szCs w:val="14"/>
                <w:color w:val="auto"/>
              </w:rPr>
              <w:t>Net cash provided by operating activities</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25,229</w:t>
            </w:r>
          </w:p>
        </w:tc>
        <w:tc>
          <w:tcPr>
            <w:tcW w:w="120" w:type="dxa"/>
            <w:vAlign w:val="bottom"/>
            <w:tcBorders>
              <w:bottom w:val="single" w:sz="8" w:color="CD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4,293</w:t>
            </w:r>
          </w:p>
        </w:tc>
      </w:tr>
      <w:tr>
        <w:trPr>
          <w:trHeight w:val="186"/>
        </w:trPr>
        <w:tc>
          <w:tcPr>
            <w:tcW w:w="8320" w:type="dxa"/>
            <w:vAlign w:val="bottom"/>
            <w:tcBorders>
              <w:top w:val="single" w:sz="8" w:color="CDFFCC"/>
            </w:tcBorders>
          </w:tcPr>
          <w:p>
            <w:pPr>
              <w:ind w:left="20"/>
              <w:spacing w:after="0"/>
              <w:rPr>
                <w:sz w:val="20"/>
                <w:szCs w:val="20"/>
                <w:color w:val="auto"/>
              </w:rPr>
            </w:pPr>
            <w:r>
              <w:rPr>
                <w:rFonts w:ascii="Arial" w:cs="Arial" w:eastAsia="Arial" w:hAnsi="Arial"/>
                <w:sz w:val="14"/>
                <w:szCs w:val="14"/>
                <w:color w:val="auto"/>
              </w:rPr>
              <w:t>INVESTING ACTIVITIES:</w:t>
            </w:r>
          </w:p>
        </w:tc>
        <w:tc>
          <w:tcPr>
            <w:tcW w:w="860" w:type="dxa"/>
            <w:vAlign w:val="bottom"/>
            <w:tcBorders>
              <w:top w:val="single" w:sz="8" w:color="CDFFCC"/>
            </w:tcBorders>
          </w:tcPr>
          <w:p>
            <w:pPr>
              <w:spacing w:after="0"/>
              <w:rPr>
                <w:sz w:val="16"/>
                <w:szCs w:val="16"/>
                <w:color w:val="auto"/>
              </w:rPr>
            </w:pPr>
          </w:p>
        </w:tc>
        <w:tc>
          <w:tcPr>
            <w:tcW w:w="540" w:type="dxa"/>
            <w:vAlign w:val="bottom"/>
            <w:tcBorders>
              <w:top w:val="single" w:sz="8" w:color="CDFFCC"/>
            </w:tcBorders>
          </w:tcPr>
          <w:p>
            <w:pPr>
              <w:spacing w:after="0"/>
              <w:rPr>
                <w:sz w:val="16"/>
                <w:szCs w:val="16"/>
                <w:color w:val="auto"/>
              </w:rPr>
            </w:pPr>
          </w:p>
        </w:tc>
        <w:tc>
          <w:tcPr>
            <w:tcW w:w="120" w:type="dxa"/>
            <w:vAlign w:val="bottom"/>
            <w:tcBorders>
              <w:top w:val="single" w:sz="8" w:color="CDFFCC"/>
            </w:tcBorders>
          </w:tcPr>
          <w:p>
            <w:pPr>
              <w:spacing w:after="0"/>
              <w:rPr>
                <w:sz w:val="16"/>
                <w:szCs w:val="16"/>
                <w:color w:val="auto"/>
              </w:rPr>
            </w:pPr>
          </w:p>
        </w:tc>
        <w:tc>
          <w:tcPr>
            <w:tcW w:w="320" w:type="dxa"/>
            <w:vAlign w:val="bottom"/>
            <w:tcBorders>
              <w:top w:val="single" w:sz="8" w:color="CDFFCC"/>
            </w:tcBorders>
          </w:tcPr>
          <w:p>
            <w:pPr>
              <w:spacing w:after="0"/>
              <w:rPr>
                <w:sz w:val="16"/>
                <w:szCs w:val="16"/>
                <w:color w:val="auto"/>
              </w:rPr>
            </w:pPr>
          </w:p>
        </w:tc>
        <w:tc>
          <w:tcPr>
            <w:tcW w:w="1080" w:type="dxa"/>
            <w:vAlign w:val="bottom"/>
            <w:tcBorders>
              <w:top w:val="single" w:sz="8" w:color="CDFFCC"/>
            </w:tcBorders>
          </w:tcPr>
          <w:p>
            <w:pPr>
              <w:spacing w:after="0"/>
              <w:rPr>
                <w:sz w:val="16"/>
                <w:szCs w:val="16"/>
                <w:color w:val="auto"/>
              </w:rPr>
            </w:pP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w w:val="95"/>
              </w:rPr>
              <w:t>(10,630)</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(10,805)</w:t>
            </w:r>
          </w:p>
        </w:tc>
      </w:tr>
      <w:tr>
        <w:trPr>
          <w:trHeight w:val="186"/>
        </w:trPr>
        <w:tc>
          <w:tcPr>
            <w:tcW w:w="8320" w:type="dxa"/>
            <w:vAlign w:val="bottom"/>
            <w:tcBorders>
              <w:bottom w:val="single" w:sz="8" w:color="CDFFCC"/>
            </w:tcBorders>
          </w:tcPr>
          <w:p>
            <w:pPr>
              <w:ind w:left="140"/>
              <w:spacing w:after="0"/>
              <w:rPr>
                <w:sz w:val="20"/>
                <w:szCs w:val="20"/>
                <w:color w:val="auto"/>
              </w:rPr>
            </w:pPr>
            <w:r>
              <w:rPr>
                <w:rFonts w:ascii="Arial" w:cs="Arial" w:eastAsia="Arial" w:hAnsi="Arial"/>
                <w:sz w:val="14"/>
                <w:szCs w:val="14"/>
                <w:color w:val="auto"/>
              </w:rPr>
              <w:t>Payments for intangible assets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Borders>
              <w:bottom w:val="single" w:sz="8" w:color="CD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r>
      <w:tr>
        <w:trPr>
          <w:trHeight w:val="186"/>
        </w:trPr>
        <w:tc>
          <w:tcPr>
            <w:tcW w:w="8320" w:type="dxa"/>
            <w:vAlign w:val="bottom"/>
            <w:shd w:val="clear" w:color="auto" w:fill="CDFFCC"/>
          </w:tcPr>
          <w:p>
            <w:pPr>
              <w:ind w:left="560"/>
              <w:spacing w:after="0"/>
              <w:rPr>
                <w:sz w:val="20"/>
                <w:szCs w:val="20"/>
                <w:color w:val="auto"/>
              </w:rPr>
            </w:pPr>
            <w:r>
              <w:rPr>
                <w:rFonts w:ascii="Arial" w:cs="Arial" w:eastAsia="Arial" w:hAnsi="Arial"/>
                <w:sz w:val="14"/>
                <w:szCs w:val="14"/>
                <w:color w:val="auto"/>
              </w:rPr>
              <w:t>Net cash used in investing activities</w:t>
            </w:r>
          </w:p>
        </w:tc>
        <w:tc>
          <w:tcPr>
            <w:tcW w:w="860" w:type="dxa"/>
            <w:vAlign w:val="bottom"/>
            <w:tcBorders>
              <w:bottom w:val="single" w:sz="8" w:color="auto"/>
            </w:tcBorders>
            <w:shd w:val="clear" w:color="auto" w:fill="CDFFCC"/>
          </w:tcPr>
          <w:p>
            <w:pPr>
              <w:spacing w:after="0"/>
              <w:rPr>
                <w:sz w:val="16"/>
                <w:szCs w:val="16"/>
                <w:color w:val="auto"/>
              </w:rPr>
            </w:pPr>
          </w:p>
        </w:tc>
        <w:tc>
          <w:tcPr>
            <w:tcW w:w="5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w w:val="95"/>
              </w:rPr>
              <w:t>(11,437)</w:t>
            </w:r>
          </w:p>
        </w:tc>
        <w:tc>
          <w:tcPr>
            <w:tcW w:w="120" w:type="dxa"/>
            <w:vAlign w:val="bottom"/>
            <w:shd w:val="clear" w:color="auto" w:fill="CDFFCC"/>
          </w:tcPr>
          <w:p>
            <w:pPr>
              <w:spacing w:after="0"/>
              <w:rPr>
                <w:sz w:val="16"/>
                <w:szCs w:val="16"/>
                <w:color w:val="auto"/>
              </w:rPr>
            </w:pPr>
          </w:p>
        </w:tc>
        <w:tc>
          <w:tcPr>
            <w:tcW w:w="320" w:type="dxa"/>
            <w:vAlign w:val="bottom"/>
            <w:tcBorders>
              <w:bottom w:val="single" w:sz="8" w:color="auto"/>
            </w:tcBorders>
            <w:shd w:val="clear" w:color="auto" w:fill="CDFFCC"/>
          </w:tcPr>
          <w:p>
            <w:pPr>
              <w:spacing w:after="0"/>
              <w:rPr>
                <w:sz w:val="16"/>
                <w:szCs w:val="16"/>
                <w:color w:val="auto"/>
              </w:rPr>
            </w:pPr>
          </w:p>
        </w:tc>
        <w:tc>
          <w:tcPr>
            <w:tcW w:w="10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(11,030)</w:t>
            </w:r>
          </w:p>
        </w:tc>
      </w:tr>
      <w:tr>
        <w:trPr>
          <w:trHeight w:val="34"/>
        </w:trPr>
        <w:tc>
          <w:tcPr>
            <w:tcW w:w="8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9"/>
        </w:trPr>
        <w:tc>
          <w:tcPr>
            <w:tcW w:w="8320" w:type="dxa"/>
            <w:vAlign w:val="bottom"/>
            <w:shd w:val="clear" w:color="auto" w:fill="CDFFCC"/>
          </w:tcPr>
          <w:p>
            <w:pPr>
              <w:ind w:left="20"/>
              <w:spacing w:after="0"/>
              <w:rPr>
                <w:sz w:val="20"/>
                <w:szCs w:val="20"/>
                <w:color w:val="auto"/>
              </w:rPr>
            </w:pPr>
            <w:r>
              <w:rPr>
                <w:rFonts w:ascii="Arial" w:cs="Arial" w:eastAsia="Arial" w:hAnsi="Arial"/>
                <w:sz w:val="14"/>
                <w:szCs w:val="14"/>
                <w:color w:val="auto"/>
              </w:rPr>
              <w:t>FINANCING ACTIVITIES:</w:t>
            </w:r>
          </w:p>
        </w:tc>
        <w:tc>
          <w:tcPr>
            <w:tcW w:w="860" w:type="dxa"/>
            <w:vAlign w:val="bottom"/>
            <w:shd w:val="clear" w:color="auto" w:fill="CDFFCC"/>
          </w:tcPr>
          <w:p>
            <w:pPr>
              <w:spacing w:after="0"/>
              <w:rPr>
                <w:sz w:val="16"/>
                <w:szCs w:val="16"/>
                <w:color w:val="auto"/>
              </w:rPr>
            </w:pPr>
          </w:p>
        </w:tc>
        <w:tc>
          <w:tcPr>
            <w:tcW w:w="540" w:type="dxa"/>
            <w:vAlign w:val="bottom"/>
            <w:shd w:val="clear" w:color="auto" w:fill="CDFFCC"/>
          </w:tcPr>
          <w:p>
            <w:pPr>
              <w:spacing w:after="0"/>
              <w:rPr>
                <w:sz w:val="16"/>
                <w:szCs w:val="16"/>
                <w:color w:val="auto"/>
              </w:rPr>
            </w:pP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spacing w:after="0"/>
              <w:rPr>
                <w:sz w:val="16"/>
                <w:szCs w:val="16"/>
                <w:color w:val="auto"/>
              </w:rPr>
            </w:pPr>
          </w:p>
        </w:tc>
        <w:tc>
          <w:tcPr>
            <w:tcW w:w="1080" w:type="dxa"/>
            <w:vAlign w:val="bottom"/>
            <w:shd w:val="clear" w:color="auto" w:fill="CDFFCC"/>
          </w:tcPr>
          <w:p>
            <w:pPr>
              <w:spacing w:after="0"/>
              <w:rPr>
                <w:sz w:val="16"/>
                <w:szCs w:val="16"/>
                <w:color w:val="auto"/>
              </w:rPr>
            </w:pP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Principal payments for financing leases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Proceeds from issuance of common stock in connection with the exercise of options and ESPP</w:t>
            </w:r>
          </w:p>
        </w:tc>
        <w:tc>
          <w:tcPr>
            <w:tcW w:w="860" w:type="dxa"/>
            <w:vAlign w:val="bottom"/>
            <w:tcBorders>
              <w:bottom w:val="single" w:sz="8" w:color="auto"/>
            </w:tcBorders>
            <w:shd w:val="clear" w:color="auto" w:fill="CDFFCC"/>
          </w:tcPr>
          <w:p>
            <w:pPr>
              <w:spacing w:after="0"/>
              <w:rPr>
                <w:sz w:val="16"/>
                <w:szCs w:val="16"/>
                <w:color w:val="auto"/>
              </w:rPr>
            </w:pPr>
          </w:p>
        </w:tc>
        <w:tc>
          <w:tcPr>
            <w:tcW w:w="5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3,874</w:t>
            </w:r>
          </w:p>
        </w:tc>
        <w:tc>
          <w:tcPr>
            <w:tcW w:w="120" w:type="dxa"/>
            <w:vAlign w:val="bottom"/>
            <w:shd w:val="clear" w:color="auto" w:fill="CDFFCC"/>
          </w:tcPr>
          <w:p>
            <w:pPr>
              <w:spacing w:after="0"/>
              <w:rPr>
                <w:sz w:val="16"/>
                <w:szCs w:val="16"/>
                <w:color w:val="auto"/>
              </w:rPr>
            </w:pPr>
          </w:p>
        </w:tc>
        <w:tc>
          <w:tcPr>
            <w:tcW w:w="320" w:type="dxa"/>
            <w:vAlign w:val="bottom"/>
            <w:tcBorders>
              <w:bottom w:val="single" w:sz="8" w:color="auto"/>
            </w:tcBorders>
            <w:shd w:val="clear" w:color="auto" w:fill="CDFFCC"/>
          </w:tcPr>
          <w:p>
            <w:pPr>
              <w:spacing w:after="0"/>
              <w:rPr>
                <w:sz w:val="16"/>
                <w:szCs w:val="16"/>
                <w:color w:val="auto"/>
              </w:rPr>
            </w:pPr>
          </w:p>
        </w:tc>
        <w:tc>
          <w:tcPr>
            <w:tcW w:w="10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3,098</w:t>
            </w:r>
          </w:p>
        </w:tc>
      </w:tr>
      <w:tr>
        <w:trPr>
          <w:trHeight w:val="179"/>
        </w:trPr>
        <w:tc>
          <w:tcPr>
            <w:tcW w:w="8320" w:type="dxa"/>
            <w:vAlign w:val="bottom"/>
            <w:tcBorders>
              <w:bottom w:val="single" w:sz="8" w:color="CDFFCC"/>
            </w:tcBorders>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3,015</w:t>
            </w:r>
          </w:p>
        </w:tc>
        <w:tc>
          <w:tcPr>
            <w:tcW w:w="120" w:type="dxa"/>
            <w:vAlign w:val="bottom"/>
            <w:tcBorders>
              <w:bottom w:val="single" w:sz="8" w:color="CDFFC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3,098</w:t>
            </w:r>
          </w:p>
        </w:tc>
      </w:tr>
      <w:tr>
        <w:trPr>
          <w:trHeight w:val="186"/>
        </w:trPr>
        <w:tc>
          <w:tcPr>
            <w:tcW w:w="8320" w:type="dxa"/>
            <w:vAlign w:val="bottom"/>
            <w:shd w:val="clear" w:color="auto" w:fill="CDFFCC"/>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60" w:type="dxa"/>
            <w:vAlign w:val="bottom"/>
            <w:tcBorders>
              <w:bottom w:val="single" w:sz="8" w:color="auto"/>
            </w:tcBorders>
            <w:shd w:val="clear" w:color="auto" w:fill="CDFFCC"/>
          </w:tcPr>
          <w:p>
            <w:pPr>
              <w:spacing w:after="0"/>
              <w:rPr>
                <w:sz w:val="16"/>
                <w:szCs w:val="16"/>
                <w:color w:val="auto"/>
              </w:rPr>
            </w:pPr>
          </w:p>
        </w:tc>
        <w:tc>
          <w:tcPr>
            <w:tcW w:w="5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(2,734)</w:t>
            </w:r>
          </w:p>
        </w:tc>
        <w:tc>
          <w:tcPr>
            <w:tcW w:w="120" w:type="dxa"/>
            <w:vAlign w:val="bottom"/>
            <w:shd w:val="clear" w:color="auto" w:fill="CDFFCC"/>
          </w:tcPr>
          <w:p>
            <w:pPr>
              <w:spacing w:after="0"/>
              <w:rPr>
                <w:sz w:val="16"/>
                <w:szCs w:val="16"/>
                <w:color w:val="auto"/>
              </w:rPr>
            </w:pPr>
          </w:p>
        </w:tc>
        <w:tc>
          <w:tcPr>
            <w:tcW w:w="320" w:type="dxa"/>
            <w:vAlign w:val="bottom"/>
            <w:tcBorders>
              <w:bottom w:val="single" w:sz="8" w:color="auto"/>
            </w:tcBorders>
            <w:shd w:val="clear" w:color="auto" w:fill="CDFFCC"/>
          </w:tcPr>
          <w:p>
            <w:pPr>
              <w:spacing w:after="0"/>
              <w:rPr>
                <w:sz w:val="16"/>
                <w:szCs w:val="16"/>
                <w:color w:val="auto"/>
              </w:rPr>
            </w:pPr>
          </w:p>
        </w:tc>
        <w:tc>
          <w:tcPr>
            <w:tcW w:w="10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(1,405)</w:t>
            </w:r>
          </w:p>
        </w:tc>
      </w:tr>
      <w:tr>
        <w:trPr>
          <w:trHeight w:val="179"/>
        </w:trPr>
        <w:tc>
          <w:tcPr>
            <w:tcW w:w="8320" w:type="dxa"/>
            <w:vAlign w:val="bottom"/>
          </w:tcPr>
          <w:p>
            <w:pPr>
              <w:ind w:left="20"/>
              <w:spacing w:after="0"/>
              <w:rPr>
                <w:sz w:val="20"/>
                <w:szCs w:val="20"/>
                <w:color w:val="auto"/>
              </w:rPr>
            </w:pPr>
            <w:r>
              <w:rPr>
                <w:rFonts w:ascii="Arial" w:cs="Arial" w:eastAsia="Arial" w:hAnsi="Arial"/>
                <w:sz w:val="14"/>
                <w:szCs w:val="14"/>
                <w:color w:val="auto"/>
              </w:rPr>
              <w:t>CHANGE IN CASH AND CASH EQUIVALENTS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14,073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(5,044)</w:t>
            </w:r>
          </w:p>
        </w:tc>
      </w:tr>
      <w:tr>
        <w:trPr>
          <w:trHeight w:val="189"/>
        </w:trPr>
        <w:tc>
          <w:tcPr>
            <w:tcW w:w="8320" w:type="dxa"/>
            <w:vAlign w:val="bottom"/>
            <w:shd w:val="clear" w:color="auto" w:fill="CDFFCC"/>
          </w:tcPr>
          <w:p>
            <w:pPr>
              <w:ind w:left="20"/>
              <w:spacing w:after="0"/>
              <w:rPr>
                <w:sz w:val="20"/>
                <w:szCs w:val="20"/>
                <w:color w:val="auto"/>
              </w:rPr>
            </w:pPr>
            <w:r>
              <w:rPr>
                <w:rFonts w:ascii="Arial" w:cs="Arial" w:eastAsia="Arial" w:hAnsi="Arial"/>
                <w:sz w:val="14"/>
                <w:szCs w:val="14"/>
                <w:color w:val="auto"/>
              </w:rPr>
              <w:t>CASH AND CASH EQUIVALENTS - Beginning of the period</w:t>
            </w:r>
          </w:p>
        </w:tc>
        <w:tc>
          <w:tcPr>
            <w:tcW w:w="860" w:type="dxa"/>
            <w:vAlign w:val="bottom"/>
            <w:tcBorders>
              <w:bottom w:val="single" w:sz="8" w:color="auto"/>
            </w:tcBorders>
            <w:shd w:val="clear" w:color="auto" w:fill="CDFFCC"/>
          </w:tcPr>
          <w:p>
            <w:pPr>
              <w:spacing w:after="0"/>
              <w:rPr>
                <w:sz w:val="16"/>
                <w:szCs w:val="16"/>
                <w:color w:val="auto"/>
              </w:rPr>
            </w:pPr>
          </w:p>
        </w:tc>
        <w:tc>
          <w:tcPr>
            <w:tcW w:w="5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w w:val="90"/>
              </w:rPr>
              <w:t>654,152</w:t>
            </w:r>
          </w:p>
        </w:tc>
        <w:tc>
          <w:tcPr>
            <w:tcW w:w="120" w:type="dxa"/>
            <w:vAlign w:val="bottom"/>
            <w:shd w:val="clear" w:color="auto" w:fill="CDFFCC"/>
          </w:tcPr>
          <w:p>
            <w:pPr>
              <w:spacing w:after="0"/>
              <w:rPr>
                <w:sz w:val="16"/>
                <w:szCs w:val="16"/>
                <w:color w:val="auto"/>
              </w:rPr>
            </w:pPr>
          </w:p>
        </w:tc>
        <w:tc>
          <w:tcPr>
            <w:tcW w:w="320" w:type="dxa"/>
            <w:vAlign w:val="bottom"/>
            <w:tcBorders>
              <w:bottom w:val="single" w:sz="8" w:color="auto"/>
            </w:tcBorders>
            <w:shd w:val="clear" w:color="auto" w:fill="CDFFCC"/>
          </w:tcPr>
          <w:p>
            <w:pPr>
              <w:spacing w:after="0"/>
              <w:rPr>
                <w:sz w:val="16"/>
                <w:szCs w:val="16"/>
                <w:color w:val="auto"/>
              </w:rPr>
            </w:pPr>
          </w:p>
        </w:tc>
        <w:tc>
          <w:tcPr>
            <w:tcW w:w="10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176,523</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CASH AND CASH EQUIVALENTS - End of the period</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668,225</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171,479</w:t>
            </w:r>
          </w:p>
        </w:tc>
      </w:tr>
      <w:tr>
        <w:trPr>
          <w:trHeight w:val="20"/>
        </w:trPr>
        <w:tc>
          <w:tcPr>
            <w:tcW w:w="8320" w:type="dxa"/>
            <w:vAlign w:val="bottom"/>
            <w:tcBorders>
              <w:bottom w:val="single" w:sz="8" w:color="CDFFC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8320" w:type="dxa"/>
            <w:vAlign w:val="bottom"/>
            <w:shd w:val="clear" w:color="auto" w:fill="CDFFCC"/>
          </w:tcPr>
          <w:p>
            <w:pPr>
              <w:spacing w:after="0"/>
              <w:rPr>
                <w:sz w:val="15"/>
                <w:szCs w:val="15"/>
                <w:color w:val="auto"/>
              </w:rPr>
            </w:pPr>
          </w:p>
        </w:tc>
        <w:tc>
          <w:tcPr>
            <w:tcW w:w="860" w:type="dxa"/>
            <w:vAlign w:val="bottom"/>
            <w:shd w:val="clear" w:color="auto" w:fill="CDFFCC"/>
          </w:tcPr>
          <w:p>
            <w:pPr>
              <w:spacing w:after="0"/>
              <w:rPr>
                <w:sz w:val="15"/>
                <w:szCs w:val="15"/>
                <w:color w:val="auto"/>
              </w:rPr>
            </w:pPr>
          </w:p>
        </w:tc>
        <w:tc>
          <w:tcPr>
            <w:tcW w:w="540" w:type="dxa"/>
            <w:vAlign w:val="bottom"/>
            <w:shd w:val="clear" w:color="auto" w:fill="CDFFCC"/>
          </w:tcPr>
          <w:p>
            <w:pPr>
              <w:spacing w:after="0"/>
              <w:rPr>
                <w:sz w:val="15"/>
                <w:szCs w:val="15"/>
                <w:color w:val="auto"/>
              </w:rPr>
            </w:pPr>
          </w:p>
        </w:tc>
        <w:tc>
          <w:tcPr>
            <w:tcW w:w="120" w:type="dxa"/>
            <w:vAlign w:val="bottom"/>
            <w:shd w:val="clear" w:color="auto" w:fill="CDFFCC"/>
          </w:tcPr>
          <w:p>
            <w:pPr>
              <w:spacing w:after="0"/>
              <w:rPr>
                <w:sz w:val="15"/>
                <w:szCs w:val="15"/>
                <w:color w:val="auto"/>
              </w:rPr>
            </w:pPr>
          </w:p>
        </w:tc>
        <w:tc>
          <w:tcPr>
            <w:tcW w:w="320" w:type="dxa"/>
            <w:vAlign w:val="bottom"/>
            <w:shd w:val="clear" w:color="auto" w:fill="CDFFCC"/>
          </w:tcPr>
          <w:p>
            <w:pPr>
              <w:spacing w:after="0"/>
              <w:rPr>
                <w:sz w:val="15"/>
                <w:szCs w:val="15"/>
                <w:color w:val="auto"/>
              </w:rPr>
            </w:pPr>
          </w:p>
        </w:tc>
        <w:tc>
          <w:tcPr>
            <w:tcW w:w="1080" w:type="dxa"/>
            <w:vAlign w:val="bottom"/>
            <w:shd w:val="clear" w:color="auto" w:fill="CDFFCC"/>
          </w:tcPr>
          <w:p>
            <w:pPr>
              <w:spacing w:after="0"/>
              <w:rPr>
                <w:sz w:val="15"/>
                <w:szCs w:val="15"/>
                <w:color w:val="auto"/>
              </w:rPr>
            </w:pPr>
          </w:p>
        </w:tc>
      </w:tr>
      <w:tr>
        <w:trPr>
          <w:trHeight w:val="95"/>
        </w:trPr>
        <w:tc>
          <w:tcPr>
            <w:tcW w:w="8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95"/>
        </w:trPr>
        <w:tc>
          <w:tcPr>
            <w:tcW w:w="8320" w:type="dxa"/>
            <w:vAlign w:val="bottom"/>
            <w:shd w:val="clear" w:color="auto" w:fill="CDFFCC"/>
          </w:tcPr>
          <w:p>
            <w:pPr>
              <w:spacing w:after="0"/>
              <w:rPr>
                <w:sz w:val="8"/>
                <w:szCs w:val="8"/>
                <w:color w:val="auto"/>
              </w:rPr>
            </w:pPr>
          </w:p>
        </w:tc>
        <w:tc>
          <w:tcPr>
            <w:tcW w:w="860" w:type="dxa"/>
            <w:vAlign w:val="bottom"/>
            <w:shd w:val="clear" w:color="auto" w:fill="CDFFCC"/>
          </w:tcPr>
          <w:p>
            <w:pPr>
              <w:spacing w:after="0"/>
              <w:rPr>
                <w:sz w:val="8"/>
                <w:szCs w:val="8"/>
                <w:color w:val="auto"/>
              </w:rPr>
            </w:pPr>
          </w:p>
        </w:tc>
        <w:tc>
          <w:tcPr>
            <w:tcW w:w="540" w:type="dxa"/>
            <w:vAlign w:val="bottom"/>
            <w:shd w:val="clear" w:color="auto" w:fill="CDFFCC"/>
          </w:tcPr>
          <w:p>
            <w:pPr>
              <w:spacing w:after="0"/>
              <w:rPr>
                <w:sz w:val="8"/>
                <w:szCs w:val="8"/>
                <w:color w:val="auto"/>
              </w:rPr>
            </w:pPr>
          </w:p>
        </w:tc>
        <w:tc>
          <w:tcPr>
            <w:tcW w:w="120" w:type="dxa"/>
            <w:vAlign w:val="bottom"/>
            <w:shd w:val="clear" w:color="auto" w:fill="CDFFCC"/>
          </w:tcPr>
          <w:p>
            <w:pPr>
              <w:spacing w:after="0"/>
              <w:rPr>
                <w:sz w:val="8"/>
                <w:szCs w:val="8"/>
                <w:color w:val="auto"/>
              </w:rPr>
            </w:pPr>
          </w:p>
        </w:tc>
        <w:tc>
          <w:tcPr>
            <w:tcW w:w="320" w:type="dxa"/>
            <w:vAlign w:val="bottom"/>
            <w:shd w:val="clear" w:color="auto" w:fill="CDFFCC"/>
          </w:tcPr>
          <w:p>
            <w:pPr>
              <w:spacing w:after="0"/>
              <w:rPr>
                <w:sz w:val="8"/>
                <w:szCs w:val="8"/>
                <w:color w:val="auto"/>
              </w:rPr>
            </w:pPr>
          </w:p>
        </w:tc>
        <w:tc>
          <w:tcPr>
            <w:tcW w:w="1080" w:type="dxa"/>
            <w:vAlign w:val="bottom"/>
            <w:shd w:val="clear" w:color="auto" w:fill="CDFFCC"/>
          </w:tcPr>
          <w:p>
            <w:pPr>
              <w:spacing w:after="0"/>
              <w:rPr>
                <w:sz w:val="8"/>
                <w:szCs w:val="8"/>
                <w:color w:val="auto"/>
              </w:rPr>
            </w:pP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SUPPLEMENTAL DISCLOSURE OF OTHER CASH FLOW INFORMATION:</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Cash paid for income taxes</w:t>
            </w:r>
          </w:p>
        </w:tc>
        <w:tc>
          <w:tcPr>
            <w:tcW w:w="860" w:type="dxa"/>
            <w:vAlign w:val="bottom"/>
            <w:shd w:val="clear" w:color="auto" w:fill="CDFFCC"/>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1,337</w:t>
            </w: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Cash paid for interest</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957</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863</w:t>
            </w:r>
          </w:p>
        </w:tc>
      </w:tr>
      <w:tr>
        <w:trPr>
          <w:trHeight w:val="111"/>
        </w:trPr>
        <w:tc>
          <w:tcPr>
            <w:tcW w:w="8320" w:type="dxa"/>
            <w:vAlign w:val="bottom"/>
            <w:shd w:val="clear" w:color="auto" w:fill="CDFFCC"/>
          </w:tcPr>
          <w:p>
            <w:pPr>
              <w:spacing w:after="0"/>
              <w:rPr>
                <w:sz w:val="9"/>
                <w:szCs w:val="9"/>
                <w:color w:val="auto"/>
              </w:rPr>
            </w:pPr>
          </w:p>
        </w:tc>
        <w:tc>
          <w:tcPr>
            <w:tcW w:w="860" w:type="dxa"/>
            <w:vAlign w:val="bottom"/>
            <w:shd w:val="clear" w:color="auto" w:fill="CDFFCC"/>
          </w:tcPr>
          <w:p>
            <w:pPr>
              <w:spacing w:after="0"/>
              <w:rPr>
                <w:sz w:val="9"/>
                <w:szCs w:val="9"/>
                <w:color w:val="auto"/>
              </w:rPr>
            </w:pPr>
          </w:p>
        </w:tc>
        <w:tc>
          <w:tcPr>
            <w:tcW w:w="540" w:type="dxa"/>
            <w:vAlign w:val="bottom"/>
            <w:shd w:val="clear" w:color="auto" w:fill="CDFFCC"/>
          </w:tcPr>
          <w:p>
            <w:pPr>
              <w:spacing w:after="0"/>
              <w:rPr>
                <w:sz w:val="9"/>
                <w:szCs w:val="9"/>
                <w:color w:val="auto"/>
              </w:rPr>
            </w:pPr>
          </w:p>
        </w:tc>
        <w:tc>
          <w:tcPr>
            <w:tcW w:w="120" w:type="dxa"/>
            <w:vAlign w:val="bottom"/>
            <w:shd w:val="clear" w:color="auto" w:fill="CDFFCC"/>
          </w:tcPr>
          <w:p>
            <w:pPr>
              <w:spacing w:after="0"/>
              <w:rPr>
                <w:sz w:val="9"/>
                <w:szCs w:val="9"/>
                <w:color w:val="auto"/>
              </w:rPr>
            </w:pPr>
          </w:p>
        </w:tc>
        <w:tc>
          <w:tcPr>
            <w:tcW w:w="320" w:type="dxa"/>
            <w:vAlign w:val="bottom"/>
            <w:shd w:val="clear" w:color="auto" w:fill="CDFFCC"/>
          </w:tcPr>
          <w:p>
            <w:pPr>
              <w:spacing w:after="0"/>
              <w:rPr>
                <w:sz w:val="9"/>
                <w:szCs w:val="9"/>
                <w:color w:val="auto"/>
              </w:rPr>
            </w:pPr>
          </w:p>
        </w:tc>
        <w:tc>
          <w:tcPr>
            <w:tcW w:w="1080" w:type="dxa"/>
            <w:vAlign w:val="bottom"/>
            <w:shd w:val="clear" w:color="auto" w:fill="CDFFCC"/>
          </w:tcPr>
          <w:p>
            <w:pPr>
              <w:spacing w:after="0"/>
              <w:rPr>
                <w:sz w:val="9"/>
                <w:szCs w:val="9"/>
                <w:color w:val="auto"/>
              </w:rPr>
            </w:pP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Purchase of property and equipment recorded in accounts payable</w:t>
            </w:r>
          </w:p>
        </w:tc>
        <w:tc>
          <w:tcPr>
            <w:tcW w:w="860" w:type="dxa"/>
            <w:vAlign w:val="bottom"/>
            <w:shd w:val="clear" w:color="auto" w:fill="CDFFCC"/>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1,530</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1,408</w:t>
            </w: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Issuance of 11,508 shares of common stock as earn-out payment in connection with AdvantageTec Inc.</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294</w:t>
            </w: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Issuance of shares of common stock to settle cash awards</w:t>
            </w:r>
          </w:p>
        </w:tc>
        <w:tc>
          <w:tcPr>
            <w:tcW w:w="860" w:type="dxa"/>
            <w:vAlign w:val="bottom"/>
            <w:shd w:val="clear" w:color="auto" w:fill="CDFFCC"/>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25,925</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24,656</w:t>
            </w: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Right of use assets obtained in exchange for operating lease liabilities (1)</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1,406</w:t>
            </w:r>
          </w:p>
        </w:tc>
      </w:tr>
      <w:tr>
        <w:trPr>
          <w:trHeight w:val="192"/>
        </w:trPr>
        <w:tc>
          <w:tcPr>
            <w:tcW w:w="8320" w:type="dxa"/>
            <w:vAlign w:val="bottom"/>
            <w:shd w:val="clear" w:color="auto" w:fill="CDFFCC"/>
          </w:tcPr>
          <w:p>
            <w:pPr>
              <w:ind w:left="140"/>
              <w:spacing w:after="0"/>
              <w:rPr>
                <w:sz w:val="20"/>
                <w:szCs w:val="20"/>
                <w:color w:val="auto"/>
              </w:rPr>
            </w:pPr>
            <w:r>
              <w:rPr>
                <w:rFonts w:ascii="Arial" w:cs="Arial" w:eastAsia="Arial" w:hAnsi="Arial"/>
                <w:sz w:val="14"/>
                <w:szCs w:val="14"/>
                <w:color w:val="auto"/>
              </w:rPr>
              <w:t>Fair value of contingent earn-out in connection with the acquisition of AdvantageTec Inc. recorded in accrued expenses</w:t>
            </w:r>
          </w:p>
        </w:tc>
        <w:tc>
          <w:tcPr>
            <w:tcW w:w="860" w:type="dxa"/>
            <w:vAlign w:val="bottom"/>
            <w:shd w:val="clear" w:color="auto" w:fill="CDFFCC"/>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DFFCC"/>
          </w:tcPr>
          <w:p>
            <w:pPr>
              <w:spacing w:after="0"/>
              <w:rPr>
                <w:sz w:val="16"/>
                <w:szCs w:val="16"/>
                <w:color w:val="auto"/>
              </w:rPr>
            </w:pPr>
          </w:p>
        </w:tc>
        <w:tc>
          <w:tcPr>
            <w:tcW w:w="320" w:type="dxa"/>
            <w:vAlign w:val="bottom"/>
            <w:shd w:val="clear" w:color="auto" w:fill="CDFFC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w:t>
            </w:r>
          </w:p>
        </w:tc>
      </w:tr>
    </w:tbl>
    <w:p>
      <w:pPr>
        <w:spacing w:after="0" w:line="89" w:lineRule="exact"/>
        <w:rPr>
          <w:sz w:val="20"/>
          <w:szCs w:val="20"/>
          <w:color w:val="auto"/>
        </w:rPr>
      </w:pPr>
    </w:p>
    <w:p>
      <w:pPr>
        <w:ind w:left="140" w:right="2960" w:firstLine="7"/>
        <w:spacing w:after="0" w:line="236" w:lineRule="auto"/>
        <w:tabs>
          <w:tab w:leader="none" w:pos="344"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leases that commenced during the year ended December 31, 2020, as well as balances related to leases in existence as of the date of the adoption of Topic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LivePerson, Inc. (“LivePerson”, the “Company”, “we” or “us”) makes life easier for people and brands everywhere through trusted Conversational AI.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short message service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your reference:</w:t>
      </w:r>
    </w:p>
    <w:p>
      <w:pPr>
        <w:spacing w:after="0" w:line="117"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Conversational AI: Conversational AI allows humans and machines to interact using natural language, including speech or text.</w:t>
      </w:r>
    </w:p>
    <w:p>
      <w:pPr>
        <w:spacing w:after="0" w:line="128" w:lineRule="exact"/>
        <w:rPr>
          <w:rFonts w:ascii="Arial" w:cs="Arial" w:eastAsia="Arial" w:hAnsi="Arial"/>
          <w:sz w:val="17"/>
          <w:szCs w:val="17"/>
          <w:color w:val="auto"/>
        </w:rPr>
      </w:pPr>
    </w:p>
    <w:p>
      <w:pPr>
        <w:jc w:val="both"/>
        <w:ind w:left="1300" w:hanging="320"/>
        <w:spacing w:after="0" w:line="311" w:lineRule="auto"/>
        <w:tabs>
          <w:tab w:leader="none" w:pos="1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Conversational Space: In the Conversational Space, consumers message with brands on their own schedule, using natural language, to resolve their intents - all on their preferred messaging service. The core capabilities of the Conversational Space are voice and text-based interfaces, powered by AI and humans working together. Conversational Space is the simplest, most intuitive interface of all.</w:t>
      </w:r>
    </w:p>
    <w:p>
      <w:pPr>
        <w:spacing w:after="0" w:line="40" w:lineRule="exact"/>
        <w:rPr>
          <w:rFonts w:ascii="Arial" w:cs="Arial" w:eastAsia="Arial" w:hAnsi="Arial"/>
          <w:sz w:val="16"/>
          <w:szCs w:val="16"/>
          <w:color w:val="auto"/>
        </w:rPr>
      </w:pPr>
    </w:p>
    <w:p>
      <w:pPr>
        <w:ind w:left="1300" w:hanging="320"/>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Conversational Cloud: LivePerson's enterprise-class, AI-powered Conversational Cloud platform empowers consumers to message their favorite brands, just as they do with friends and family.</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products, coupled with our domain knowledge, industry expertise and professional services, have been proven to maximize the effectiveness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Conversational Space and deliver measurable return on investment. Certain of our customers have achieved the following advantages from our offerings:</w:t>
      </w:r>
    </w:p>
    <w:p>
      <w:pPr>
        <w:spacing w:after="0" w:line="369" w:lineRule="exact"/>
        <w:rPr>
          <w:sz w:val="20"/>
          <w:szCs w:val="20"/>
          <w:color w:val="auto"/>
        </w:rPr>
      </w:pPr>
    </w:p>
    <w:p>
      <w:pPr>
        <w:ind w:left="1300" w:hanging="320"/>
        <w:spacing w:after="0" w:line="291" w:lineRule="auto"/>
        <w:tabs>
          <w:tab w:leader="none" w:pos="129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score increases of up to 20 percentage points, and enhancing retention and loyalty;</w:t>
      </w:r>
    </w:p>
    <w:p>
      <w:pPr>
        <w:ind w:left="1300" w:hanging="320"/>
        <w:spacing w:after="0" w:line="250"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9" w:lineRule="exact"/>
        <w:rPr>
          <w:rFonts w:ascii="Arial" w:cs="Arial" w:eastAsia="Arial" w:hAnsi="Arial"/>
          <w:sz w:val="18"/>
          <w:szCs w:val="18"/>
          <w:color w:val="auto"/>
        </w:rPr>
      </w:pPr>
    </w:p>
    <w:p>
      <w:pPr>
        <w:ind w:left="1300" w:hanging="320"/>
        <w:spacing w:after="0" w:line="250"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valued connection with consumers via mobile devices, either through native applications, websites, text messages, or third-party messaging platforms;</w:t>
      </w: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of spending that drives visitor traffic by increasing visitor conversions;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refinement and improvement of performance by understanding which initiatives deliver the highest rate of return; and</w:t>
      </w:r>
    </w:p>
    <w:p>
      <w:pPr>
        <w:spacing w:after="0" w:line="9" w:lineRule="exact"/>
        <w:rPr>
          <w:rFonts w:ascii="Arial" w:cs="Arial" w:eastAsia="Arial" w:hAnsi="Arial"/>
          <w:sz w:val="18"/>
          <w:szCs w:val="18"/>
          <w:color w:val="auto"/>
        </w:rPr>
      </w:pPr>
    </w:p>
    <w:p>
      <w:pPr>
        <w:ind w:left="1300" w:hanging="320"/>
        <w:spacing w:after="0" w:line="260"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lead generation through a single platform that engages consumers through advertisements and listings on branded and third-party websites.</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further enhance our platform, in September 2020 LivePerson signed a partnership with Infosys, a leader in next-generation digital services and consulting. The Company is working with Infosys to transform our technology infrastructure on the public cloud, to build integrated solutions and a global practice around our Conversational Cloud to sell into their channels and global enterprise customer base, and to redefine how the world’s top brands communicate.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In light of the COVID-19 pandemic and the Company’s strong performance working remotely, LivePerson has adopted an “employee-centric” workforce model that does not rely on traditional offices.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accompanying condensed consolidated financial statements as of March 31, 2021 and for the three months ended March 31, 2021 and 2020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March 31, 2021, and the consolidated results of operations, comprehensive loss and cash flows for the interim periods ended March 31, 2021 and 2020.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as of December 31, 2020 has been derived from audited consolidated financial statements at that date.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2020 included in the Company’s Annual Report on Form 10-K filed with the SEC on March 8, 2021.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of the Company’s estimates require increased judgment due to the significant volatility, uncertainty and economic disruption of the COVID-19 pandemic. The Company will continue to monitor the effects of the COVID-19 pandemic, and its estimates and judgments may change materially as new events occur or additional information becomes available.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August 2020, the Financial Accounting Standards Board (“FASB”) issued Accounting Standards Update (“ASU”) 2020-06, “Debt - Debt with Conversion and Other Options (Subtopic 470-20) and Derivatives and Hedging - Contracts in Entity's Own Equity (Subtopic 815-40): Accounting for Convertible Instruments and Contracts in an Entity's Own Equity”, which simplifies the accounting for convertible instruments by eliminating existing accounting models that require separation of a cash conversion or beneficial conversion feature from the host contract. Accordingly, a convertible debt instrument will be accounted as a single liability measured at its amortized cost and a convertible preferred stock will be accounted as a single equity instrument measured at its historical cost, as long as no other embedded features require bifurcation as derivatives and the convertible debt was not issued at a substantial premium. The ASU also simplifies the derivative scope exception for accounting for contracts in an entity's own equity by:</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removing certain conditions required to meet the settlement criterion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clarifying that instruments that are not indexed to the issuer's own stock must be remeasured at fair value through earnings at each reporting period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clarifying the scope of reassessment guidance and disclosure requirements in Subtopic 815-40.</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ASU also makes targeted improvements to the disclosure requirements for convertible instruments and earnings-per-share guidance.</w:t>
      </w:r>
    </w:p>
    <w:p>
      <w:pPr>
        <w:spacing w:after="0" w:line="264"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For SEC filers, excluding smaller reporting companies, the ASU is effective for fiscal years beginning after December 15, 2021, including interim periods within those fiscal years. The ASU specifies that the guidance should be adopted as of the beginning of the annual fiscal year. The Company is assessing what impact ASU 2020-06 will have on its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is intended to simplify the accounting for income taxes by removing certain exceptions and by updating accounting requirements around franchise taxes, goodwill recognized for tax purposes, the allocation of current and deferred tax expenses among legal entities, among other minor changes. The ASU is effective for fiscal years beginning after December 15, 2020, including interim periods within those fiscal years. Early adoption is permitted. The Company has adopted ASU 2019-12 in the first quarter of 2021 and determined that the ASU had no material impact on its condensed consolidated financial statements.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 No single customer accounted for 10% or more of the Company’s total revenue for the three months ended March 31,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212529"/>
        </w:rPr>
        <w:t>Total revenue of $107.9 million and $78.1 million was recognized during the three months ended March 31, 2021 and 2020, respectively.</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Topic 606, the Company defers all incremental commission costs to obtain the contract (contract acquisition costs). The contract acquisition costs, which consist of prepaid sales commissions, have balances as of March 31, 2021 and December 31, 2020 of $40.9 million and $41.0 million, respectively. The Company amortizes these costs over the related period of benefit using the expected life of the customer contract, which the Company determines to be three to five years, which is consistent with the transfer to the customer of the services to which the asset relates. The Company classifies contract acquisition costs as long-term unless they have an original amortization period of one year or less.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Hosted Services- Business Revenue is reported at the amount that reflects the ultimate consideration expected to be received and primarily consists of fees that provide customers access to the Conversational Cloud,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the Company incurs with the labor provider and its fee for the hosted services through to the Company’s customers in the form of a fixed fee for each order placed via the Company’s online engagement solutions. For these Gainshare (formerly “Pay for Performance”) arrangements in accordance with ASC-606, “Principal Agent Considerations,” the Company acts as a principal in a transaction if the Company controls the specified goods or services before they are transferred to the customer.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Professional Services Revenues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March 31, 2021, the aggregate amount of the total transaction price allocated in contracts with original duration of greater than one year to the remaining performance obligations was $330.6 million. Approximately 90%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The Company has elected the optional exemption, which allows for the exclusion of the amounts for remaining performance obligations that are part of contracts with an original expected duration of one year or less. Such remaining performance obligations represent unsatisfied or partially unsatisfied performance obligations pursuant to ASC 606.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revenue from the Company’s Consumer segment generated from online transactions between Experts and Users, revenue is recognized at an amount net of Expert fees in accordance with ASC 606, “Principal Agent Considerations,” primarily because the Expert is the primary obligor. The Company does not act as a principal in a transaction since the Company does not control the specified goods or services before they are transferred to the customer.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records deferred revenues when cash payments are received or due in advance of the Company’s performance. The increase in the deferred revenue balance as of March 31, 2021 is primarily driven by cash payments received or due in advance of the Company’s performance obligations, partially offset by $46.7 million of revenues recognized that were included in the deferred revenue balance as of December 31, 2020.</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deferred revenue by revenue source (amounts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Deferred Revenue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March 31, 2021</w:t>
            </w:r>
          </w:p>
        </w:tc>
        <w:tc>
          <w:tcPr>
            <w:tcW w:w="13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86"/>
        </w:trPr>
        <w:tc>
          <w:tcPr>
            <w:tcW w:w="8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8200" w:type="dxa"/>
            <w:vAlign w:val="bottom"/>
          </w:tcPr>
          <w:p>
            <w:pPr>
              <w:spacing w:after="0"/>
              <w:rPr>
                <w:sz w:val="20"/>
                <w:szCs w:val="20"/>
                <w:color w:val="auto"/>
              </w:rPr>
            </w:pPr>
            <w:r>
              <w:rPr>
                <w:rFonts w:ascii="Arial" w:cs="Arial" w:eastAsia="Arial" w:hAnsi="Arial"/>
                <w:sz w:val="16"/>
                <w:szCs w:val="16"/>
                <w:color w:val="auto"/>
              </w:rPr>
              <w:t>Hosted services – Business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105,900</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86,144</w:t>
            </w:r>
          </w:p>
        </w:tc>
        <w:tc>
          <w:tcPr>
            <w:tcW w:w="0" w:type="dxa"/>
            <w:vAlign w:val="bottom"/>
          </w:tcPr>
          <w:p>
            <w:pPr>
              <w:spacing w:after="0"/>
              <w:rPr>
                <w:sz w:val="1"/>
                <w:szCs w:val="1"/>
                <w:color w:val="auto"/>
              </w:rPr>
            </w:pPr>
          </w:p>
        </w:tc>
      </w:tr>
      <w:tr>
        <w:trPr>
          <w:trHeight w:val="219"/>
        </w:trPr>
        <w:tc>
          <w:tcPr>
            <w:tcW w:w="8200" w:type="dxa"/>
            <w:vAlign w:val="bottom"/>
            <w:shd w:val="clear" w:color="auto" w:fill="CCFFCC"/>
          </w:tcPr>
          <w:p>
            <w:pPr>
              <w:spacing w:after="0"/>
              <w:rPr>
                <w:sz w:val="20"/>
                <w:szCs w:val="20"/>
                <w:color w:val="auto"/>
              </w:rPr>
            </w:pPr>
            <w:r>
              <w:rPr>
                <w:rFonts w:ascii="Arial" w:cs="Arial" w:eastAsia="Arial" w:hAnsi="Arial"/>
                <w:sz w:val="16"/>
                <w:szCs w:val="16"/>
                <w:color w:val="auto"/>
              </w:rPr>
              <w:t>Hosted services – Consumer</w:t>
            </w:r>
          </w:p>
        </w:tc>
        <w:tc>
          <w:tcPr>
            <w:tcW w:w="100" w:type="dxa"/>
            <w:vAlign w:val="bottom"/>
            <w:shd w:val="clear" w:color="auto" w:fill="CCFFCC"/>
          </w:tcPr>
          <w:p>
            <w:pPr>
              <w:spacing w:after="0"/>
              <w:rPr>
                <w:sz w:val="19"/>
                <w:szCs w:val="19"/>
                <w:color w:val="auto"/>
              </w:rPr>
            </w:pPr>
          </w:p>
        </w:tc>
        <w:tc>
          <w:tcPr>
            <w:tcW w:w="1420" w:type="dxa"/>
            <w:vAlign w:val="bottom"/>
            <w:shd w:val="clear" w:color="auto" w:fill="CCFFCC"/>
          </w:tcPr>
          <w:p>
            <w:pPr>
              <w:jc w:val="right"/>
              <w:ind w:right="1"/>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FFCC"/>
            </w:tcBorders>
          </w:tcPr>
          <w:p>
            <w:pPr>
              <w:spacing w:after="0"/>
              <w:rPr>
                <w:sz w:val="20"/>
                <w:szCs w:val="20"/>
                <w:color w:val="auto"/>
              </w:rPr>
            </w:pPr>
            <w:r>
              <w:rPr>
                <w:rFonts w:ascii="Arial" w:cs="Arial" w:eastAsia="Arial" w:hAnsi="Arial"/>
                <w:sz w:val="16"/>
                <w:szCs w:val="16"/>
                <w:color w:val="auto"/>
              </w:rPr>
              <w:t>Professional services – Business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1,640</w:t>
            </w:r>
          </w:p>
        </w:tc>
        <w:tc>
          <w:tcPr>
            <w:tcW w:w="100" w:type="dxa"/>
            <w:vAlign w:val="bottom"/>
            <w:tcBorders>
              <w:bottom w:val="single" w:sz="8" w:color="CCFFC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38"/>
        </w:trPr>
        <w:tc>
          <w:tcPr>
            <w:tcW w:w="82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Total deferred revenue - short term</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108,415</w:t>
            </w:r>
          </w:p>
        </w:tc>
        <w:tc>
          <w:tcPr>
            <w:tcW w:w="100" w:type="dxa"/>
            <w:vAlign w:val="bottom"/>
            <w:tcBorders>
              <w:bottom w:val="single" w:sz="8" w:color="CCFFCC"/>
            </w:tcBorders>
            <w:shd w:val="clear" w:color="auto" w:fill="CCFFCC"/>
          </w:tcPr>
          <w:p>
            <w:pPr>
              <w:spacing w:after="0"/>
              <w:rPr>
                <w:sz w:val="20"/>
                <w:szCs w:val="20"/>
                <w:color w:val="auto"/>
              </w:rPr>
            </w:pPr>
          </w:p>
        </w:tc>
        <w:tc>
          <w:tcPr>
            <w:tcW w:w="480" w:type="dxa"/>
            <w:vAlign w:val="bottom"/>
            <w:tcBorders>
              <w:bottom w:val="single" w:sz="8" w:color="auto"/>
            </w:tcBorders>
            <w:shd w:val="clear" w:color="auto" w:fill="CCFFCC"/>
          </w:tcPr>
          <w:p>
            <w:pPr>
              <w:jc w:val="right"/>
              <w:ind w:right="3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88,848</w:t>
            </w:r>
          </w:p>
        </w:tc>
        <w:tc>
          <w:tcPr>
            <w:tcW w:w="0" w:type="dxa"/>
            <w:vAlign w:val="bottom"/>
          </w:tcPr>
          <w:p>
            <w:pPr>
              <w:spacing w:after="0"/>
              <w:rPr>
                <w:sz w:val="1"/>
                <w:szCs w:val="1"/>
                <w:color w:val="auto"/>
              </w:rPr>
            </w:pPr>
          </w:p>
        </w:tc>
      </w:tr>
      <w:tr>
        <w:trPr>
          <w:trHeight w:val="20"/>
        </w:trPr>
        <w:tc>
          <w:tcPr>
            <w:tcW w:w="82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14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CCFFCC"/>
              <w:bottom w:val="single" w:sz="8" w:color="auto"/>
            </w:tcBorders>
          </w:tcPr>
          <w:p>
            <w:pPr>
              <w:spacing w:after="0" w:line="20" w:lineRule="exact"/>
              <w:rPr>
                <w:sz w:val="1"/>
                <w:szCs w:val="1"/>
                <w:color w:val="auto"/>
              </w:rPr>
            </w:pPr>
          </w:p>
        </w:tc>
        <w:tc>
          <w:tcPr>
            <w:tcW w:w="8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00" w:type="dxa"/>
            <w:vAlign w:val="bottom"/>
            <w:shd w:val="clear" w:color="auto" w:fill="CCFFCC"/>
          </w:tcPr>
          <w:p>
            <w:pPr>
              <w:spacing w:after="0"/>
              <w:rPr>
                <w:sz w:val="20"/>
                <w:szCs w:val="20"/>
                <w:color w:val="auto"/>
              </w:rPr>
            </w:pPr>
            <w:r>
              <w:rPr>
                <w:rFonts w:ascii="Arial" w:cs="Arial" w:eastAsia="Arial" w:hAnsi="Arial"/>
                <w:sz w:val="16"/>
                <w:szCs w:val="16"/>
                <w:color w:val="auto"/>
              </w:rPr>
              <w:t>Professional services – Business</w:t>
            </w:r>
          </w:p>
        </w:tc>
        <w:tc>
          <w:tcPr>
            <w:tcW w:w="100" w:type="dxa"/>
            <w:vAlign w:val="bottom"/>
            <w:tcBorders>
              <w:bottom w:val="single" w:sz="8" w:color="auto"/>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3"/>
        </w:trPr>
        <w:tc>
          <w:tcPr>
            <w:tcW w:w="8200" w:type="dxa"/>
            <w:vAlign w:val="bottom"/>
          </w:tcPr>
          <w:p>
            <w:pPr>
              <w:ind w:left="200"/>
              <w:spacing w:after="0"/>
              <w:rPr>
                <w:sz w:val="20"/>
                <w:szCs w:val="20"/>
                <w:color w:val="auto"/>
              </w:rPr>
            </w:pPr>
            <w:r>
              <w:rPr>
                <w:rFonts w:ascii="Arial" w:cs="Arial" w:eastAsia="Arial" w:hAnsi="Arial"/>
                <w:sz w:val="16"/>
                <w:szCs w:val="16"/>
                <w:color w:val="auto"/>
              </w:rPr>
              <w:t>Total deferred revenue - long term</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revenues disaggregated by revenue source (amounts in thousands):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3"/>
        </w:trPr>
        <w:tc>
          <w:tcPr>
            <w:tcW w:w="818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FFC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97"/>
        </w:trPr>
        <w:tc>
          <w:tcPr>
            <w:tcW w:w="81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83,640</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61,051</w:t>
            </w:r>
          </w:p>
        </w:tc>
      </w:tr>
      <w:tr>
        <w:trPr>
          <w:trHeight w:val="219"/>
        </w:trPr>
        <w:tc>
          <w:tcPr>
            <w:tcW w:w="81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Hosted services – Consumer</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ind w:right="3"/>
              <w:spacing w:after="0"/>
              <w:rPr>
                <w:sz w:val="20"/>
                <w:szCs w:val="20"/>
                <w:color w:val="auto"/>
              </w:rPr>
            </w:pPr>
            <w:r>
              <w:rPr>
                <w:rFonts w:ascii="Arial" w:cs="Arial" w:eastAsia="Arial" w:hAnsi="Arial"/>
                <w:sz w:val="16"/>
                <w:szCs w:val="16"/>
                <w:color w:val="auto"/>
              </w:rPr>
              <w:t>9,011</w:t>
            </w:r>
          </w:p>
        </w:tc>
        <w:tc>
          <w:tcPr>
            <w:tcW w:w="8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20" w:type="dxa"/>
            <w:vAlign w:val="bottom"/>
            <w:shd w:val="clear" w:color="auto" w:fill="CCFFCC"/>
          </w:tcPr>
          <w:p>
            <w:pPr>
              <w:jc w:val="right"/>
              <w:ind w:right="1"/>
              <w:spacing w:after="0"/>
              <w:rPr>
                <w:sz w:val="20"/>
                <w:szCs w:val="20"/>
                <w:color w:val="auto"/>
              </w:rPr>
            </w:pPr>
            <w:r>
              <w:rPr>
                <w:rFonts w:ascii="Arial" w:cs="Arial" w:eastAsia="Arial" w:hAnsi="Arial"/>
                <w:sz w:val="16"/>
                <w:szCs w:val="16"/>
                <w:color w:val="auto"/>
              </w:rPr>
              <w:t>6,240</w:t>
            </w:r>
          </w:p>
        </w:tc>
      </w:tr>
      <w:tr>
        <w:trPr>
          <w:trHeight w:val="213"/>
        </w:trPr>
        <w:tc>
          <w:tcPr>
            <w:tcW w:w="818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Professional services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15,240</w:t>
            </w:r>
          </w:p>
        </w:tc>
        <w:tc>
          <w:tcPr>
            <w:tcW w:w="8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10,797</w:t>
            </w:r>
          </w:p>
        </w:tc>
      </w:tr>
      <w:tr>
        <w:trPr>
          <w:trHeight w:val="238"/>
        </w:trPr>
        <w:tc>
          <w:tcPr>
            <w:tcW w:w="81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FFCC"/>
          </w:tcPr>
          <w:p>
            <w:pPr>
              <w:jc w:val="right"/>
              <w:ind w:right="3"/>
              <w:spacing w:after="0"/>
              <w:rPr>
                <w:sz w:val="20"/>
                <w:szCs w:val="20"/>
                <w:color w:val="auto"/>
              </w:rPr>
            </w:pPr>
            <w:r>
              <w:rPr>
                <w:rFonts w:ascii="Arial" w:cs="Arial" w:eastAsia="Arial" w:hAnsi="Arial"/>
                <w:sz w:val="16"/>
                <w:szCs w:val="16"/>
                <w:color w:val="auto"/>
              </w:rPr>
              <w:t>107,891</w:t>
            </w:r>
          </w:p>
        </w:tc>
        <w:tc>
          <w:tcPr>
            <w:tcW w:w="80" w:type="dxa"/>
            <w:vAlign w:val="bottom"/>
            <w:tcBorders>
              <w:bottom w:val="single" w:sz="8" w:color="CCFFCC"/>
            </w:tcBorders>
            <w:shd w:val="clear" w:color="auto" w:fill="CCFFCC"/>
          </w:tcPr>
          <w:p>
            <w:pPr>
              <w:spacing w:after="0"/>
              <w:rPr>
                <w:sz w:val="20"/>
                <w:szCs w:val="20"/>
                <w:color w:val="auto"/>
              </w:rPr>
            </w:pPr>
          </w:p>
        </w:tc>
        <w:tc>
          <w:tcPr>
            <w:tcW w:w="420" w:type="dxa"/>
            <w:vAlign w:val="bottom"/>
            <w:tcBorders>
              <w:bottom w:val="single" w:sz="8" w:color="auto"/>
            </w:tcBorders>
            <w:shd w:val="clear" w:color="auto" w:fill="CCFFCC"/>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78,088</w:t>
            </w:r>
          </w:p>
        </w:tc>
      </w:tr>
      <w:tr>
        <w:trPr>
          <w:trHeight w:val="20"/>
        </w:trPr>
        <w:tc>
          <w:tcPr>
            <w:tcW w:w="81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CCFFCC"/>
              <w:bottom w:val="single" w:sz="8" w:color="auto"/>
            </w:tcBorders>
          </w:tcPr>
          <w:p>
            <w:pPr>
              <w:spacing w:after="0" w:line="20" w:lineRule="exact"/>
              <w:rPr>
                <w:sz w:val="1"/>
                <w:szCs w:val="1"/>
                <w:color w:val="auto"/>
              </w:rPr>
            </w:pPr>
          </w:p>
        </w:tc>
        <w:tc>
          <w:tcPr>
            <w:tcW w:w="1020" w:type="dxa"/>
            <w:vAlign w:val="bottom"/>
            <w:tcBorders>
              <w:top w:val="single" w:sz="8" w:color="CCFFCC"/>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Geographic Location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revenues attributable to domestic and foreign operations for the periods presented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208"/>
        </w:trPr>
        <w:tc>
          <w:tcPr>
            <w:tcW w:w="826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60" w:type="dxa"/>
            <w:vAlign w:val="bottom"/>
            <w:shd w:val="clear" w:color="auto" w:fill="CCFFCC"/>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68,782</w:t>
            </w: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48,549</w:t>
            </w:r>
          </w:p>
        </w:tc>
      </w:tr>
      <w:tr>
        <w:trPr>
          <w:trHeight w:val="216"/>
        </w:trPr>
        <w:tc>
          <w:tcPr>
            <w:tcW w:w="8260" w:type="dxa"/>
            <w:vAlign w:val="bottom"/>
            <w:tcBorders>
              <w:bottom w:val="single" w:sz="8" w:color="CCFFCC"/>
            </w:tcBorders>
          </w:tcPr>
          <w:p>
            <w:pPr>
              <w:ind w:left="20"/>
              <w:spacing w:after="0" w:line="216" w:lineRule="exact"/>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10"/>
        </w:trPr>
        <w:tc>
          <w:tcPr>
            <w:tcW w:w="8260" w:type="dxa"/>
            <w:vAlign w:val="bottom"/>
            <w:shd w:val="clear" w:color="auto" w:fill="CCFFCC"/>
          </w:tcPr>
          <w:p>
            <w:pPr>
              <w:ind w:left="220"/>
              <w:spacing w:after="0"/>
              <w:rPr>
                <w:sz w:val="20"/>
                <w:szCs w:val="20"/>
                <w:color w:val="auto"/>
              </w:rPr>
            </w:pPr>
            <w:r>
              <w:rPr>
                <w:rFonts w:ascii="Arial" w:cs="Arial" w:eastAsia="Arial" w:hAnsi="Arial"/>
                <w:sz w:val="16"/>
                <w:szCs w:val="16"/>
                <w:color w:val="auto"/>
              </w:rPr>
              <w:t>Total Americas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72,695</w:t>
            </w: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50,569</w:t>
            </w:r>
          </w:p>
        </w:tc>
      </w:tr>
      <w:tr>
        <w:trPr>
          <w:trHeight w:val="216"/>
        </w:trPr>
        <w:tc>
          <w:tcPr>
            <w:tcW w:w="8260" w:type="dxa"/>
            <w:vAlign w:val="bottom"/>
          </w:tcPr>
          <w:p>
            <w:pPr>
              <w:ind w:left="20"/>
              <w:spacing w:after="0" w:line="216" w:lineRule="exact"/>
              <w:rPr>
                <w:sz w:val="20"/>
                <w:szCs w:val="20"/>
                <w:color w:val="auto"/>
              </w:rPr>
            </w:pPr>
            <w:r>
              <w:rPr>
                <w:rFonts w:ascii="Arial" w:cs="Arial" w:eastAsia="Arial" w:hAnsi="Arial"/>
                <w:sz w:val="25"/>
                <w:szCs w:val="25"/>
                <w:color w:val="auto"/>
                <w:vertAlign w:val="subscript"/>
              </w:rPr>
              <w:t>EMEA</w:t>
            </w:r>
            <w:r>
              <w:rPr>
                <w:rFonts w:ascii="Arial" w:cs="Arial" w:eastAsia="Arial" w:hAnsi="Arial"/>
                <w:sz w:val="9"/>
                <w:szCs w:val="9"/>
                <w:color w:val="auto"/>
              </w:rPr>
              <w:t xml:space="preserve"> (2) (4)</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19,491</w:t>
            </w:r>
          </w:p>
        </w:tc>
      </w:tr>
      <w:tr>
        <w:trPr>
          <w:trHeight w:val="216"/>
        </w:trPr>
        <w:tc>
          <w:tcPr>
            <w:tcW w:w="8260" w:type="dxa"/>
            <w:vAlign w:val="bottom"/>
            <w:shd w:val="clear" w:color="auto" w:fill="CCFFCC"/>
          </w:tcPr>
          <w:p>
            <w:pPr>
              <w:ind w:left="20"/>
              <w:spacing w:after="0" w:line="216" w:lineRule="exact"/>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13,436</w:t>
            </w:r>
          </w:p>
        </w:tc>
        <w:tc>
          <w:tcPr>
            <w:tcW w:w="100" w:type="dxa"/>
            <w:vAlign w:val="bottom"/>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8,028</w:t>
            </w:r>
          </w:p>
        </w:tc>
      </w:tr>
      <w:tr>
        <w:trPr>
          <w:trHeight w:val="210"/>
        </w:trPr>
        <w:tc>
          <w:tcPr>
            <w:tcW w:w="826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78,088</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Canada, Latin America and South America</w:t>
      </w:r>
    </w:p>
    <w:p>
      <w:pPr>
        <w:ind w:left="180" w:hanging="172"/>
        <w:spacing w:after="0" w:line="187"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Europe, the Middle East and Africa (“EMEA”)</w:t>
      </w:r>
    </w:p>
    <w:p>
      <w:pPr>
        <w:ind w:left="180" w:hanging="172"/>
        <w:spacing w:after="0" w:line="187"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Asia-Pacific (“APAC”)</w:t>
      </w:r>
    </w:p>
    <w:p>
      <w:pPr>
        <w:ind w:right="660" w:firstLine="8"/>
        <w:spacing w:after="0" w:line="234" w:lineRule="auto"/>
        <w:tabs>
          <w:tab w:leader="none" w:pos="163"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Includes revenues from the United Kingdom of $13.3 million and $12.6 million for the three months ended March 31, 2021 and 2020, respectively, and from the Netherlands of $1.3 million for the three months ended March 31,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Hosted Services - Business Revenue</w:t>
      </w:r>
      <w:r>
        <w:rPr>
          <w:rFonts w:ascii="Arial" w:cs="Arial" w:eastAsia="Arial" w:hAnsi="Arial"/>
          <w:sz w:val="18"/>
          <w:szCs w:val="18"/>
          <w:i w:val="1"/>
          <w:iCs w:val="1"/>
          <w:color w:val="auto"/>
        </w:rPr>
        <w:t>.</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 Contract acquisition costs represent prepaid sales commissions. The opening and closing balances of the Company’s accounts receivable, unbilled receivables, contract acquisition costs and deferred revenues are as follows (amounts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Accounts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84"/>
              <w:spacing w:after="0"/>
              <w:rPr>
                <w:sz w:val="20"/>
                <w:szCs w:val="20"/>
                <w:color w:val="auto"/>
              </w:rPr>
            </w:pPr>
            <w:r>
              <w:rPr>
                <w:rFonts w:ascii="Arial" w:cs="Arial" w:eastAsia="Arial" w:hAnsi="Arial"/>
                <w:sz w:val="14"/>
                <w:szCs w:val="14"/>
                <w:b w:val="1"/>
                <w:bCs w:val="1"/>
                <w:color w:val="auto"/>
                <w:w w:val="97"/>
              </w:rPr>
              <w:t>Contract</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Deferred Revenue</w:t>
            </w:r>
          </w:p>
        </w:tc>
        <w:tc>
          <w:tcPr>
            <w:tcW w:w="1300" w:type="dxa"/>
            <w:vAlign w:val="bottom"/>
            <w:gridSpan w:val="2"/>
            <w:vMerge w:val="restart"/>
          </w:tcPr>
          <w:p>
            <w:pPr>
              <w:jc w:val="right"/>
              <w:ind w:right="21"/>
              <w:spacing w:after="0"/>
              <w:rPr>
                <w:sz w:val="20"/>
                <w:szCs w:val="20"/>
                <w:color w:val="auto"/>
              </w:rPr>
            </w:pPr>
            <w:r>
              <w:rPr>
                <w:rFonts w:ascii="Arial" w:cs="Arial" w:eastAsia="Arial" w:hAnsi="Arial"/>
                <w:sz w:val="14"/>
                <w:szCs w:val="14"/>
                <w:b w:val="1"/>
                <w:bCs w:val="1"/>
                <w:color w:val="auto"/>
                <w:w w:val="98"/>
              </w:rPr>
              <w:t>Deferred Revenue</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Unbilled Receivable</w:t>
            </w:r>
          </w:p>
        </w:tc>
        <w:tc>
          <w:tcPr>
            <w:tcW w:w="120" w:type="dxa"/>
            <w:vAlign w:val="bottom"/>
          </w:tcPr>
          <w:p>
            <w:pPr>
              <w:spacing w:after="0"/>
              <w:rPr>
                <w:sz w:val="11"/>
                <w:szCs w:val="11"/>
                <w:color w:val="auto"/>
              </w:rPr>
            </w:pPr>
          </w:p>
        </w:tc>
        <w:tc>
          <w:tcPr>
            <w:tcW w:w="1240" w:type="dxa"/>
            <w:vAlign w:val="bottom"/>
          </w:tcPr>
          <w:p>
            <w:pPr>
              <w:jc w:val="center"/>
              <w:ind w:right="84"/>
              <w:spacing w:after="0" w:line="135" w:lineRule="exact"/>
              <w:rPr>
                <w:sz w:val="20"/>
                <w:szCs w:val="20"/>
                <w:color w:val="auto"/>
              </w:rPr>
            </w:pPr>
            <w:r>
              <w:rPr>
                <w:rFonts w:ascii="Arial" w:cs="Arial" w:eastAsia="Arial" w:hAnsi="Arial"/>
                <w:sz w:val="14"/>
                <w:szCs w:val="14"/>
                <w:b w:val="1"/>
                <w:bCs w:val="1"/>
                <w:color w:val="auto"/>
                <w:w w:val="90"/>
              </w:rPr>
              <w:t>Acquisition Costs</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Receivable</w:t>
            </w:r>
          </w:p>
        </w:tc>
        <w:tc>
          <w:tcPr>
            <w:tcW w:w="1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84"/>
              <w:spacing w:after="0"/>
              <w:rPr>
                <w:sz w:val="20"/>
                <w:szCs w:val="20"/>
                <w:color w:val="auto"/>
              </w:rPr>
            </w:pPr>
            <w:r>
              <w:rPr>
                <w:rFonts w:ascii="Arial" w:cs="Arial" w:eastAsia="Arial" w:hAnsi="Arial"/>
                <w:sz w:val="14"/>
                <w:szCs w:val="14"/>
                <w:b w:val="1"/>
                <w:bCs w:val="1"/>
                <w:color w:val="auto"/>
                <w:w w:val="91"/>
              </w:rPr>
              <w:t>noncurrent</w:t>
            </w:r>
          </w:p>
        </w:tc>
        <w:tc>
          <w:tcPr>
            <w:tcW w:w="16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(current)</w:t>
            </w:r>
          </w:p>
        </w:tc>
        <w:tc>
          <w:tcPr>
            <w:tcW w:w="200" w:type="dxa"/>
            <w:vAlign w:val="bottom"/>
          </w:tcPr>
          <w:p>
            <w:pPr>
              <w:spacing w:after="0"/>
              <w:rPr>
                <w:sz w:val="16"/>
                <w:szCs w:val="16"/>
                <w:color w:val="auto"/>
              </w:rPr>
            </w:pPr>
          </w:p>
        </w:tc>
        <w:tc>
          <w:tcPr>
            <w:tcW w:w="1100" w:type="dxa"/>
            <w:vAlign w:val="bottom"/>
          </w:tcPr>
          <w:p>
            <w:pPr>
              <w:jc w:val="right"/>
              <w:ind w:right="221"/>
              <w:spacing w:after="0"/>
              <w:rPr>
                <w:sz w:val="20"/>
                <w:szCs w:val="20"/>
                <w:color w:val="auto"/>
              </w:rPr>
            </w:pPr>
            <w:r>
              <w:rPr>
                <w:rFonts w:ascii="Arial" w:cs="Arial" w:eastAsia="Arial" w:hAnsi="Arial"/>
                <w:sz w:val="14"/>
                <w:szCs w:val="14"/>
                <w:b w:val="1"/>
                <w:bCs w:val="1"/>
                <w:color w:val="auto"/>
              </w:rPr>
              <w:t>(long term)</w:t>
            </w:r>
          </w:p>
        </w:tc>
        <w:tc>
          <w:tcPr>
            <w:tcW w:w="0" w:type="dxa"/>
            <w:vAlign w:val="bottom"/>
          </w:tcPr>
          <w:p>
            <w:pPr>
              <w:spacing w:after="0"/>
              <w:rPr>
                <w:sz w:val="1"/>
                <w:szCs w:val="1"/>
                <w:color w:val="auto"/>
              </w:rPr>
            </w:pPr>
          </w:p>
        </w:tc>
      </w:tr>
      <w:tr>
        <w:trPr>
          <w:trHeight w:val="211"/>
        </w:trPr>
        <w:tc>
          <w:tcPr>
            <w:tcW w:w="430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Opening Balance as of December 31, 2020</w:t>
            </w:r>
          </w:p>
        </w:tc>
        <w:tc>
          <w:tcPr>
            <w:tcW w:w="200" w:type="dxa"/>
            <w:vAlign w:val="bottom"/>
            <w:tcBorders>
              <w:top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61,801</w:t>
            </w:r>
          </w:p>
        </w:tc>
        <w:tc>
          <w:tcPr>
            <w:tcW w:w="1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jc w:val="right"/>
              <w:ind w:right="26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18,622</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FFCC"/>
          </w:tcPr>
          <w:p>
            <w:pPr>
              <w:jc w:val="right"/>
              <w:ind w:right="44"/>
              <w:spacing w:after="0"/>
              <w:rPr>
                <w:sz w:val="20"/>
                <w:szCs w:val="20"/>
                <w:color w:val="auto"/>
              </w:rPr>
            </w:pPr>
            <w:r>
              <w:rPr>
                <w:rFonts w:ascii="Arial" w:cs="Arial" w:eastAsia="Arial" w:hAnsi="Arial"/>
                <w:sz w:val="16"/>
                <w:szCs w:val="16"/>
                <w:color w:val="auto"/>
              </w:rPr>
              <w:t>41,021</w:t>
            </w: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FFCC"/>
          </w:tcPr>
          <w:p>
            <w:pPr>
              <w:jc w:val="right"/>
              <w:ind w:right="3"/>
              <w:spacing w:after="0"/>
              <w:rPr>
                <w:sz w:val="20"/>
                <w:szCs w:val="20"/>
                <w:color w:val="auto"/>
              </w:rPr>
            </w:pPr>
            <w:r>
              <w:rPr>
                <w:rFonts w:ascii="Arial" w:cs="Arial" w:eastAsia="Arial" w:hAnsi="Arial"/>
                <w:sz w:val="16"/>
                <w:szCs w:val="16"/>
                <w:color w:val="auto"/>
              </w:rPr>
              <w:t>88,848</w:t>
            </w: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(Decrease) Increase, net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6,576</w:t>
            </w:r>
          </w:p>
        </w:tc>
        <w:tc>
          <w:tcPr>
            <w:tcW w:w="12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(166)</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19,567</w:t>
            </w:r>
          </w:p>
        </w:tc>
        <w:tc>
          <w:tcPr>
            <w:tcW w:w="10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8"/>
        </w:trPr>
        <w:tc>
          <w:tcPr>
            <w:tcW w:w="4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Ending Balance as of March 31, 2021</w:t>
            </w: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68,377</w:t>
            </w:r>
          </w:p>
        </w:tc>
        <w:tc>
          <w:tcPr>
            <w:tcW w:w="1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auto"/>
            </w:tcBorders>
            <w:shd w:val="clear" w:color="auto" w:fill="CCFFCC"/>
          </w:tcPr>
          <w:p>
            <w:pPr>
              <w:jc w:val="right"/>
              <w:ind w:right="2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23,886</w:t>
            </w: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6"/>
                <w:szCs w:val="16"/>
                <w:color w:val="auto"/>
              </w:rPr>
              <w:t>40,855</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FFCC"/>
          </w:tcPr>
          <w:p>
            <w:pPr>
              <w:jc w:val="right"/>
              <w:ind w:right="3"/>
              <w:spacing w:after="0"/>
              <w:rPr>
                <w:sz w:val="20"/>
                <w:szCs w:val="20"/>
                <w:color w:val="auto"/>
              </w:rPr>
            </w:pPr>
            <w:r>
              <w:rPr>
                <w:rFonts w:ascii="Arial" w:cs="Arial" w:eastAsia="Arial" w:hAnsi="Arial"/>
                <w:sz w:val="16"/>
                <w:szCs w:val="16"/>
                <w:color w:val="auto"/>
              </w:rPr>
              <w:t>108,415</w:t>
            </w:r>
          </w:p>
        </w:tc>
        <w:tc>
          <w:tcPr>
            <w:tcW w:w="1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
        </w:trPr>
        <w:tc>
          <w:tcPr>
            <w:tcW w:w="43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CCFFCC"/>
              <w:bottom w:val="single" w:sz="8" w:color="auto"/>
            </w:tcBorders>
          </w:tcPr>
          <w:p>
            <w:pPr>
              <w:spacing w:after="0" w:line="20" w:lineRule="exact"/>
              <w:rPr>
                <w:sz w:val="1"/>
                <w:szCs w:val="1"/>
                <w:color w:val="auto"/>
              </w:rPr>
            </w:pPr>
          </w:p>
        </w:tc>
        <w:tc>
          <w:tcPr>
            <w:tcW w:w="8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12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(contract liabilities, which are included in accrued liabilities and other long-term liabilities) on the condensed consolidated balance sheet. Under the typical payment terms of the Company’s over time contracts, the customer pays the Company either performance-based payments or progress payments. Amounts billed and due from the Company’s customers are classified as receivables on the condensed consolidated balance sheet. Accounts receivable is presented net of an allowance for doubtful accounts and sales reserve of $5.4 million and $2.7 million as of March 31, 2021, respectively and $5.3 million and $3.4 million as of December 31, 2020, respectively.</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 allowance for doubtful accounts is established to recognize expected credit losses on accounts receivable balances. Judgment is required in the estimation of the allowance and the Company evaluates the collectability of its accounts receivable based on a combination of factors. If the Company becomes aware of a customer’s inability to meet its financial obligations, a specific allowance is recorded to reduce the net receivable to the amount reasonably believed to be collectible from the customer. For all other customers, the Company uses an aging schedule and recognizes allowances for doubtful accounts based on the creditworthiness of the debtor, the age and status of outstanding receivables, the current business environment and the Company’s historical collection experience adjusted for current expectations for the customer or industry. Accounts receivable are written off against the allowance for uncollectible accounts when the Company determines amounts are no longer collectible.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CDFFCC"/>
          </w:tcPr>
          <w:p>
            <w:pPr>
              <w:spacing w:after="0"/>
              <w:rPr>
                <w:sz w:val="16"/>
                <w:szCs w:val="16"/>
                <w:color w:val="auto"/>
              </w:rPr>
            </w:pPr>
          </w:p>
        </w:tc>
        <w:tc>
          <w:tcPr>
            <w:tcW w:w="3340" w:type="dxa"/>
            <w:vAlign w:val="bottom"/>
            <w:shd w:val="clear" w:color="auto" w:fill="CDFFCC"/>
          </w:tcPr>
          <w:p>
            <w:pPr>
              <w:spacing w:after="0"/>
              <w:rPr>
                <w:sz w:val="16"/>
                <w:szCs w:val="16"/>
                <w:color w:val="auto"/>
              </w:rPr>
            </w:pPr>
          </w:p>
        </w:tc>
        <w:tc>
          <w:tcPr>
            <w:tcW w:w="6040" w:type="dxa"/>
            <w:vAlign w:val="bottom"/>
            <w:shd w:val="clear" w:color="auto" w:fill="CDFFCC"/>
          </w:tcPr>
          <w:p>
            <w:pPr>
              <w:spacing w:after="0"/>
              <w:rPr>
                <w:sz w:val="16"/>
                <w:szCs w:val="16"/>
                <w:color w:val="auto"/>
              </w:rPr>
            </w:pPr>
          </w:p>
        </w:tc>
        <w:tc>
          <w:tcPr>
            <w:tcW w:w="240" w:type="dxa"/>
            <w:vAlign w:val="bottom"/>
            <w:tcBorders>
              <w:bottom w:val="single" w:sz="8" w:color="auto"/>
            </w:tcBorders>
            <w:shd w:val="clear" w:color="auto" w:fill="CDFFCC"/>
          </w:tcPr>
          <w:p>
            <w:pPr>
              <w:spacing w:after="0"/>
              <w:rPr>
                <w:sz w:val="16"/>
                <w:szCs w:val="16"/>
                <w:color w:val="auto"/>
              </w:rPr>
            </w:pPr>
          </w:p>
        </w:tc>
        <w:tc>
          <w:tcPr>
            <w:tcW w:w="1500" w:type="dxa"/>
            <w:vAlign w:val="bottom"/>
            <w:tcBorders>
              <w:bottom w:val="single" w:sz="8" w:color="auto"/>
            </w:tcBorders>
            <w:shd w:val="clear" w:color="auto" w:fill="CDFFCC"/>
          </w:tcPr>
          <w:p>
            <w:pPr>
              <w:jc w:val="right"/>
              <w:ind w:right="362"/>
              <w:spacing w:after="0"/>
              <w:rPr>
                <w:sz w:val="20"/>
                <w:szCs w:val="20"/>
                <w:color w:val="auto"/>
              </w:rPr>
            </w:pPr>
            <w:r>
              <w:rPr>
                <w:rFonts w:ascii="Arial" w:cs="Arial" w:eastAsia="Arial" w:hAnsi="Arial"/>
                <w:sz w:val="14"/>
                <w:szCs w:val="14"/>
                <w:b w:val="1"/>
                <w:bCs w:val="1"/>
                <w:color w:val="auto"/>
              </w:rPr>
              <w:t>Three Months</w:t>
            </w:r>
          </w:p>
        </w:tc>
      </w:tr>
      <w:tr>
        <w:trPr>
          <w:trHeight w:val="277"/>
        </w:trPr>
        <w:tc>
          <w:tcPr>
            <w:tcW w:w="2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6"/>
                <w:szCs w:val="16"/>
                <w:b w:val="1"/>
                <w:bCs w:val="1"/>
                <w:color w:val="auto"/>
              </w:rPr>
              <w:t>Allowance for doubtful accounts (in thousands):</w:t>
            </w:r>
          </w:p>
        </w:tc>
        <w:tc>
          <w:tcPr>
            <w:tcW w:w="240" w:type="dxa"/>
            <w:vAlign w:val="bottom"/>
          </w:tcPr>
          <w:p>
            <w:pPr>
              <w:spacing w:after="0"/>
              <w:rPr>
                <w:sz w:val="24"/>
                <w:szCs w:val="24"/>
                <w:color w:val="auto"/>
              </w:rPr>
            </w:pPr>
          </w:p>
        </w:tc>
        <w:tc>
          <w:tcPr>
            <w:tcW w:w="150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 2021</w:t>
            </w:r>
          </w:p>
        </w:tc>
      </w:tr>
      <w:tr>
        <w:trPr>
          <w:trHeight w:val="20"/>
        </w:trPr>
        <w:tc>
          <w:tcPr>
            <w:tcW w:w="20" w:type="dxa"/>
            <w:vAlign w:val="bottom"/>
            <w:tcBorders>
              <w:bottom w:val="single" w:sz="8" w:color="CDFFCC"/>
            </w:tcBorders>
          </w:tcPr>
          <w:p>
            <w:pPr>
              <w:spacing w:after="0" w:line="20" w:lineRule="exact"/>
              <w:rPr>
                <w:sz w:val="1"/>
                <w:szCs w:val="1"/>
                <w:color w:val="auto"/>
              </w:rPr>
            </w:pPr>
          </w:p>
        </w:tc>
        <w:tc>
          <w:tcPr>
            <w:tcW w:w="3340" w:type="dxa"/>
            <w:vAlign w:val="bottom"/>
            <w:tcBorders>
              <w:top w:val="single" w:sz="8" w:color="auto"/>
              <w:bottom w:val="single" w:sz="8" w:color="CDFFCC"/>
            </w:tcBorders>
          </w:tcPr>
          <w:p>
            <w:pPr>
              <w:spacing w:after="0" w:line="20" w:lineRule="exact"/>
              <w:rPr>
                <w:sz w:val="1"/>
                <w:szCs w:val="1"/>
                <w:color w:val="auto"/>
              </w:rPr>
            </w:pPr>
          </w:p>
        </w:tc>
        <w:tc>
          <w:tcPr>
            <w:tcW w:w="6040" w:type="dxa"/>
            <w:vAlign w:val="bottom"/>
            <w:tcBorders>
              <w:bottom w:val="single" w:sz="8" w:color="CD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DFFCC"/>
          </w:tcPr>
          <w:p>
            <w:pPr>
              <w:spacing w:after="0"/>
              <w:rPr>
                <w:sz w:val="18"/>
                <w:szCs w:val="18"/>
                <w:color w:val="auto"/>
              </w:rPr>
            </w:pPr>
          </w:p>
        </w:tc>
        <w:tc>
          <w:tcPr>
            <w:tcW w:w="9380" w:type="dxa"/>
            <w:vAlign w:val="bottom"/>
            <w:gridSpan w:val="2"/>
            <w:shd w:val="clear" w:color="auto" w:fill="CDFFCC"/>
          </w:tcPr>
          <w:p>
            <w:pPr>
              <w:spacing w:after="0"/>
              <w:rPr>
                <w:sz w:val="20"/>
                <w:szCs w:val="20"/>
                <w:color w:val="auto"/>
              </w:rPr>
            </w:pPr>
            <w:r>
              <w:rPr>
                <w:rFonts w:ascii="Arial" w:cs="Arial" w:eastAsia="Arial" w:hAnsi="Arial"/>
                <w:sz w:val="16"/>
                <w:szCs w:val="16"/>
                <w:color w:val="auto"/>
              </w:rPr>
              <w:t>Balance at beginning of the year</w:t>
            </w:r>
          </w:p>
        </w:tc>
        <w:tc>
          <w:tcPr>
            <w:tcW w:w="240" w:type="dxa"/>
            <w:vAlign w:val="bottom"/>
            <w:shd w:val="clear" w:color="auto" w:fill="CDFFCC"/>
          </w:tcPr>
          <w:p>
            <w:pPr>
              <w:jc w:val="right"/>
              <w:ind w:right="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DFFCC"/>
          </w:tcPr>
          <w:p>
            <w:pPr>
              <w:jc w:val="right"/>
              <w:spacing w:after="0"/>
              <w:rPr>
                <w:sz w:val="20"/>
                <w:szCs w:val="20"/>
                <w:color w:val="auto"/>
              </w:rPr>
            </w:pPr>
            <w:r>
              <w:rPr>
                <w:rFonts w:ascii="Arial" w:cs="Arial" w:eastAsia="Arial" w:hAnsi="Arial"/>
                <w:sz w:val="16"/>
                <w:szCs w:val="16"/>
                <w:color w:val="auto"/>
              </w:rPr>
              <w:t>5,344</w:t>
            </w:r>
          </w:p>
        </w:tc>
      </w:tr>
      <w:tr>
        <w:trPr>
          <w:trHeight w:val="213"/>
        </w:trPr>
        <w:tc>
          <w:tcPr>
            <w:tcW w:w="20" w:type="dxa"/>
            <w:vAlign w:val="bottom"/>
          </w:tcPr>
          <w:p>
            <w:pPr>
              <w:spacing w:after="0"/>
              <w:rPr>
                <w:sz w:val="18"/>
                <w:szCs w:val="18"/>
                <w:color w:val="auto"/>
              </w:rPr>
            </w:pP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Additions Charged to Costs and Expenses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19"/>
        </w:trPr>
        <w:tc>
          <w:tcPr>
            <w:tcW w:w="20" w:type="dxa"/>
            <w:vAlign w:val="bottom"/>
            <w:shd w:val="clear" w:color="auto" w:fill="CDFFCC"/>
          </w:tcPr>
          <w:p>
            <w:pPr>
              <w:spacing w:after="0"/>
              <w:rPr>
                <w:sz w:val="19"/>
                <w:szCs w:val="19"/>
                <w:color w:val="auto"/>
              </w:rPr>
            </w:pPr>
          </w:p>
        </w:tc>
        <w:tc>
          <w:tcPr>
            <w:tcW w:w="9380" w:type="dxa"/>
            <w:vAlign w:val="bottom"/>
            <w:gridSpan w:val="2"/>
            <w:shd w:val="clear" w:color="auto" w:fill="CDFFCC"/>
          </w:tcPr>
          <w:p>
            <w:pPr>
              <w:ind w:left="120"/>
              <w:spacing w:after="0"/>
              <w:rPr>
                <w:sz w:val="20"/>
                <w:szCs w:val="20"/>
                <w:color w:val="auto"/>
              </w:rPr>
            </w:pPr>
            <w:r>
              <w:rPr>
                <w:rFonts w:ascii="Arial" w:cs="Arial" w:eastAsia="Arial" w:hAnsi="Arial"/>
                <w:sz w:val="16"/>
                <w:szCs w:val="16"/>
                <w:color w:val="auto"/>
              </w:rPr>
              <w:t>Deductions/Write-offs</w:t>
            </w:r>
          </w:p>
        </w:tc>
        <w:tc>
          <w:tcPr>
            <w:tcW w:w="240" w:type="dxa"/>
            <w:vAlign w:val="bottom"/>
            <w:shd w:val="clear" w:color="auto" w:fill="CDFFCC"/>
          </w:tcPr>
          <w:p>
            <w:pPr>
              <w:spacing w:after="0"/>
              <w:rPr>
                <w:sz w:val="19"/>
                <w:szCs w:val="19"/>
                <w:color w:val="auto"/>
              </w:rPr>
            </w:pPr>
          </w:p>
        </w:tc>
        <w:tc>
          <w:tcPr>
            <w:tcW w:w="1500" w:type="dxa"/>
            <w:vAlign w:val="bottom"/>
            <w:shd w:val="clear" w:color="auto" w:fill="CDFFCC"/>
          </w:tcPr>
          <w:p>
            <w:pPr>
              <w:jc w:val="right"/>
              <w:spacing w:after="0"/>
              <w:rPr>
                <w:sz w:val="20"/>
                <w:szCs w:val="20"/>
                <w:color w:val="auto"/>
              </w:rPr>
            </w:pPr>
            <w:r>
              <w:rPr>
                <w:rFonts w:ascii="Arial" w:cs="Arial" w:eastAsia="Arial" w:hAnsi="Arial"/>
                <w:sz w:val="16"/>
                <w:szCs w:val="16"/>
                <w:color w:val="auto"/>
              </w:rPr>
              <w:t>(749)</w:t>
            </w:r>
          </w:p>
        </w:tc>
      </w:tr>
      <w:tr>
        <w:trPr>
          <w:trHeight w:val="210"/>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6"/>
                <w:szCs w:val="16"/>
                <w:color w:val="auto"/>
              </w:rPr>
              <w:t>Balance as of March 31, 2021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5,396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calculates earnings per share (“EPS”) in accordance with the provisions of ASC 260-10. Under the guidance, basic EPS excludes dilution for common stock equivalents and is computed by dividing net income or loss attributable to common stockholders by the weighted average number of shares of common stock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Diluted net loss per share of common stock for the three months ended March 31, 2021 does not include the effect of 6,703,307 outstanding common stock awards, as the effect of their inclusion is anti-dilutive. Diluted net loss per share of common stock for the three months ended March 31, 2020 does not include the effect of 9,128,000 outstanding common stock awards, as the effect of their inclusion is anti-dilutive.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95"/>
        </w:trPr>
        <w:tc>
          <w:tcPr>
            <w:tcW w:w="824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944"/>
              <w:spacing w:after="0"/>
              <w:rPr>
                <w:sz w:val="20"/>
                <w:szCs w:val="20"/>
                <w:color w:val="auto"/>
              </w:rPr>
            </w:pPr>
            <w:r>
              <w:rPr>
                <w:rFonts w:ascii="Arial" w:cs="Arial" w:eastAsia="Arial" w:hAnsi="Arial"/>
                <w:sz w:val="14"/>
                <w:szCs w:val="14"/>
                <w:b w:val="1"/>
                <w:bCs w:val="1"/>
                <w:color w:val="auto"/>
                <w:w w:val="99"/>
              </w:rPr>
              <w:t>March 31,</w:t>
            </w:r>
          </w:p>
        </w:tc>
        <w:tc>
          <w:tcPr>
            <w:tcW w:w="102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FFCC"/>
            </w:tcBorders>
          </w:tcPr>
          <w:p>
            <w:pPr>
              <w:spacing w:after="0"/>
              <w:rPr>
                <w:sz w:val="16"/>
                <w:szCs w:val="16"/>
                <w:color w:val="auto"/>
              </w:rPr>
            </w:pPr>
          </w:p>
        </w:tc>
        <w:tc>
          <w:tcPr>
            <w:tcW w:w="14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FFC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FFCC"/>
          </w:tcPr>
          <w:p>
            <w:pPr>
              <w:ind w:left="20"/>
              <w:spacing w:after="0"/>
              <w:rPr>
                <w:sz w:val="20"/>
                <w:szCs w:val="20"/>
                <w:color w:val="auto"/>
              </w:rPr>
            </w:pPr>
            <w:r>
              <w:rPr>
                <w:rFonts w:ascii="Arial" w:cs="Arial" w:eastAsia="Arial" w:hAnsi="Arial"/>
                <w:sz w:val="16"/>
                <w:szCs w:val="16"/>
                <w:color w:val="auto"/>
              </w:rPr>
              <w:t>Basic</w:t>
            </w:r>
          </w:p>
        </w:tc>
        <w:tc>
          <w:tcPr>
            <w:tcW w:w="144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67,901,809</w:t>
            </w: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64,388,850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Effect of assumed exercised options</w:t>
            </w:r>
          </w:p>
        </w:tc>
        <w:tc>
          <w:tcPr>
            <w:tcW w:w="198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82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Diluted</w:t>
            </w:r>
          </w:p>
        </w:tc>
        <w:tc>
          <w:tcPr>
            <w:tcW w:w="1440" w:type="dxa"/>
            <w:vAlign w:val="bottom"/>
            <w:tcBorders>
              <w:top w:val="single" w:sz="8" w:color="auto"/>
              <w:bottom w:val="single" w:sz="8" w:color="auto"/>
            </w:tcBorders>
            <w:shd w:val="clear" w:color="auto" w:fill="CCFFCC"/>
          </w:tcPr>
          <w:p>
            <w:pPr>
              <w:jc w:val="right"/>
              <w:ind w:right="4"/>
              <w:spacing w:after="0"/>
              <w:rPr>
                <w:sz w:val="20"/>
                <w:szCs w:val="20"/>
                <w:color w:val="auto"/>
              </w:rPr>
            </w:pPr>
            <w:r>
              <w:rPr>
                <w:rFonts w:ascii="Arial" w:cs="Arial" w:eastAsia="Arial" w:hAnsi="Arial"/>
                <w:sz w:val="16"/>
                <w:szCs w:val="16"/>
                <w:color w:val="auto"/>
              </w:rPr>
              <w:t>67,901,809</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420" w:type="dxa"/>
            <w:vAlign w:val="bottom"/>
            <w:tcBorders>
              <w:top w:val="single" w:sz="8" w:color="auto"/>
              <w:bottom w:val="single" w:sz="8" w:color="auto"/>
            </w:tcBorders>
            <w:shd w:val="clear" w:color="auto" w:fill="CCFFCC"/>
          </w:tcPr>
          <w:p>
            <w:pPr>
              <w:spacing w:after="0"/>
              <w:rPr>
                <w:sz w:val="20"/>
                <w:szCs w:val="20"/>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64,388,850</w:t>
            </w:r>
          </w:p>
        </w:tc>
      </w:tr>
      <w:tr>
        <w:trPr>
          <w:trHeight w:val="20"/>
        </w:trPr>
        <w:tc>
          <w:tcPr>
            <w:tcW w:w="8240" w:type="dxa"/>
            <w:vAlign w:val="bottom"/>
            <w:tcBorders>
              <w:top w:val="single" w:sz="8" w:color="CCFFCC"/>
            </w:tcBorders>
          </w:tcPr>
          <w:p>
            <w:pPr>
              <w:spacing w:after="0" w:line="20" w:lineRule="exact"/>
              <w:rPr>
                <w:sz w:val="1"/>
                <w:szCs w:val="1"/>
                <w:color w:val="auto"/>
              </w:rPr>
            </w:pPr>
          </w:p>
        </w:tc>
        <w:tc>
          <w:tcPr>
            <w:tcW w:w="14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CCFFCC"/>
              <w:bottom w:val="single" w:sz="8" w:color="auto"/>
            </w:tcBorders>
          </w:tcPr>
          <w:p>
            <w:pPr>
              <w:spacing w:after="0" w:line="20" w:lineRule="exact"/>
              <w:rPr>
                <w:sz w:val="1"/>
                <w:szCs w:val="1"/>
                <w:color w:val="auto"/>
              </w:rPr>
            </w:pPr>
          </w:p>
        </w:tc>
        <w:tc>
          <w:tcPr>
            <w:tcW w:w="102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December 2020, the Company issued $517.5 million aggregate principal amount of 0% Convertible Senior Notes due 2026 (“2026 Notes”) in a private placement, which amount includes $67.5 million aggregate principal amount of the 2026 Notes issued pursuant to the exercise in full by the initial purchasers of their option to purchase additional 2026 Notes. Upon conversion, the Company will pay or deliver, as the case may be, cash, shares of its common stock or a combination of cash and shares of its common stock, at the Company’s election. It is the Company’s current intent to settle the principal amount of its outstanding 2026 Notes upon conversion in cash and any excess over the principal amount in shares of the Company’s common stock. The Company uses the treasury stock method for calculating any potential dilutive effect of the conversion spread on diluted net income per share, if applicable. The conversion spread will have a dilutive impact on diluted net income per share of common stock when the average market price of the Company’s common stock for a given period exceeds the initial conversion price of $75.23 per share. The conversion rate is subject to adjustment upon the occurrence of certain specified events but will not be adjusted for any accrued and unpaid special interest. 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Notes that LivePerson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w:t>
      </w:r>
    </w:p>
    <w:p>
      <w:pPr>
        <w:spacing w:after="0" w:line="18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March 2019, the Company issued $230.0 million aggregate principal amount of 0.750% Convertible Senior Notes due 2024 (“2024 Notes” and, together with the 2026 Notes, the “Notes”) in a private placement, which amount includes $30.0 million aggregate principal amount of the 2024 Notes issued pursuant to the exercise in full by the initial purchasers of their option to purchase additional 2024 Notes. Upon conversion, the Company will pay or deliver, as the case may be, cash, shares of its common stock or a combination of cash and shares of its common stock, at the Company’s election. It is the Company’s current intent to settle the principal amount of its outstanding 2024 Notes in cash and any excess over the principal amount in shares of the Company’s common stock. The Company uses the treasury stock method for calculating any potential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dilutive effect of the conversion spread on diluted net income per share, if applicable. The conversion spread will have a dilutive impact on diluted net income per share of common stock when the average market price of the Company’s common stock for a given period exceeds the initial conversion price of 130% of $38.58 per share for the 2024 Notes. The conversion rate is subject to adjustment upon the occurrence of certain specified events but will not be adjusted for any accrued and unpaid interest. Holders of the 2024 Notes may convert their 2024 Notes at their option at any time prior to the close of business on the business day immediately preceding November 1, 2023, in multiples of $1,000 principal amount, only under the following circumstances:</w:t>
      </w:r>
    </w:p>
    <w:p>
      <w:pPr>
        <w:spacing w:after="0" w:line="2" w:lineRule="exact"/>
        <w:rPr>
          <w:sz w:val="20"/>
          <w:szCs w:val="20"/>
          <w:color w:val="auto"/>
        </w:rPr>
      </w:pPr>
    </w:p>
    <w:p>
      <w:pPr>
        <w:jc w:val="both"/>
        <w:ind w:firstLine="8"/>
        <w:spacing w:after="0" w:line="268" w:lineRule="auto"/>
        <w:tabs>
          <w:tab w:leader="none" w:pos="258"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for a full description of the Notes.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Critical Accounting Policies and Estimates.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2021, based on the Company’s internal financial reporting system utilized by the Company’s chief operating decision maker, follows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Business</w:t>
            </w: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Arial" w:cs="Arial" w:eastAsia="Arial" w:hAnsi="Arial"/>
                <w:sz w:val="14"/>
                <w:szCs w:val="14"/>
                <w:b w:val="1"/>
                <w:bCs w:val="1"/>
                <w:color w:val="auto"/>
                <w:w w:val="94"/>
              </w:rPr>
              <w:t>Consolidated</w:t>
            </w:r>
          </w:p>
        </w:tc>
      </w:tr>
      <w:tr>
        <w:trPr>
          <w:trHeight w:val="202"/>
        </w:trPr>
        <w:tc>
          <w:tcPr>
            <w:tcW w:w="614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040" w:type="dxa"/>
            <w:vAlign w:val="bottom"/>
            <w:tcBorders>
              <w:top w:val="single" w:sz="8" w:color="auto"/>
            </w:tcBorders>
            <w:shd w:val="clear" w:color="auto" w:fill="CCFFCC"/>
          </w:tcPr>
          <w:p>
            <w:pPr>
              <w:spacing w:after="0"/>
              <w:rPr>
                <w:sz w:val="17"/>
                <w:szCs w:val="17"/>
                <w:color w:val="auto"/>
              </w:rPr>
            </w:pPr>
          </w:p>
        </w:tc>
      </w:tr>
      <w:tr>
        <w:trPr>
          <w:trHeight w:val="213"/>
        </w:trPr>
        <w:tc>
          <w:tcPr>
            <w:tcW w:w="614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83,640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83,640</w:t>
            </w:r>
          </w:p>
        </w:tc>
      </w:tr>
      <w:tr>
        <w:trPr>
          <w:trHeight w:val="219"/>
        </w:trPr>
        <w:tc>
          <w:tcPr>
            <w:tcW w:w="6140" w:type="dxa"/>
            <w:vAlign w:val="bottom"/>
            <w:shd w:val="clear" w:color="auto" w:fill="CCFFCC"/>
          </w:tcPr>
          <w:p>
            <w:pPr>
              <w:ind w:left="140"/>
              <w:spacing w:after="0"/>
              <w:rPr>
                <w:sz w:val="20"/>
                <w:szCs w:val="20"/>
                <w:color w:val="auto"/>
              </w:rPr>
            </w:pPr>
            <w:r>
              <w:rPr>
                <w:rFonts w:ascii="Arial" w:cs="Arial" w:eastAsia="Arial" w:hAnsi="Arial"/>
                <w:sz w:val="16"/>
                <w:szCs w:val="16"/>
                <w:color w:val="auto"/>
              </w:rPr>
              <w:t>Hosted services – Consumer</w:t>
            </w:r>
          </w:p>
        </w:tc>
        <w:tc>
          <w:tcPr>
            <w:tcW w:w="2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9,011</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9,011</w:t>
            </w:r>
          </w:p>
        </w:tc>
      </w:tr>
      <w:tr>
        <w:trPr>
          <w:trHeight w:val="213"/>
        </w:trPr>
        <w:tc>
          <w:tcPr>
            <w:tcW w:w="614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Professional services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15,240</w:t>
            </w:r>
          </w:p>
        </w:tc>
        <w:tc>
          <w:tcPr>
            <w:tcW w:w="1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15,240</w:t>
            </w:r>
          </w:p>
        </w:tc>
      </w:tr>
      <w:tr>
        <w:trPr>
          <w:trHeight w:val="213"/>
        </w:trPr>
        <w:tc>
          <w:tcPr>
            <w:tcW w:w="6140" w:type="dxa"/>
            <w:vAlign w:val="bottom"/>
            <w:shd w:val="clear" w:color="auto" w:fill="CCFFCC"/>
          </w:tcPr>
          <w:p>
            <w:pPr>
              <w:ind w:left="2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98,880</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9,011</w:t>
            </w:r>
          </w:p>
        </w:tc>
        <w:tc>
          <w:tcPr>
            <w:tcW w:w="10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107,891</w:t>
            </w:r>
          </w:p>
        </w:tc>
      </w:tr>
      <w:tr>
        <w:trPr>
          <w:trHeight w:val="206"/>
        </w:trPr>
        <w:tc>
          <w:tcPr>
            <w:tcW w:w="61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33,519</w:t>
            </w:r>
          </w:p>
        </w:tc>
      </w:tr>
      <w:tr>
        <w:trPr>
          <w:trHeight w:val="219"/>
        </w:trPr>
        <w:tc>
          <w:tcPr>
            <w:tcW w:w="6140" w:type="dxa"/>
            <w:vAlign w:val="bottom"/>
            <w:shd w:val="clear" w:color="auto" w:fill="CCFFCC"/>
          </w:tcPr>
          <w:p>
            <w:pPr>
              <w:ind w:left="2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30,203</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6,750</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36,953</w:t>
            </w: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6"/>
        </w:trPr>
        <w:tc>
          <w:tcPr>
            <w:tcW w:w="6140" w:type="dxa"/>
            <w:vAlign w:val="bottom"/>
            <w:shd w:val="clear" w:color="auto" w:fill="CCFFCC"/>
          </w:tcPr>
          <w:p>
            <w:pPr>
              <w:ind w:left="20"/>
              <w:spacing w:after="0"/>
              <w:rPr>
                <w:sz w:val="20"/>
                <w:szCs w:val="20"/>
                <w:color w:val="auto"/>
              </w:rPr>
            </w:pPr>
            <w:r>
              <w:rPr>
                <w:rFonts w:ascii="Arial" w:cs="Arial" w:eastAsia="Arial" w:hAnsi="Arial"/>
                <w:sz w:val="16"/>
                <w:szCs w:val="16"/>
                <w:color w:val="auto"/>
              </w:rPr>
              <w:t>Unallocated corporate expenses</w:t>
            </w: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50,672</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50,672</w:t>
            </w:r>
          </w:p>
        </w:tc>
      </w:tr>
      <w:tr>
        <w:trPr>
          <w:trHeight w:val="213"/>
        </w:trPr>
        <w:tc>
          <w:tcPr>
            <w:tcW w:w="614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36,692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(50,672)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(13,629)</w:t>
            </w:r>
          </w:p>
        </w:tc>
      </w:tr>
      <w:tr>
        <w:trPr>
          <w:trHeight w:val="20"/>
        </w:trPr>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2020, based on the Company’s internal financial reporting system utilized by the Company’s chief operating decision maker, follows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1040" w:type="dxa"/>
            <w:vAlign w:val="bottom"/>
          </w:tcPr>
          <w:p>
            <w:pPr>
              <w:jc w:val="right"/>
              <w:ind w:right="120"/>
              <w:spacing w:after="0"/>
              <w:rPr>
                <w:sz w:val="20"/>
                <w:szCs w:val="20"/>
                <w:color w:val="auto"/>
              </w:rPr>
            </w:pPr>
            <w:r>
              <w:rPr>
                <w:rFonts w:ascii="Arial" w:cs="Arial" w:eastAsia="Arial" w:hAnsi="Arial"/>
                <w:sz w:val="14"/>
                <w:szCs w:val="14"/>
                <w:b w:val="1"/>
                <w:bCs w:val="1"/>
                <w:color w:val="auto"/>
                <w:w w:val="92"/>
              </w:rPr>
              <w:t>Consolidated</w:t>
            </w:r>
          </w:p>
        </w:tc>
      </w:tr>
      <w:tr>
        <w:trPr>
          <w:trHeight w:val="202"/>
        </w:trPr>
        <w:tc>
          <w:tcPr>
            <w:tcW w:w="612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040" w:type="dxa"/>
            <w:vAlign w:val="bottom"/>
            <w:tcBorders>
              <w:top w:val="single" w:sz="8" w:color="auto"/>
            </w:tcBorders>
            <w:shd w:val="clear" w:color="auto" w:fill="CCFFCC"/>
          </w:tcPr>
          <w:p>
            <w:pPr>
              <w:spacing w:after="0"/>
              <w:rPr>
                <w:sz w:val="17"/>
                <w:szCs w:val="17"/>
                <w:color w:val="auto"/>
              </w:rPr>
            </w:pPr>
          </w:p>
        </w:tc>
      </w:tr>
      <w:tr>
        <w:trPr>
          <w:trHeight w:val="213"/>
        </w:trPr>
        <w:tc>
          <w:tcPr>
            <w:tcW w:w="612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61,051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61,051</w:t>
            </w:r>
          </w:p>
        </w:tc>
      </w:tr>
      <w:tr>
        <w:trPr>
          <w:trHeight w:val="219"/>
        </w:trPr>
        <w:tc>
          <w:tcPr>
            <w:tcW w:w="6120" w:type="dxa"/>
            <w:vAlign w:val="bottom"/>
            <w:shd w:val="clear" w:color="auto" w:fill="CCFFCC"/>
          </w:tcPr>
          <w:p>
            <w:pPr>
              <w:ind w:left="140"/>
              <w:spacing w:after="0"/>
              <w:rPr>
                <w:sz w:val="20"/>
                <w:szCs w:val="20"/>
                <w:color w:val="auto"/>
              </w:rPr>
            </w:pPr>
            <w:r>
              <w:rPr>
                <w:rFonts w:ascii="Arial" w:cs="Arial" w:eastAsia="Arial" w:hAnsi="Arial"/>
                <w:sz w:val="16"/>
                <w:szCs w:val="16"/>
                <w:color w:val="auto"/>
              </w:rPr>
              <w:t>Hosted services – Consumer</w:t>
            </w:r>
          </w:p>
        </w:tc>
        <w:tc>
          <w:tcPr>
            <w:tcW w:w="2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6,240</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6,240</w:t>
            </w:r>
          </w:p>
        </w:tc>
      </w:tr>
      <w:tr>
        <w:trPr>
          <w:trHeight w:val="213"/>
        </w:trPr>
        <w:tc>
          <w:tcPr>
            <w:tcW w:w="612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Professional services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10,797</w:t>
            </w:r>
          </w:p>
        </w:tc>
        <w:tc>
          <w:tcPr>
            <w:tcW w:w="10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10,797</w:t>
            </w:r>
          </w:p>
        </w:tc>
      </w:tr>
      <w:tr>
        <w:trPr>
          <w:trHeight w:val="213"/>
        </w:trPr>
        <w:tc>
          <w:tcPr>
            <w:tcW w:w="61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71,848</w:t>
            </w:r>
          </w:p>
        </w:tc>
        <w:tc>
          <w:tcPr>
            <w:tcW w:w="10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6,240</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78,088</w:t>
            </w:r>
          </w:p>
        </w:tc>
      </w:tr>
      <w:tr>
        <w:trPr>
          <w:trHeight w:val="206"/>
        </w:trPr>
        <w:tc>
          <w:tcPr>
            <w:tcW w:w="61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21,345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22,820</w:t>
            </w:r>
          </w:p>
        </w:tc>
      </w:tr>
      <w:tr>
        <w:trPr>
          <w:trHeight w:val="219"/>
        </w:trPr>
        <w:tc>
          <w:tcPr>
            <w:tcW w:w="6120" w:type="dxa"/>
            <w:vAlign w:val="bottom"/>
            <w:shd w:val="clear" w:color="auto" w:fill="CCFFCC"/>
          </w:tcPr>
          <w:p>
            <w:pPr>
              <w:ind w:left="2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37,469</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5,211</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42,680</w:t>
            </w: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16"/>
        </w:trPr>
        <w:tc>
          <w:tcPr>
            <w:tcW w:w="6120" w:type="dxa"/>
            <w:vAlign w:val="bottom"/>
            <w:shd w:val="clear" w:color="auto" w:fill="CCFFCC"/>
          </w:tcPr>
          <w:p>
            <w:pPr>
              <w:ind w:left="20"/>
              <w:spacing w:after="0"/>
              <w:rPr>
                <w:sz w:val="20"/>
                <w:szCs w:val="20"/>
                <w:color w:val="auto"/>
              </w:rPr>
            </w:pPr>
            <w:r>
              <w:rPr>
                <w:rFonts w:ascii="Arial" w:cs="Arial" w:eastAsia="Arial" w:hAnsi="Arial"/>
                <w:sz w:val="16"/>
                <w:szCs w:val="16"/>
                <w:color w:val="auto"/>
              </w:rPr>
              <w:t>Unallocated corporate expenses</w:t>
            </w: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45,375</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45,375</w:t>
            </w:r>
          </w:p>
        </w:tc>
      </w:tr>
      <w:tr>
        <w:trPr>
          <w:trHeight w:val="213"/>
        </w:trPr>
        <w:tc>
          <w:tcPr>
            <w:tcW w:w="612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12,629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(45,375)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(33,192)</w:t>
            </w:r>
          </w:p>
        </w:tc>
      </w:tr>
      <w:tr>
        <w:trPr>
          <w:trHeight w:val="21"/>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domiciled in the United States and has international operations around the globe. The following table presents the Company’s long-lived assets by geographic region as of the dates presented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2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828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6"/>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207,165</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202,275</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Israel</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16,657</w:t>
            </w:r>
          </w:p>
        </w:tc>
      </w:tr>
      <w:tr>
        <w:trPr>
          <w:trHeight w:val="219"/>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Australia</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13,494</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13,792</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Netherlands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8,301</w:t>
            </w:r>
          </w:p>
        </w:tc>
      </w:tr>
      <w:tr>
        <w:trPr>
          <w:trHeight w:val="219"/>
        </w:trPr>
        <w:tc>
          <w:tcPr>
            <w:tcW w:w="8280" w:type="dxa"/>
            <w:vAlign w:val="bottom"/>
            <w:shd w:val="clear" w:color="auto" w:fill="CCFFCC"/>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16,791</w:t>
            </w:r>
          </w:p>
        </w:tc>
        <w:tc>
          <w:tcPr>
            <w:tcW w:w="12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16,596</w:t>
            </w:r>
          </w:p>
        </w:tc>
      </w:tr>
      <w:tr>
        <w:trPr>
          <w:trHeight w:val="210"/>
        </w:trPr>
        <w:tc>
          <w:tcPr>
            <w:tcW w:w="8280" w:type="dxa"/>
            <w:vAlign w:val="bottom"/>
          </w:tcPr>
          <w:p>
            <w:pPr>
              <w:ind w:left="220"/>
              <w:spacing w:after="0"/>
              <w:rPr>
                <w:sz w:val="20"/>
                <w:szCs w:val="20"/>
                <w:color w:val="auto"/>
              </w:rPr>
            </w:pPr>
            <w:r>
              <w:rPr>
                <w:rFonts w:ascii="Arial" w:cs="Arial" w:eastAsia="Arial" w:hAnsi="Arial"/>
                <w:sz w:val="16"/>
                <w:szCs w:val="16"/>
                <w:color w:val="auto"/>
              </w:rPr>
              <w:t>Total long-lived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264,084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257,621</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United Kingdom, Germany, Japan, France, and Italy</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for the three months ended March 31, 2021 are as follows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200" w:type="dxa"/>
            <w:vAlign w:val="bottom"/>
          </w:tcPr>
          <w:p>
            <w:pPr>
              <w:jc w:val="right"/>
              <w:ind w:right="221"/>
              <w:spacing w:after="0"/>
              <w:rPr>
                <w:sz w:val="20"/>
                <w:szCs w:val="20"/>
                <w:color w:val="auto"/>
              </w:rPr>
            </w:pPr>
            <w:r>
              <w:rPr>
                <w:rFonts w:ascii="Arial" w:cs="Arial" w:eastAsia="Arial" w:hAnsi="Arial"/>
                <w:sz w:val="14"/>
                <w:szCs w:val="14"/>
                <w:b w:val="1"/>
                <w:bCs w:val="1"/>
                <w:color w:val="auto"/>
                <w:w w:val="99"/>
              </w:rPr>
              <w:t>Consolidated</w:t>
            </w:r>
          </w:p>
        </w:tc>
      </w:tr>
      <w:tr>
        <w:trPr>
          <w:trHeight w:val="216"/>
        </w:trPr>
        <w:tc>
          <w:tcPr>
            <w:tcW w:w="676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as of December 31, 2020</w:t>
            </w:r>
          </w:p>
        </w:tc>
        <w:tc>
          <w:tcPr>
            <w:tcW w:w="260" w:type="dxa"/>
            <w:vAlign w:val="bottom"/>
            <w:tcBorders>
              <w:top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87,168</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95,192</w:t>
            </w:r>
          </w:p>
        </w:tc>
      </w:tr>
      <w:tr>
        <w:trPr>
          <w:trHeight w:val="213"/>
        </w:trPr>
        <w:tc>
          <w:tcPr>
            <w:tcW w:w="6760" w:type="dxa"/>
            <w:vAlign w:val="bottom"/>
          </w:tcPr>
          <w:p>
            <w:pPr>
              <w:ind w:left="140"/>
              <w:spacing w:after="0"/>
              <w:rPr>
                <w:sz w:val="20"/>
                <w:szCs w:val="20"/>
                <w:color w:val="auto"/>
              </w:rPr>
            </w:pPr>
            <w:r>
              <w:rPr>
                <w:rFonts w:ascii="Arial" w:cs="Arial" w:eastAsia="Arial" w:hAnsi="Arial"/>
                <w:sz w:val="16"/>
                <w:szCs w:val="16"/>
                <w:color w:val="auto"/>
              </w:rPr>
              <w:t>Adjustments to goodwill:</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760" w:type="dxa"/>
            <w:vAlign w:val="bottom"/>
            <w:shd w:val="clear" w:color="auto" w:fill="CCFFCC"/>
          </w:tcPr>
          <w:p>
            <w:pPr>
              <w:ind w:left="220"/>
              <w:spacing w:after="0"/>
              <w:rPr>
                <w:sz w:val="20"/>
                <w:szCs w:val="20"/>
                <w:color w:val="auto"/>
              </w:rPr>
            </w:pPr>
            <w:r>
              <w:rPr>
                <w:rFonts w:ascii="Arial" w:cs="Arial" w:eastAsia="Arial" w:hAnsi="Arial"/>
                <w:sz w:val="16"/>
                <w:szCs w:val="16"/>
                <w:color w:val="auto"/>
              </w:rPr>
              <w:t>Foreign exchange adjustment</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Balance as of March 31, 2021</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87,063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95,087</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are summarized as follows (amounts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As of March 31, 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right"/>
              <w:ind w:right="44"/>
              <w:spacing w:after="0" w:line="135"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6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1220" w:type="dxa"/>
            <w:vAlign w:val="bottom"/>
            <w:gridSpan w:val="3"/>
          </w:tcPr>
          <w:p>
            <w:pPr>
              <w:ind w:left="340"/>
              <w:spacing w:after="0" w:line="135"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60" w:type="dxa"/>
            <w:vAlign w:val="bottom"/>
            <w:gridSpan w:val="7"/>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12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8"/>
          </w:tcPr>
          <w:p>
            <w:pPr>
              <w:ind w:left="340"/>
              <w:spacing w:after="0"/>
              <w:rPr>
                <w:sz w:val="20"/>
                <w:szCs w:val="20"/>
                <w:color w:val="auto"/>
              </w:rPr>
            </w:pPr>
            <w:r>
              <w:rPr>
                <w:rFonts w:ascii="Arial" w:cs="Arial" w:eastAsia="Arial" w:hAnsi="Arial"/>
                <w:sz w:val="14"/>
                <w:szCs w:val="14"/>
                <w:b w:val="1"/>
                <w:bCs w:val="1"/>
                <w:color w:val="auto"/>
              </w:rPr>
              <w:t>Amortization</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7"/>
        </w:trPr>
        <w:tc>
          <w:tcPr>
            <w:tcW w:w="5700" w:type="dxa"/>
            <w:vAlign w:val="bottom"/>
            <w:tcBorders>
              <w:top w:val="single" w:sz="8" w:color="CCFFCC"/>
            </w:tcBorders>
            <w:shd w:val="clear" w:color="auto" w:fill="CCFFCC"/>
          </w:tcPr>
          <w:p>
            <w:pPr>
              <w:ind w:left="360"/>
              <w:spacing w:after="0"/>
              <w:rPr>
                <w:sz w:val="20"/>
                <w:szCs w:val="20"/>
                <w:color w:val="auto"/>
              </w:rPr>
            </w:pPr>
            <w:r>
              <w:rPr>
                <w:rFonts w:ascii="Arial" w:cs="Arial" w:eastAsia="Arial" w:hAnsi="Arial"/>
                <w:sz w:val="16"/>
                <w:szCs w:val="16"/>
                <w:color w:val="auto"/>
              </w:rPr>
              <w:t>Amortizing intangible assets:</w:t>
            </w:r>
          </w:p>
        </w:tc>
        <w:tc>
          <w:tcPr>
            <w:tcW w:w="520" w:type="dxa"/>
            <w:vAlign w:val="bottom"/>
            <w:tcBorders>
              <w:top w:val="single" w:sz="8" w:color="auto"/>
            </w:tcBorders>
            <w:shd w:val="clear" w:color="auto" w:fill="CCFFCC"/>
          </w:tcPr>
          <w:p>
            <w:pPr>
              <w:spacing w:after="0"/>
              <w:rPr>
                <w:sz w:val="17"/>
                <w:szCs w:val="17"/>
                <w:color w:val="auto"/>
              </w:rPr>
            </w:pPr>
          </w:p>
        </w:tc>
        <w:tc>
          <w:tcPr>
            <w:tcW w:w="460" w:type="dxa"/>
            <w:vAlign w:val="bottom"/>
            <w:tcBorders>
              <w:top w:val="single" w:sz="8" w:color="auto"/>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480" w:type="dxa"/>
            <w:vAlign w:val="bottom"/>
            <w:tcBorders>
              <w:top w:val="single" w:sz="8" w:color="auto"/>
            </w:tcBorders>
            <w:shd w:val="clear" w:color="auto" w:fill="CCFFCC"/>
          </w:tcPr>
          <w:p>
            <w:pPr>
              <w:spacing w:after="0"/>
              <w:rPr>
                <w:sz w:val="17"/>
                <w:szCs w:val="17"/>
                <w:color w:val="auto"/>
              </w:rPr>
            </w:pPr>
          </w:p>
        </w:tc>
        <w:tc>
          <w:tcPr>
            <w:tcW w:w="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72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auto"/>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480"/>
              <w:spacing w:after="0"/>
              <w:rPr>
                <w:sz w:val="20"/>
                <w:szCs w:val="20"/>
                <w:color w:val="auto"/>
              </w:rPr>
            </w:pPr>
            <w:r>
              <w:rPr>
                <w:rFonts w:ascii="Arial" w:cs="Arial" w:eastAsia="Arial" w:hAnsi="Arial"/>
                <w:sz w:val="16"/>
                <w:szCs w:val="16"/>
                <w:color w:val="auto"/>
              </w:rPr>
              <w:t>Technology</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30,460</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(27,183)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219"/>
        </w:trPr>
        <w:tc>
          <w:tcPr>
            <w:tcW w:w="5700" w:type="dxa"/>
            <w:vAlign w:val="bottom"/>
            <w:shd w:val="clear" w:color="auto" w:fill="CCFFCC"/>
          </w:tcPr>
          <w:p>
            <w:pPr>
              <w:ind w:left="480"/>
              <w:spacing w:after="0"/>
              <w:rPr>
                <w:sz w:val="20"/>
                <w:szCs w:val="20"/>
                <w:color w:val="auto"/>
              </w:rPr>
            </w:pPr>
            <w:r>
              <w:rPr>
                <w:rFonts w:ascii="Arial" w:cs="Arial" w:eastAsia="Arial" w:hAnsi="Arial"/>
                <w:sz w:val="16"/>
                <w:szCs w:val="16"/>
                <w:color w:val="auto"/>
              </w:rPr>
              <w:t>Customer relationships</w:t>
            </w:r>
          </w:p>
        </w:tc>
        <w:tc>
          <w:tcPr>
            <w:tcW w:w="520" w:type="dxa"/>
            <w:vAlign w:val="bottom"/>
            <w:shd w:val="clear" w:color="auto" w:fill="CCFFCC"/>
          </w:tcPr>
          <w:p>
            <w:pPr>
              <w:spacing w:after="0"/>
              <w:rPr>
                <w:sz w:val="19"/>
                <w:szCs w:val="19"/>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16,974</w:t>
            </w:r>
          </w:p>
        </w:tc>
        <w:tc>
          <w:tcPr>
            <w:tcW w:w="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(14,186)</w:t>
            </w:r>
          </w:p>
        </w:tc>
        <w:tc>
          <w:tcPr>
            <w:tcW w:w="1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2,788</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8.4 years</w:t>
            </w:r>
          </w:p>
        </w:tc>
        <w:tc>
          <w:tcPr>
            <w:tcW w:w="0" w:type="dxa"/>
            <w:vAlign w:val="bottom"/>
          </w:tcPr>
          <w:p>
            <w:pPr>
              <w:spacing w:after="0"/>
              <w:rPr>
                <w:sz w:val="1"/>
                <w:szCs w:val="1"/>
                <w:color w:val="auto"/>
              </w:rPr>
            </w:pPr>
          </w:p>
        </w:tc>
      </w:tr>
      <w:tr>
        <w:trPr>
          <w:trHeight w:val="213"/>
        </w:trPr>
        <w:tc>
          <w:tcPr>
            <w:tcW w:w="5700" w:type="dxa"/>
            <w:vAlign w:val="bottom"/>
          </w:tcPr>
          <w:p>
            <w:pPr>
              <w:ind w:left="480"/>
              <w:spacing w:after="0"/>
              <w:rPr>
                <w:sz w:val="20"/>
                <w:szCs w:val="20"/>
                <w:color w:val="auto"/>
              </w:rPr>
            </w:pPr>
            <w:r>
              <w:rPr>
                <w:rFonts w:ascii="Arial" w:cs="Arial" w:eastAsia="Arial" w:hAnsi="Arial"/>
                <w:sz w:val="16"/>
                <w:szCs w:val="16"/>
                <w:color w:val="auto"/>
              </w:rPr>
              <w:t>Patents</w:t>
            </w:r>
          </w:p>
        </w:tc>
        <w:tc>
          <w:tcPr>
            <w:tcW w:w="5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5,876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 years</w:t>
            </w:r>
          </w:p>
        </w:tc>
        <w:tc>
          <w:tcPr>
            <w:tcW w:w="0" w:type="dxa"/>
            <w:vAlign w:val="bottom"/>
          </w:tcPr>
          <w:p>
            <w:pPr>
              <w:spacing w:after="0"/>
              <w:rPr>
                <w:sz w:val="1"/>
                <w:szCs w:val="1"/>
                <w:color w:val="auto"/>
              </w:rPr>
            </w:pPr>
          </w:p>
        </w:tc>
      </w:tr>
      <w:tr>
        <w:trPr>
          <w:trHeight w:val="216"/>
        </w:trPr>
        <w:tc>
          <w:tcPr>
            <w:tcW w:w="5700" w:type="dxa"/>
            <w:vAlign w:val="bottom"/>
            <w:shd w:val="clear" w:color="auto" w:fill="CCFFCC"/>
          </w:tcPr>
          <w:p>
            <w:pPr>
              <w:ind w:left="48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6"/>
                <w:szCs w:val="16"/>
                <w:color w:val="auto"/>
              </w:rPr>
              <w:t>314</w:t>
            </w:r>
          </w:p>
        </w:tc>
        <w:tc>
          <w:tcPr>
            <w:tcW w:w="40" w:type="dxa"/>
            <w:vAlign w:val="bottom"/>
            <w:tcBorders>
              <w:bottom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79</w:t>
            </w:r>
          </w:p>
        </w:tc>
        <w:tc>
          <w:tcPr>
            <w:tcW w:w="20" w:type="dxa"/>
            <w:vAlign w:val="bottom"/>
            <w:tcBorders>
              <w:bottom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 years</w:t>
            </w:r>
          </w:p>
        </w:tc>
        <w:tc>
          <w:tcPr>
            <w:tcW w:w="0" w:type="dxa"/>
            <w:vAlign w:val="bottom"/>
          </w:tcPr>
          <w:p>
            <w:pPr>
              <w:spacing w:after="0"/>
              <w:rPr>
                <w:sz w:val="1"/>
                <w:szCs w:val="1"/>
                <w:color w:val="auto"/>
              </w:rPr>
            </w:pPr>
          </w:p>
        </w:tc>
      </w:tr>
      <w:tr>
        <w:trPr>
          <w:trHeight w:val="213"/>
        </w:trPr>
        <w:tc>
          <w:tcPr>
            <w:tcW w:w="5700" w:type="dxa"/>
            <w:vAlign w:val="bottom"/>
          </w:tcPr>
          <w:p>
            <w:pPr>
              <w:ind w:left="56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53,624</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5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As of December 31, 2020</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3"/>
            <w:vMerge w:val="restart"/>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7"/>
        </w:trPr>
        <w:tc>
          <w:tcPr>
            <w:tcW w:w="570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Amortizing intangible assets:</w:t>
            </w:r>
          </w:p>
        </w:tc>
        <w:tc>
          <w:tcPr>
            <w:tcW w:w="520" w:type="dxa"/>
            <w:vAlign w:val="bottom"/>
            <w:tcBorders>
              <w:top w:val="single" w:sz="8" w:color="CCFFCC"/>
            </w:tcBorders>
            <w:shd w:val="clear" w:color="auto" w:fill="CCFFCC"/>
          </w:tcPr>
          <w:p>
            <w:pPr>
              <w:spacing w:after="0"/>
              <w:rPr>
                <w:sz w:val="17"/>
                <w:szCs w:val="17"/>
                <w:color w:val="auto"/>
              </w:rPr>
            </w:pPr>
          </w:p>
        </w:tc>
        <w:tc>
          <w:tcPr>
            <w:tcW w:w="46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480" w:type="dxa"/>
            <w:vAlign w:val="bottom"/>
            <w:tcBorders>
              <w:top w:val="single" w:sz="8" w:color="auto"/>
            </w:tcBorders>
            <w:shd w:val="clear" w:color="auto" w:fill="CCFFCC"/>
          </w:tcPr>
          <w:p>
            <w:pPr>
              <w:spacing w:after="0"/>
              <w:rPr>
                <w:sz w:val="17"/>
                <w:szCs w:val="17"/>
                <w:color w:val="auto"/>
              </w:rPr>
            </w:pPr>
          </w:p>
        </w:tc>
        <w:tc>
          <w:tcPr>
            <w:tcW w:w="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72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4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520" w:type="dxa"/>
            <w:vAlign w:val="bottom"/>
          </w:tcPr>
          <w:p>
            <w:pPr>
              <w:spacing w:after="0"/>
              <w:rPr>
                <w:sz w:val="18"/>
                <w:szCs w:val="18"/>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30,499</w:t>
            </w: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(26,818)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 years</w:t>
            </w:r>
          </w:p>
        </w:tc>
        <w:tc>
          <w:tcPr>
            <w:tcW w:w="0" w:type="dxa"/>
            <w:vAlign w:val="bottom"/>
          </w:tcPr>
          <w:p>
            <w:pPr>
              <w:spacing w:after="0"/>
              <w:rPr>
                <w:sz w:val="1"/>
                <w:szCs w:val="1"/>
                <w:color w:val="auto"/>
              </w:rPr>
            </w:pPr>
          </w:p>
        </w:tc>
      </w:tr>
      <w:tr>
        <w:trPr>
          <w:trHeight w:val="219"/>
        </w:trPr>
        <w:tc>
          <w:tcPr>
            <w:tcW w:w="5700" w:type="dxa"/>
            <w:vAlign w:val="bottom"/>
            <w:shd w:val="clear" w:color="auto" w:fill="CCFFCC"/>
          </w:tcPr>
          <w:p>
            <w:pPr>
              <w:ind w:left="140"/>
              <w:spacing w:after="0"/>
              <w:rPr>
                <w:sz w:val="20"/>
                <w:szCs w:val="20"/>
                <w:color w:val="auto"/>
              </w:rPr>
            </w:pPr>
            <w:r>
              <w:rPr>
                <w:rFonts w:ascii="Arial" w:cs="Arial" w:eastAsia="Arial" w:hAnsi="Arial"/>
                <w:sz w:val="16"/>
                <w:szCs w:val="16"/>
                <w:color w:val="auto"/>
              </w:rPr>
              <w:t>Customer relationships</w:t>
            </w:r>
          </w:p>
        </w:tc>
        <w:tc>
          <w:tcPr>
            <w:tcW w:w="5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620" w:type="dxa"/>
            <w:vAlign w:val="bottom"/>
            <w:gridSpan w:val="3"/>
            <w:shd w:val="clear" w:color="auto" w:fill="CCFFCC"/>
          </w:tcPr>
          <w:p>
            <w:pPr>
              <w:jc w:val="right"/>
              <w:spacing w:after="0"/>
              <w:rPr>
                <w:sz w:val="20"/>
                <w:szCs w:val="20"/>
                <w:color w:val="auto"/>
              </w:rPr>
            </w:pPr>
            <w:r>
              <w:rPr>
                <w:rFonts w:ascii="Arial" w:cs="Arial" w:eastAsia="Arial" w:hAnsi="Arial"/>
                <w:sz w:val="16"/>
                <w:szCs w:val="16"/>
                <w:color w:val="auto"/>
              </w:rPr>
              <w:t>16,981</w:t>
            </w:r>
          </w:p>
        </w:tc>
        <w:tc>
          <w:tcPr>
            <w:tcW w:w="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6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(13,982)</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2,999</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8.4 years</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Patents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5,076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 years</w:t>
            </w:r>
          </w:p>
        </w:tc>
        <w:tc>
          <w:tcPr>
            <w:tcW w:w="0" w:type="dxa"/>
            <w:vAlign w:val="bottom"/>
          </w:tcPr>
          <w:p>
            <w:pPr>
              <w:spacing w:after="0"/>
              <w:rPr>
                <w:sz w:val="1"/>
                <w:szCs w:val="1"/>
                <w:color w:val="auto"/>
              </w:rPr>
            </w:pPr>
          </w:p>
        </w:tc>
      </w:tr>
      <w:tr>
        <w:trPr>
          <w:trHeight w:val="216"/>
        </w:trPr>
        <w:tc>
          <w:tcPr>
            <w:tcW w:w="5700" w:type="dxa"/>
            <w:vAlign w:val="bottom"/>
            <w:shd w:val="clear" w:color="auto" w:fill="CCFFCC"/>
          </w:tcPr>
          <w:p>
            <w:pPr>
              <w:ind w:left="140"/>
              <w:spacing w:after="0"/>
              <w:rPr>
                <w:sz w:val="20"/>
                <w:szCs w:val="20"/>
                <w:color w:val="auto"/>
              </w:rPr>
            </w:pPr>
            <w:r>
              <w:rPr>
                <w:rFonts w:ascii="Arial" w:cs="Arial" w:eastAsia="Arial" w:hAnsi="Arial"/>
                <w:sz w:val="16"/>
                <w:szCs w:val="16"/>
                <w:color w:val="auto"/>
              </w:rPr>
              <w:t>Other</w:t>
            </w:r>
          </w:p>
        </w:tc>
        <w:tc>
          <w:tcPr>
            <w:tcW w:w="5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6"/>
                <w:szCs w:val="16"/>
                <w:color w:val="auto"/>
              </w:rPr>
              <w:t>314</w:t>
            </w:r>
          </w:p>
        </w:tc>
        <w:tc>
          <w:tcPr>
            <w:tcW w:w="40" w:type="dxa"/>
            <w:vAlign w:val="bottom"/>
            <w:tcBorders>
              <w:bottom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79</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 years</w:t>
            </w:r>
          </w:p>
        </w:tc>
        <w:tc>
          <w:tcPr>
            <w:tcW w:w="0" w:type="dxa"/>
            <w:vAlign w:val="bottom"/>
          </w:tcPr>
          <w:p>
            <w:pPr>
              <w:spacing w:after="0"/>
              <w:rPr>
                <w:sz w:val="1"/>
                <w:szCs w:val="1"/>
                <w:color w:val="auto"/>
              </w:rPr>
            </w:pPr>
          </w:p>
        </w:tc>
      </w:tr>
      <w:tr>
        <w:trPr>
          <w:trHeight w:val="213"/>
        </w:trPr>
        <w:tc>
          <w:tcPr>
            <w:tcW w:w="5700" w:type="dxa"/>
            <w:vAlign w:val="bottom"/>
          </w:tcPr>
          <w:p>
            <w:pPr>
              <w:ind w:left="220"/>
              <w:spacing w:after="0"/>
              <w:rPr>
                <w:sz w:val="20"/>
                <w:szCs w:val="20"/>
                <w:color w:val="auto"/>
              </w:rPr>
            </w:pPr>
            <w:r>
              <w:rPr>
                <w:rFonts w:ascii="Arial" w:cs="Arial" w:eastAsia="Arial" w:hAnsi="Arial"/>
                <w:sz w:val="16"/>
                <w:szCs w:val="16"/>
                <w:color w:val="auto"/>
              </w:rPr>
              <w:t>Total</w:t>
            </w:r>
          </w:p>
        </w:tc>
        <w:tc>
          <w:tcPr>
            <w:tcW w:w="520" w:type="dxa"/>
            <w:vAlign w:val="bottom"/>
          </w:tcPr>
          <w:p>
            <w:pPr>
              <w:spacing w:after="0"/>
              <w:rPr>
                <w:sz w:val="18"/>
                <w:szCs w:val="18"/>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52,870</w:t>
            </w: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(41,943)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10,927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$1.6 million and $0.7 million for the three months ended March 31, 2021 and 2020, respectively. For the three months ended March 31, 2021 and 2020, respectively, a portion of this amortization is included in cost of revenue. Estimated amortization expense for the next five years is as follows (amounts in thousands):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right"/>
              <w:ind w:right="161"/>
              <w:spacing w:after="0"/>
              <w:rPr>
                <w:sz w:val="20"/>
                <w:szCs w:val="20"/>
                <w:color w:val="auto"/>
              </w:rPr>
            </w:pPr>
            <w:r>
              <w:rPr>
                <w:rFonts w:ascii="Arial" w:cs="Arial" w:eastAsia="Arial" w:hAnsi="Arial"/>
                <w:sz w:val="14"/>
                <w:szCs w:val="14"/>
                <w:b w:val="1"/>
                <w:bCs w:val="1"/>
                <w:color w:val="auto"/>
                <w:w w:val="98"/>
              </w:rPr>
              <w:t>Estimated Amortization</w:t>
            </w:r>
          </w:p>
        </w:tc>
      </w:tr>
      <w:tr>
        <w:trPr>
          <w:trHeight w:val="188"/>
        </w:trPr>
        <w:tc>
          <w:tcPr>
            <w:tcW w:w="924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Expense</w:t>
            </w:r>
          </w:p>
        </w:tc>
      </w:tr>
      <w:tr>
        <w:trPr>
          <w:trHeight w:val="211"/>
        </w:trPr>
        <w:tc>
          <w:tcPr>
            <w:tcW w:w="9240" w:type="dxa"/>
            <w:vAlign w:val="bottom"/>
            <w:shd w:val="clear" w:color="auto" w:fill="CCFFCC"/>
          </w:tcPr>
          <w:p>
            <w:pPr>
              <w:ind w:left="20"/>
              <w:spacing w:after="0"/>
              <w:rPr>
                <w:sz w:val="20"/>
                <w:szCs w:val="20"/>
                <w:color w:val="auto"/>
              </w:rPr>
            </w:pPr>
            <w:r>
              <w:rPr>
                <w:rFonts w:ascii="Arial" w:cs="Arial" w:eastAsia="Arial" w:hAnsi="Arial"/>
                <w:sz w:val="16"/>
                <w:szCs w:val="16"/>
                <w:color w:val="auto"/>
              </w:rPr>
              <w:t>Remaining 2021</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1,977</w:t>
            </w:r>
          </w:p>
        </w:tc>
      </w:tr>
      <w:tr>
        <w:trPr>
          <w:trHeight w:val="213"/>
        </w:trPr>
        <w:tc>
          <w:tcPr>
            <w:tcW w:w="924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2,266</w:t>
            </w:r>
          </w:p>
        </w:tc>
      </w:tr>
      <w:tr>
        <w:trPr>
          <w:trHeight w:val="219"/>
        </w:trPr>
        <w:tc>
          <w:tcPr>
            <w:tcW w:w="9240" w:type="dxa"/>
            <w:vAlign w:val="bottom"/>
            <w:shd w:val="clear" w:color="auto" w:fill="CCFFCC"/>
          </w:tcPr>
          <w:p>
            <w:pPr>
              <w:ind w:left="2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FFCC"/>
          </w:tcPr>
          <w:p>
            <w:pPr>
              <w:spacing w:after="0"/>
              <w:rPr>
                <w:sz w:val="19"/>
                <w:szCs w:val="19"/>
                <w:color w:val="auto"/>
              </w:rPr>
            </w:pPr>
          </w:p>
        </w:tc>
        <w:tc>
          <w:tcPr>
            <w:tcW w:w="1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985</w:t>
            </w:r>
          </w:p>
        </w:tc>
      </w:tr>
      <w:tr>
        <w:trPr>
          <w:trHeight w:val="213"/>
        </w:trPr>
        <w:tc>
          <w:tcPr>
            <w:tcW w:w="9240" w:type="dxa"/>
            <w:vAlign w:val="bottom"/>
          </w:tcPr>
          <w:p>
            <w:pPr>
              <w:ind w:left="2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219"/>
        </w:trPr>
        <w:tc>
          <w:tcPr>
            <w:tcW w:w="9240" w:type="dxa"/>
            <w:vAlign w:val="bottom"/>
            <w:shd w:val="clear" w:color="auto" w:fill="CCFFCC"/>
          </w:tcPr>
          <w:p>
            <w:pPr>
              <w:ind w:left="2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FFCC"/>
          </w:tcPr>
          <w:p>
            <w:pPr>
              <w:spacing w:after="0"/>
              <w:rPr>
                <w:sz w:val="19"/>
                <w:szCs w:val="19"/>
                <w:color w:val="auto"/>
              </w:rPr>
            </w:pPr>
          </w:p>
        </w:tc>
        <w:tc>
          <w:tcPr>
            <w:tcW w:w="1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9240" w:type="dxa"/>
            <w:vAlign w:val="bottom"/>
            <w:tcBorders>
              <w:bottom w:val="single" w:sz="8" w:color="CCFFCC"/>
            </w:tcBorders>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w:t>
            </w:r>
          </w:p>
        </w:tc>
      </w:tr>
      <w:tr>
        <w:trPr>
          <w:trHeight w:val="238"/>
        </w:trPr>
        <w:tc>
          <w:tcPr>
            <w:tcW w:w="924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11,058</w:t>
            </w:r>
          </w:p>
        </w:tc>
      </w:tr>
      <w:tr>
        <w:trPr>
          <w:trHeight w:val="20"/>
        </w:trPr>
        <w:tc>
          <w:tcPr>
            <w:tcW w:w="92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180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80" w:type="dxa"/>
            <w:vAlign w:val="bottom"/>
            <w:tcBorders>
              <w:bottom w:val="single" w:sz="8" w:color="CD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D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1"/>
        </w:trPr>
        <w:tc>
          <w:tcPr>
            <w:tcW w:w="8280" w:type="dxa"/>
            <w:vAlign w:val="bottom"/>
            <w:shd w:val="clear" w:color="auto" w:fill="CDFFCC"/>
          </w:tcPr>
          <w:p>
            <w:pPr>
              <w:ind w:left="20"/>
              <w:spacing w:after="0"/>
              <w:rPr>
                <w:sz w:val="20"/>
                <w:szCs w:val="20"/>
                <w:color w:val="auto"/>
              </w:rPr>
            </w:pPr>
            <w:r>
              <w:rPr>
                <w:rFonts w:ascii="Arial" w:cs="Arial" w:eastAsia="Arial" w:hAnsi="Arial"/>
                <w:sz w:val="16"/>
                <w:szCs w:val="16"/>
                <w:color w:val="auto"/>
              </w:rPr>
              <w:t>Computer equipment and software</w:t>
            </w:r>
          </w:p>
        </w:tc>
        <w:tc>
          <w:tcPr>
            <w:tcW w:w="240" w:type="dxa"/>
            <w:vAlign w:val="bottom"/>
            <w:shd w:val="clear" w:color="auto" w:fill="CDFFCC"/>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111,709</w:t>
            </w:r>
          </w:p>
        </w:tc>
        <w:tc>
          <w:tcPr>
            <w:tcW w:w="120" w:type="dxa"/>
            <w:vAlign w:val="bottom"/>
            <w:shd w:val="clear" w:color="auto" w:fill="CDFFCC"/>
          </w:tcPr>
          <w:p>
            <w:pPr>
              <w:spacing w:after="0"/>
              <w:rPr>
                <w:sz w:val="18"/>
                <w:szCs w:val="18"/>
                <w:color w:val="auto"/>
              </w:rPr>
            </w:pPr>
          </w:p>
        </w:tc>
        <w:tc>
          <w:tcPr>
            <w:tcW w:w="180" w:type="dxa"/>
            <w:vAlign w:val="bottom"/>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107,666</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Internal-use software development costs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94,614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86,454</w:t>
            </w:r>
          </w:p>
        </w:tc>
      </w:tr>
      <w:tr>
        <w:trPr>
          <w:trHeight w:val="216"/>
        </w:trPr>
        <w:tc>
          <w:tcPr>
            <w:tcW w:w="8280" w:type="dxa"/>
            <w:vAlign w:val="bottom"/>
            <w:shd w:val="clear" w:color="auto" w:fill="CDFFCC"/>
          </w:tcPr>
          <w:p>
            <w:pPr>
              <w:ind w:left="20"/>
              <w:spacing w:after="0"/>
              <w:rPr>
                <w:sz w:val="20"/>
                <w:szCs w:val="20"/>
                <w:color w:val="auto"/>
              </w:rPr>
            </w:pPr>
            <w:r>
              <w:rPr>
                <w:rFonts w:ascii="Arial" w:cs="Arial" w:eastAsia="Arial" w:hAnsi="Arial"/>
                <w:sz w:val="16"/>
                <w:szCs w:val="16"/>
                <w:color w:val="auto"/>
              </w:rPr>
              <w:t>Finance lease right-of-use assets</w:t>
            </w:r>
          </w:p>
        </w:tc>
        <w:tc>
          <w:tcPr>
            <w:tcW w:w="240" w:type="dxa"/>
            <w:vAlign w:val="bottom"/>
            <w:tcBorders>
              <w:bottom w:val="single" w:sz="8" w:color="auto"/>
            </w:tcBorders>
            <w:shd w:val="clear" w:color="auto" w:fill="CDFFCC"/>
          </w:tcPr>
          <w:p>
            <w:pPr>
              <w:spacing w:after="0"/>
              <w:rPr>
                <w:sz w:val="18"/>
                <w:szCs w:val="18"/>
                <w:color w:val="auto"/>
              </w:rPr>
            </w:pPr>
          </w:p>
        </w:tc>
        <w:tc>
          <w:tcPr>
            <w:tcW w:w="11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9,157</w:t>
            </w:r>
          </w:p>
        </w:tc>
        <w:tc>
          <w:tcPr>
            <w:tcW w:w="120" w:type="dxa"/>
            <w:vAlign w:val="bottom"/>
            <w:shd w:val="clear" w:color="auto" w:fill="CDFFCC"/>
          </w:tcPr>
          <w:p>
            <w:pPr>
              <w:spacing w:after="0"/>
              <w:rPr>
                <w:sz w:val="18"/>
                <w:szCs w:val="18"/>
                <w:color w:val="auto"/>
              </w:rPr>
            </w:pPr>
          </w:p>
        </w:tc>
        <w:tc>
          <w:tcPr>
            <w:tcW w:w="180" w:type="dxa"/>
            <w:vAlign w:val="bottom"/>
            <w:tcBorders>
              <w:bottom w:val="single" w:sz="8" w:color="auto"/>
            </w:tcBorders>
            <w:shd w:val="clear" w:color="auto" w:fill="CDFFCC"/>
          </w:tcPr>
          <w:p>
            <w:pPr>
              <w:spacing w:after="0"/>
              <w:rPr>
                <w:sz w:val="18"/>
                <w:szCs w:val="18"/>
                <w:color w:val="auto"/>
              </w:rPr>
            </w:pPr>
          </w:p>
        </w:tc>
        <w:tc>
          <w:tcPr>
            <w:tcW w:w="12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10,045</w:t>
            </w:r>
          </w:p>
        </w:tc>
      </w:tr>
      <w:tr>
        <w:trPr>
          <w:trHeight w:val="209"/>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215,480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204,165</w:t>
            </w:r>
          </w:p>
        </w:tc>
      </w:tr>
      <w:tr>
        <w:trPr>
          <w:trHeight w:val="216"/>
        </w:trPr>
        <w:tc>
          <w:tcPr>
            <w:tcW w:w="8280" w:type="dxa"/>
            <w:vAlign w:val="bottom"/>
            <w:shd w:val="clear" w:color="auto" w:fill="CDFFCC"/>
          </w:tcPr>
          <w:p>
            <w:pPr>
              <w:ind w:left="2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auto"/>
            </w:tcBorders>
            <w:shd w:val="clear" w:color="auto" w:fill="CDFFCC"/>
          </w:tcPr>
          <w:p>
            <w:pPr>
              <w:spacing w:after="0"/>
              <w:rPr>
                <w:sz w:val="18"/>
                <w:szCs w:val="18"/>
                <w:color w:val="auto"/>
              </w:rPr>
            </w:pPr>
          </w:p>
        </w:tc>
        <w:tc>
          <w:tcPr>
            <w:tcW w:w="11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(104,166)</w:t>
            </w:r>
          </w:p>
        </w:tc>
        <w:tc>
          <w:tcPr>
            <w:tcW w:w="120" w:type="dxa"/>
            <w:vAlign w:val="bottom"/>
            <w:shd w:val="clear" w:color="auto" w:fill="CDFFCC"/>
          </w:tcPr>
          <w:p>
            <w:pPr>
              <w:spacing w:after="0"/>
              <w:rPr>
                <w:sz w:val="18"/>
                <w:szCs w:val="18"/>
                <w:color w:val="auto"/>
              </w:rPr>
            </w:pPr>
          </w:p>
        </w:tc>
        <w:tc>
          <w:tcPr>
            <w:tcW w:w="180" w:type="dxa"/>
            <w:vAlign w:val="bottom"/>
            <w:tcBorders>
              <w:bottom w:val="single" w:sz="8" w:color="auto"/>
            </w:tcBorders>
            <w:shd w:val="clear" w:color="auto" w:fill="CDFFCC"/>
          </w:tcPr>
          <w:p>
            <w:pPr>
              <w:spacing w:after="0"/>
              <w:rPr>
                <w:sz w:val="18"/>
                <w:szCs w:val="18"/>
                <w:color w:val="auto"/>
              </w:rPr>
            </w:pPr>
          </w:p>
        </w:tc>
        <w:tc>
          <w:tcPr>
            <w:tcW w:w="12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(98,110)</w:t>
            </w: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111,314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106,055</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8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1"/>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Payroll and other employee related costs</w:t>
            </w:r>
          </w:p>
        </w:tc>
        <w:tc>
          <w:tcPr>
            <w:tcW w:w="2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27,299</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39,820</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Professional services and consulting and other vendor fees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38,796</w:t>
            </w:r>
          </w:p>
        </w:tc>
      </w:tr>
      <w:tr>
        <w:trPr>
          <w:trHeight w:val="219"/>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Unrecognized tax benefits</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2,032</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2,039</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6,988</w:t>
            </w:r>
          </w:p>
        </w:tc>
      </w:tr>
      <w:tr>
        <w:trPr>
          <w:trHeight w:val="219"/>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Restructuring (see Note 13)</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4,914</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4,732</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Non Income Tax</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2,954</w:t>
            </w:r>
          </w:p>
        </w:tc>
      </w:tr>
      <w:tr>
        <w:trPr>
          <w:trHeight w:val="216"/>
        </w:trPr>
        <w:tc>
          <w:tcPr>
            <w:tcW w:w="8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7,712</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4,541</w:t>
            </w: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96,346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99,870</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right="6740" w:hanging="332"/>
        <w:spacing w:after="0" w:line="532" w:lineRule="auto"/>
        <w:tabs>
          <w:tab w:leader="none" w:pos="19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Senior Notes and Capped Call Transactions March 2019 Convertible Senior Notes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2019, the Company issued $230.0 million aggregate principal amount of its 0.750% Convertible Senior Notes due 2024 in a private placement, which amount includes $30.0 million aggregate principal amount of such Notes issued pursuant to the exercise in full by the initial purchasers of their option to purchase additional “2024 Notes”. Interest on the Notes is payable semi-annually in arrears on March 1 and September 1 of each year, beginning on September 1, 2019.</w:t>
      </w:r>
    </w:p>
    <w:p>
      <w:pPr>
        <w:spacing w:after="0" w:line="7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2024 Notes will mature on March 1, 2024, unless earlier repurchased or redeemed by the Company or converted pursuant to their terms. The total net proceeds from the offering of the 2024 Notes, after deducting debt issuance costs, paid or payable by the Company, was approximately $221.4 million.</w:t>
      </w:r>
    </w:p>
    <w:p>
      <w:pPr>
        <w:spacing w:after="0" w:line="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Notes in principal amounts of $1,000 or a multiple thereof at a fundamental change repurchase price equal to 100% of the principal amount of the 2024 Notes to be repurchased, plus accrued and unpaid interest to, but excluding, the fundamental change repurchase date.</w:t>
      </w:r>
    </w:p>
    <w:p>
      <w:pPr>
        <w:spacing w:after="0" w:line="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conversion, it is the Company’s current intent to settle the principal amount of its outstanding 2024 Notes in cash and any excess over the principal amount in shares of the Company’s common stock.</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quarter ended March 31, 2021, the conditions allowing holders of the 2024 Notes to convert were met and, thus, holders of the 2024 Notes maintain the option to convert their 2024 Notes during the quarter ending March 31, 2021.</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2024 Notes are senior unsecured obligations and will rank senior in right of payment to any of the Company’s indebtedness that is expressly subordinated in right of payment to the 2024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accounting for the issuance of the 2024 Notes, the Company separated the 2024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2024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2024 Notes.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accounting for the transaction costs related to the 2024 Notes, the Company allocated the total amount incurred of approximately $8.6 million to the liability and equity components of the 2024 Notes based on the proportion of the proceeds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allocated to the debt and equity components. Issuance costs attributable to the liability component were approximately $6.6 million, were recorded as an additional debt discount and are amortized to interest expense using the effective interest method over the contractual term of the 2024 Notes. Issuance costs attributable to the equity component were approximately $2.0 million and recorded as a reduction of additional paid in capital in stockholders’ equity.</w:t>
      </w:r>
    </w:p>
    <w:p>
      <w:pPr>
        <w:spacing w:after="0" w:line="4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connection with the offering of the 2024 Notes, the Company entered into privately-negotiated capped call option transactions with certain counterparties (the “2024 capped calls”).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consolidated balance sheet.</w:t>
      </w:r>
    </w:p>
    <w:p>
      <w:pPr>
        <w:spacing w:after="0" w:line="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remaining term over which the March 2019 Convertible Senior Notes debt discount and debt issuance costs will be amortized is 2.9 years. The effective interest rate on the debt was 4.35% for the period ended March 31,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2020 Convertible Senior Notes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December 2020, the Company issued $517.5 million aggregate principal amount of its 0% Convertible Senior Notes due 2026 (“2026 Notes” and, together with the 2024 Notes, the “Notes”) in a private placement, which amount includes $67.5 million aggregate principal amount of such Notes issued pursuant to the exercise in full by the initial purchasers of their option to purchase additional “2026 Notes”.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2026 Notes will mature on December 15, 2026, unless earlier repurchased or redeemed by the Company or converted pursuant to their terms. The total net proceeds from the offering of the 2026 Notes, after deducting debt issuance costs, paid or payable by the Company, was approximately $505.3 million.</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color w:val="auto"/>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w:t>
      </w:r>
    </w:p>
    <w:p>
      <w:pPr>
        <w:jc w:val="both"/>
        <w:spacing w:after="0" w:line="254" w:lineRule="auto"/>
        <w:rPr>
          <w:sz w:val="20"/>
          <w:szCs w:val="20"/>
          <w:color w:val="auto"/>
        </w:rPr>
      </w:pPr>
      <w:r>
        <w:rPr>
          <w:rFonts w:ascii="Arial" w:cs="Arial" w:eastAsia="Arial" w:hAnsi="Arial"/>
          <w:sz w:val="18"/>
          <w:szCs w:val="18"/>
          <w:color w:val="auto"/>
        </w:rPr>
        <w:t>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Notes that LivePerson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conversion, it is the Company’s current intent to settle the principal amount of its outstanding 2026 Notes in cash and any excess in shares of the Company’s common stock.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2021, the conditions allowing holders of the 2026 Notes to convert were not met.</w:t>
      </w:r>
    </w:p>
    <w:p>
      <w:pPr>
        <w:spacing w:after="0" w:line="25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2026 Notes are senior unsecured obligations and will rank senior in right of payment to any of the Company’s indebtedness that is expressly subordinated in right of payment to the 2026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accounting for the issuance of the 2026 Notes, the Company separated the 2026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$162.5 million and was determined by deducting the fair value of the liability component from the par value of the 2026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 of the 2026 Notes.</w:t>
      </w:r>
    </w:p>
    <w:p>
      <w:pPr>
        <w:spacing w:after="0" w:line="20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accounting for the transaction costs related to the 2026 Notes, the Company allocated the total amount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terms of the 2026 Notes. Issuance costs attributable to the equity component were approximately $3.7 million and recorded as a reduction of additional paid in capital in stockholders’ equity.</w:t>
      </w:r>
    </w:p>
    <w:p>
      <w:pPr>
        <w:spacing w:after="0" w:line="2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offering of the 2026 Notes, the Company entered into privately-negotiated capped call 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consolidated balance sheet.</w:t>
      </w:r>
    </w:p>
    <w:p>
      <w:pPr>
        <w:spacing w:after="0" w:line="20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remaining term over which the December 2020 Convertible Senior Notes debt discount and debt issuance costs will be amortized is 5.7 years. The effective interest rate on the debt was 6.33% for the period ended March 31, 2021.</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28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8"/>
              </w:rPr>
              <w:t>As of March 31, 2021</w:t>
            </w:r>
          </w:p>
        </w:tc>
        <w:tc>
          <w:tcPr>
            <w:tcW w:w="100" w:type="dxa"/>
            <w:vAlign w:val="bottom"/>
            <w:tcBorders>
              <w:bottom w:val="single" w:sz="8" w:color="CCFFC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5"/>
              </w:rPr>
              <w:t>As of December 31, 2020</w:t>
            </w:r>
          </w:p>
        </w:tc>
      </w:tr>
      <w:tr>
        <w:trPr>
          <w:trHeight w:val="211"/>
        </w:trPr>
        <w:tc>
          <w:tcPr>
            <w:tcW w:w="7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Principal</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FFCC"/>
          </w:tcPr>
          <w:p>
            <w:pPr>
              <w:jc w:val="right"/>
              <w:ind w:right="1"/>
              <w:spacing w:after="0"/>
              <w:rPr>
                <w:sz w:val="20"/>
                <w:szCs w:val="20"/>
                <w:color w:val="auto"/>
              </w:rPr>
            </w:pPr>
            <w:r>
              <w:rPr>
                <w:rFonts w:ascii="Arial" w:cs="Arial" w:eastAsia="Arial" w:hAnsi="Arial"/>
                <w:sz w:val="16"/>
                <w:szCs w:val="16"/>
                <w:color w:val="auto"/>
              </w:rPr>
              <w:t>747,500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747,500</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Unamortized discount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(188,151)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(196,269)</w:t>
            </w:r>
          </w:p>
        </w:tc>
      </w:tr>
      <w:tr>
        <w:trPr>
          <w:trHeight w:val="216"/>
        </w:trPr>
        <w:tc>
          <w:tcPr>
            <w:tcW w:w="7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Unamortized issuance costs</w:t>
            </w:r>
          </w:p>
        </w:tc>
        <w:tc>
          <w:tcPr>
            <w:tcW w:w="180" w:type="dxa"/>
            <w:vAlign w:val="bottom"/>
            <w:tcBorders>
              <w:bottom w:val="single" w:sz="8" w:color="auto"/>
            </w:tcBorders>
            <w:shd w:val="clear" w:color="auto" w:fill="CCFFCC"/>
          </w:tcPr>
          <w:p>
            <w:pPr>
              <w:spacing w:after="0"/>
              <w:rPr>
                <w:sz w:val="18"/>
                <w:szCs w:val="18"/>
                <w:color w:val="auto"/>
              </w:rPr>
            </w:pP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(12,190)</w:t>
            </w: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(12,799)</w:t>
            </w:r>
          </w:p>
        </w:tc>
      </w:tr>
      <w:tr>
        <w:trPr>
          <w:trHeight w:val="213"/>
        </w:trPr>
        <w:tc>
          <w:tcPr>
            <w:tcW w:w="7280" w:type="dxa"/>
            <w:vAlign w:val="bottom"/>
          </w:tcPr>
          <w:p>
            <w:pPr>
              <w:ind w:left="260"/>
              <w:spacing w:after="0"/>
              <w:rPr>
                <w:sz w:val="20"/>
                <w:szCs w:val="20"/>
                <w:color w:val="auto"/>
              </w:rPr>
            </w:pPr>
            <w:r>
              <w:rPr>
                <w:rFonts w:ascii="Arial" w:cs="Arial" w:eastAsia="Arial" w:hAnsi="Arial"/>
                <w:sz w:val="16"/>
                <w:szCs w:val="16"/>
                <w:color w:val="auto"/>
              </w:rPr>
              <w:t>Net carrying amount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547,159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538,432</w:t>
            </w:r>
          </w:p>
        </w:tc>
      </w:tr>
      <w:tr>
        <w:trPr>
          <w:trHeight w:val="21"/>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carrying amount of the equity component of the Notes was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120" w:type="dxa"/>
            <w:vAlign w:val="bottom"/>
            <w:tcBorders>
              <w:bottom w:val="single" w:sz="8" w:color="CCFFC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As of March 31, 2021</w:t>
            </w:r>
          </w:p>
        </w:tc>
      </w:tr>
      <w:tr>
        <w:trPr>
          <w:trHeight w:val="211"/>
        </w:trPr>
        <w:tc>
          <w:tcPr>
            <w:tcW w:w="9120" w:type="dxa"/>
            <w:vAlign w:val="bottom"/>
            <w:shd w:val="clear" w:color="auto" w:fill="CCFFCC"/>
          </w:tcPr>
          <w:p>
            <w:pPr>
              <w:ind w:left="20"/>
              <w:spacing w:after="0"/>
              <w:rPr>
                <w:sz w:val="20"/>
                <w:szCs w:val="20"/>
                <w:color w:val="auto"/>
              </w:rPr>
            </w:pPr>
            <w:r>
              <w:rPr>
                <w:rFonts w:ascii="Arial" w:cs="Arial" w:eastAsia="Arial" w:hAnsi="Arial"/>
                <w:sz w:val="16"/>
                <w:szCs w:val="16"/>
                <w:color w:val="auto"/>
              </w:rPr>
              <w:t>Proceeds allocated to the conversion options (debt discount)</w:t>
            </w:r>
          </w:p>
        </w:tc>
        <w:tc>
          <w:tcPr>
            <w:tcW w:w="26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215,434</w:t>
            </w:r>
          </w:p>
        </w:tc>
      </w:tr>
      <w:tr>
        <w:trPr>
          <w:trHeight w:val="213"/>
        </w:trPr>
        <w:tc>
          <w:tcPr>
            <w:tcW w:w="9120" w:type="dxa"/>
            <w:vAlign w:val="bottom"/>
            <w:tcBorders>
              <w:bottom w:val="single" w:sz="8" w:color="CCFFCC"/>
            </w:tcBorders>
          </w:tcPr>
          <w:p>
            <w:pPr>
              <w:ind w:left="20"/>
              <w:spacing w:after="0"/>
              <w:rPr>
                <w:sz w:val="20"/>
                <w:szCs w:val="20"/>
                <w:color w:val="auto"/>
              </w:rPr>
            </w:pPr>
            <w:r>
              <w:rPr>
                <w:rFonts w:ascii="Arial" w:cs="Arial" w:eastAsia="Arial" w:hAnsi="Arial"/>
                <w:sz w:val="16"/>
                <w:szCs w:val="16"/>
                <w:color w:val="auto"/>
              </w:rPr>
              <w:t>Issuance costs</w:t>
            </w: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(5,783)</w:t>
            </w:r>
          </w:p>
        </w:tc>
      </w:tr>
      <w:tr>
        <w:trPr>
          <w:trHeight w:val="238"/>
        </w:trPr>
        <w:tc>
          <w:tcPr>
            <w:tcW w:w="912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6"/>
                <w:szCs w:val="16"/>
                <w:color w:val="auto"/>
              </w:rPr>
              <w:t>Net carrying amount</w:t>
            </w: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209,651</w:t>
            </w:r>
          </w:p>
        </w:tc>
      </w:tr>
      <w:tr>
        <w:trPr>
          <w:trHeight w:val="20"/>
        </w:trPr>
        <w:tc>
          <w:tcPr>
            <w:tcW w:w="9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860" w:type="dxa"/>
            <w:vAlign w:val="bottom"/>
            <w:tcBorders>
              <w:top w:val="single" w:sz="8" w:color="CCFFCC"/>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interest expense recognized related to the Notes (in thousands):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060" w:type="dxa"/>
            <w:vAlign w:val="bottom"/>
            <w:tcBorders>
              <w:bottom w:val="single" w:sz="8" w:color="CCFFCC"/>
            </w:tcBorders>
          </w:tcPr>
          <w:p>
            <w:pPr>
              <w:spacing w:after="0"/>
              <w:rPr>
                <w:sz w:val="16"/>
                <w:szCs w:val="16"/>
                <w:color w:val="auto"/>
              </w:rPr>
            </w:pPr>
          </w:p>
        </w:tc>
        <w:tc>
          <w:tcPr>
            <w:tcW w:w="25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4"/>
              </w:rPr>
              <w:t>Three Months Ended March 31,</w:t>
            </w:r>
          </w:p>
        </w:tc>
        <w:tc>
          <w:tcPr>
            <w:tcW w:w="560" w:type="dxa"/>
            <w:vAlign w:val="bottom"/>
            <w:tcBorders>
              <w:bottom w:val="single" w:sz="8" w:color="auto"/>
            </w:tcBorders>
          </w:tcPr>
          <w:p>
            <w:pPr>
              <w:spacing w:after="0"/>
              <w:rPr>
                <w:sz w:val="16"/>
                <w:szCs w:val="16"/>
                <w:color w:val="auto"/>
              </w:rPr>
            </w:pPr>
          </w:p>
        </w:tc>
      </w:tr>
      <w:tr>
        <w:trPr>
          <w:trHeight w:val="216"/>
        </w:trPr>
        <w:tc>
          <w:tcPr>
            <w:tcW w:w="8060" w:type="dxa"/>
            <w:vAlign w:val="bottom"/>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ind w:left="540"/>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shd w:val="clear" w:color="auto" w:fill="CCFFCC"/>
          </w:tcPr>
          <w:p>
            <w:pPr>
              <w:spacing w:after="0"/>
              <w:rPr>
                <w:sz w:val="18"/>
                <w:szCs w:val="18"/>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Contractual interest expense</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7"/>
                <w:szCs w:val="17"/>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417</w:t>
            </w:r>
          </w:p>
        </w:tc>
      </w:tr>
      <w:tr>
        <w:trPr>
          <w:trHeight w:val="219"/>
        </w:trPr>
        <w:tc>
          <w:tcPr>
            <w:tcW w:w="8060" w:type="dxa"/>
            <w:vAlign w:val="bottom"/>
            <w:shd w:val="clear" w:color="auto" w:fill="CCFFCC"/>
          </w:tcPr>
          <w:p>
            <w:pPr>
              <w:ind w:left="20"/>
              <w:spacing w:after="0"/>
              <w:rPr>
                <w:sz w:val="20"/>
                <w:szCs w:val="20"/>
                <w:color w:val="auto"/>
              </w:rPr>
            </w:pPr>
            <w:r>
              <w:rPr>
                <w:rFonts w:ascii="Arial" w:cs="Arial" w:eastAsia="Arial" w:hAnsi="Arial"/>
                <w:sz w:val="16"/>
                <w:szCs w:val="16"/>
                <w:color w:val="auto"/>
              </w:rPr>
              <w:t>Amortization of issuance costs</w:t>
            </w:r>
          </w:p>
        </w:tc>
        <w:tc>
          <w:tcPr>
            <w:tcW w:w="940" w:type="dxa"/>
            <w:vAlign w:val="bottom"/>
            <w:shd w:val="clear" w:color="auto" w:fill="CCFFCC"/>
          </w:tcPr>
          <w:p>
            <w:pPr>
              <w:spacing w:after="0"/>
              <w:rPr>
                <w:sz w:val="19"/>
                <w:szCs w:val="19"/>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5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298</w:t>
            </w:r>
          </w:p>
        </w:tc>
      </w:tr>
      <w:tr>
        <w:trPr>
          <w:trHeight w:val="213"/>
        </w:trPr>
        <w:tc>
          <w:tcPr>
            <w:tcW w:w="8060" w:type="dxa"/>
            <w:vAlign w:val="bottom"/>
            <w:tcBorders>
              <w:bottom w:val="single" w:sz="8" w:color="CCFFCC"/>
            </w:tcBorders>
          </w:tcPr>
          <w:p>
            <w:pPr>
              <w:ind w:left="20"/>
              <w:spacing w:after="0"/>
              <w:rPr>
                <w:sz w:val="20"/>
                <w:szCs w:val="20"/>
                <w:color w:val="auto"/>
              </w:rPr>
            </w:pPr>
            <w:r>
              <w:rPr>
                <w:rFonts w:ascii="Arial" w:cs="Arial" w:eastAsia="Arial" w:hAnsi="Arial"/>
                <w:sz w:val="16"/>
                <w:szCs w:val="16"/>
                <w:color w:val="auto"/>
              </w:rPr>
              <w:t>Amortization of debt discount</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8,118</w:t>
            </w:r>
          </w:p>
        </w:tc>
        <w:tc>
          <w:tcPr>
            <w:tcW w:w="100" w:type="dxa"/>
            <w:vAlign w:val="bottom"/>
            <w:tcBorders>
              <w:bottom w:val="single" w:sz="8" w:color="CCFFC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2,368</w:t>
            </w:r>
          </w:p>
        </w:tc>
      </w:tr>
      <w:tr>
        <w:trPr>
          <w:trHeight w:val="238"/>
        </w:trPr>
        <w:tc>
          <w:tcPr>
            <w:tcW w:w="8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Total interest expense</w:t>
            </w:r>
          </w:p>
        </w:tc>
        <w:tc>
          <w:tcPr>
            <w:tcW w:w="940" w:type="dxa"/>
            <w:vAlign w:val="bottom"/>
            <w:tcBorders>
              <w:bottom w:val="single" w:sz="8" w:color="auto"/>
            </w:tcBorders>
            <w:shd w:val="clear" w:color="auto" w:fill="CCFFCC"/>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99"/>
              </w:rPr>
              <w:t>9,158</w:t>
            </w:r>
          </w:p>
        </w:tc>
        <w:tc>
          <w:tcPr>
            <w:tcW w:w="10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auto"/>
            </w:tcBorders>
            <w:shd w:val="clear" w:color="auto" w:fill="CCFFCC"/>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3,083</w:t>
            </w:r>
          </w:p>
        </w:tc>
      </w:tr>
      <w:tr>
        <w:trPr>
          <w:trHeight w:val="20"/>
        </w:trPr>
        <w:tc>
          <w:tcPr>
            <w:tcW w:w="806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CCFFCC"/>
              <w:bottom w:val="single" w:sz="8" w:color="auto"/>
            </w:tcBorders>
          </w:tcPr>
          <w:p>
            <w:pPr>
              <w:spacing w:after="0" w:line="20" w:lineRule="exact"/>
              <w:rPr>
                <w:sz w:val="1"/>
                <w:szCs w:val="1"/>
                <w:color w:val="auto"/>
              </w:rPr>
            </w:pPr>
          </w:p>
        </w:tc>
        <w:tc>
          <w:tcPr>
            <w:tcW w:w="5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980" w:type="dxa"/>
            <w:vAlign w:val="bottom"/>
            <w:tcBorders>
              <w:top w:val="single" w:sz="8" w:color="CCFFCC"/>
              <w:bottom w:val="single" w:sz="8" w:color="auto"/>
            </w:tcBorders>
          </w:tcPr>
          <w:p>
            <w:pPr>
              <w:spacing w:after="0" w:line="20" w:lineRule="exact"/>
              <w:rPr>
                <w:sz w:val="1"/>
                <w:szCs w:val="1"/>
                <w:color w:val="auto"/>
              </w:rPr>
            </w:pPr>
          </w:p>
        </w:tc>
        <w:tc>
          <w:tcPr>
            <w:tcW w:w="560" w:type="dxa"/>
            <w:vAlign w:val="bottom"/>
            <w:tcBorders>
              <w:top w:val="single" w:sz="8" w:color="CCFFCC"/>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of $9.2 million is reflected as a component of interest (expense) income, net in the accompanying condensed consolidated statement of operations for the three months ended March 31, 2021.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AdvantageTec Inc.</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October 2018, the Company entered into a stock purchase agreement to acquire the outstanding equity interest of AdvantageTec Inc. (“AdvantageTec”), a leading provider of texting solutions for service departments of automotive dealerships that helps enable Conversational Commerce across the entire dealership, including both front end/variable operations (new and used vehicle sales) and back end/fixed operations (parts and services). The purchase agreement was for total consideration of approximately $11.2 million, which included approximately $6.0 million in cash, approximately $4.3 million in shares of common stock, and approximately $0.9 million of potential earn-out consideration in cash and shares of common stock. The earn-out was contingent upon achieving certain targeted financial, strategic and integration objectives and milestones and is included as part of the purchase price. During 2019, the Company recorded a $0.2 million fair value re-measurement adjustment and made payments of $0.5 million in earn-out consideration. The Company settled the remaining contingent earn-out of approximately $0.3 million in stock. During the three months ended March 31, 2021, there was an additional earn-out adjustment of approximately $0.1 million.</w:t>
      </w:r>
    </w:p>
    <w:p>
      <w:pPr>
        <w:spacing w:after="0" w:line="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purchase price allocation resulted in approximately $9.1 million of goodwill and approximately $2.2 million of intangible assets. The goodwill will not be deductible for tax purposes. The intangible assets are being amortized over their expected period of benefit. A deferred tax liability for the identified intangibles has been recorded.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AdvantageTec enhances the Company’s messaging platform available for the automotive industry and is included in the Company’s business segment.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84" w:lineRule="exact"/>
        <w:rPr>
          <w:sz w:val="20"/>
          <w:szCs w:val="20"/>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3"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5"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March 31, 2021 and December 31, 2020, are summarized as follows (amounts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199"/>
        </w:trPr>
        <w:tc>
          <w:tcPr>
            <w:tcW w:w="3540" w:type="dxa"/>
            <w:vAlign w:val="bottom"/>
            <w:tcBorders>
              <w:top w:val="single" w:sz="8" w:color="CDFFCC"/>
            </w:tcBorders>
            <w:shd w:val="clear" w:color="auto" w:fill="CDFFCC"/>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auto"/>
            </w:tcBorders>
            <w:shd w:val="clear" w:color="auto" w:fill="CDFFCC"/>
          </w:tcPr>
          <w:p>
            <w:pPr>
              <w:spacing w:after="0"/>
              <w:rPr>
                <w:sz w:val="17"/>
                <w:szCs w:val="17"/>
                <w:color w:val="auto"/>
              </w:rPr>
            </w:pPr>
          </w:p>
        </w:tc>
        <w:tc>
          <w:tcPr>
            <w:tcW w:w="700" w:type="dxa"/>
            <w:vAlign w:val="bottom"/>
            <w:tcBorders>
              <w:top w:val="single" w:sz="8" w:color="auto"/>
            </w:tcBorders>
            <w:shd w:val="clear" w:color="auto" w:fill="CDFFCC"/>
          </w:tcPr>
          <w:p>
            <w:pPr>
              <w:spacing w:after="0"/>
              <w:rPr>
                <w:sz w:val="17"/>
                <w:szCs w:val="17"/>
                <w:color w:val="auto"/>
              </w:rPr>
            </w:pPr>
          </w:p>
        </w:tc>
        <w:tc>
          <w:tcPr>
            <w:tcW w:w="100" w:type="dxa"/>
            <w:vAlign w:val="bottom"/>
            <w:tcBorders>
              <w:top w:val="single" w:sz="8" w:color="CDFFCC"/>
            </w:tcBorders>
            <w:shd w:val="clear" w:color="auto" w:fill="CDFFCC"/>
          </w:tcPr>
          <w:p>
            <w:pPr>
              <w:spacing w:after="0"/>
              <w:rPr>
                <w:sz w:val="17"/>
                <w:szCs w:val="17"/>
                <w:color w:val="auto"/>
              </w:rPr>
            </w:pPr>
          </w:p>
        </w:tc>
        <w:tc>
          <w:tcPr>
            <w:tcW w:w="160" w:type="dxa"/>
            <w:vAlign w:val="bottom"/>
            <w:tcBorders>
              <w:top w:val="single" w:sz="8" w:color="auto"/>
            </w:tcBorders>
            <w:shd w:val="clear" w:color="auto" w:fill="CDFFCC"/>
          </w:tcPr>
          <w:p>
            <w:pPr>
              <w:spacing w:after="0"/>
              <w:rPr>
                <w:sz w:val="17"/>
                <w:szCs w:val="17"/>
                <w:color w:val="auto"/>
              </w:rPr>
            </w:pPr>
          </w:p>
        </w:tc>
        <w:tc>
          <w:tcPr>
            <w:tcW w:w="740" w:type="dxa"/>
            <w:vAlign w:val="bottom"/>
            <w:tcBorders>
              <w:top w:val="single" w:sz="8" w:color="auto"/>
            </w:tcBorders>
            <w:shd w:val="clear" w:color="auto" w:fill="CDFFCC"/>
          </w:tcPr>
          <w:p>
            <w:pPr>
              <w:spacing w:after="0"/>
              <w:rPr>
                <w:sz w:val="17"/>
                <w:szCs w:val="17"/>
                <w:color w:val="auto"/>
              </w:rPr>
            </w:pPr>
          </w:p>
        </w:tc>
        <w:tc>
          <w:tcPr>
            <w:tcW w:w="100" w:type="dxa"/>
            <w:vAlign w:val="bottom"/>
            <w:tcBorders>
              <w:top w:val="single" w:sz="8" w:color="CDFFCC"/>
            </w:tcBorders>
            <w:shd w:val="clear" w:color="auto" w:fill="CDFFCC"/>
          </w:tcPr>
          <w:p>
            <w:pPr>
              <w:spacing w:after="0"/>
              <w:rPr>
                <w:sz w:val="17"/>
                <w:szCs w:val="17"/>
                <w:color w:val="auto"/>
              </w:rPr>
            </w:pPr>
          </w:p>
        </w:tc>
        <w:tc>
          <w:tcPr>
            <w:tcW w:w="140" w:type="dxa"/>
            <w:vAlign w:val="bottom"/>
            <w:tcBorders>
              <w:top w:val="single" w:sz="8" w:color="auto"/>
            </w:tcBorders>
            <w:shd w:val="clear" w:color="auto" w:fill="CDFFCC"/>
          </w:tcPr>
          <w:p>
            <w:pPr>
              <w:spacing w:after="0"/>
              <w:rPr>
                <w:sz w:val="17"/>
                <w:szCs w:val="17"/>
                <w:color w:val="auto"/>
              </w:rPr>
            </w:pPr>
          </w:p>
        </w:tc>
        <w:tc>
          <w:tcPr>
            <w:tcW w:w="680" w:type="dxa"/>
            <w:vAlign w:val="bottom"/>
            <w:tcBorders>
              <w:top w:val="single" w:sz="8" w:color="auto"/>
            </w:tcBorders>
            <w:shd w:val="clear" w:color="auto" w:fill="CDFFCC"/>
          </w:tcPr>
          <w:p>
            <w:pPr>
              <w:spacing w:after="0"/>
              <w:rPr>
                <w:sz w:val="17"/>
                <w:szCs w:val="17"/>
                <w:color w:val="auto"/>
              </w:rPr>
            </w:pPr>
          </w:p>
        </w:tc>
        <w:tc>
          <w:tcPr>
            <w:tcW w:w="120" w:type="dxa"/>
            <w:vAlign w:val="bottom"/>
            <w:tcBorders>
              <w:top w:val="single" w:sz="8" w:color="CDFFCC"/>
            </w:tcBorders>
            <w:shd w:val="clear" w:color="auto" w:fill="CDFFCC"/>
          </w:tcPr>
          <w:p>
            <w:pPr>
              <w:spacing w:after="0"/>
              <w:rPr>
                <w:sz w:val="17"/>
                <w:szCs w:val="17"/>
                <w:color w:val="auto"/>
              </w:rPr>
            </w:pPr>
          </w:p>
        </w:tc>
        <w:tc>
          <w:tcPr>
            <w:tcW w:w="180" w:type="dxa"/>
            <w:vAlign w:val="bottom"/>
            <w:tcBorders>
              <w:top w:val="single" w:sz="8" w:color="auto"/>
            </w:tcBorders>
            <w:shd w:val="clear" w:color="auto" w:fill="CDFFCC"/>
          </w:tcPr>
          <w:p>
            <w:pPr>
              <w:spacing w:after="0"/>
              <w:rPr>
                <w:sz w:val="17"/>
                <w:szCs w:val="17"/>
                <w:color w:val="auto"/>
              </w:rPr>
            </w:pPr>
          </w:p>
        </w:tc>
        <w:tc>
          <w:tcPr>
            <w:tcW w:w="700" w:type="dxa"/>
            <w:vAlign w:val="bottom"/>
            <w:tcBorders>
              <w:top w:val="single" w:sz="8" w:color="auto"/>
            </w:tcBorders>
            <w:shd w:val="clear" w:color="auto" w:fill="CDFFCC"/>
          </w:tcPr>
          <w:p>
            <w:pPr>
              <w:spacing w:after="0"/>
              <w:rPr>
                <w:sz w:val="17"/>
                <w:szCs w:val="17"/>
                <w:color w:val="auto"/>
              </w:rPr>
            </w:pPr>
          </w:p>
        </w:tc>
        <w:tc>
          <w:tcPr>
            <w:tcW w:w="260" w:type="dxa"/>
            <w:vAlign w:val="bottom"/>
            <w:tcBorders>
              <w:top w:val="single" w:sz="8" w:color="CDFFCC"/>
            </w:tcBorders>
            <w:shd w:val="clear" w:color="auto" w:fill="CDFFCC"/>
          </w:tcPr>
          <w:p>
            <w:pPr>
              <w:spacing w:after="0"/>
              <w:rPr>
                <w:sz w:val="17"/>
                <w:szCs w:val="17"/>
                <w:color w:val="auto"/>
              </w:rPr>
            </w:pPr>
          </w:p>
        </w:tc>
        <w:tc>
          <w:tcPr>
            <w:tcW w:w="140" w:type="dxa"/>
            <w:vAlign w:val="bottom"/>
            <w:tcBorders>
              <w:top w:val="single" w:sz="8" w:color="auto"/>
            </w:tcBorders>
            <w:shd w:val="clear" w:color="auto" w:fill="CDFFCC"/>
          </w:tcPr>
          <w:p>
            <w:pPr>
              <w:spacing w:after="0"/>
              <w:rPr>
                <w:sz w:val="17"/>
                <w:szCs w:val="17"/>
                <w:color w:val="auto"/>
              </w:rPr>
            </w:pPr>
          </w:p>
        </w:tc>
        <w:tc>
          <w:tcPr>
            <w:tcW w:w="700" w:type="dxa"/>
            <w:vAlign w:val="bottom"/>
            <w:tcBorders>
              <w:top w:val="single" w:sz="8" w:color="auto"/>
            </w:tcBorders>
            <w:shd w:val="clear" w:color="auto" w:fill="CDFFCC"/>
          </w:tcPr>
          <w:p>
            <w:pPr>
              <w:spacing w:after="0"/>
              <w:rPr>
                <w:sz w:val="17"/>
                <w:szCs w:val="17"/>
                <w:color w:val="auto"/>
              </w:rPr>
            </w:pPr>
          </w:p>
        </w:tc>
        <w:tc>
          <w:tcPr>
            <w:tcW w:w="100" w:type="dxa"/>
            <w:vAlign w:val="bottom"/>
            <w:tcBorders>
              <w:top w:val="single" w:sz="8" w:color="CDFFCC"/>
            </w:tcBorders>
            <w:shd w:val="clear" w:color="auto" w:fill="CDFFCC"/>
          </w:tcPr>
          <w:p>
            <w:pPr>
              <w:spacing w:after="0"/>
              <w:rPr>
                <w:sz w:val="17"/>
                <w:szCs w:val="17"/>
                <w:color w:val="auto"/>
              </w:rPr>
            </w:pPr>
          </w:p>
        </w:tc>
        <w:tc>
          <w:tcPr>
            <w:tcW w:w="140" w:type="dxa"/>
            <w:vAlign w:val="bottom"/>
            <w:tcBorders>
              <w:top w:val="single" w:sz="8" w:color="auto"/>
            </w:tcBorders>
            <w:shd w:val="clear" w:color="auto" w:fill="CDFFCC"/>
          </w:tcPr>
          <w:p>
            <w:pPr>
              <w:spacing w:after="0"/>
              <w:rPr>
                <w:sz w:val="17"/>
                <w:szCs w:val="17"/>
                <w:color w:val="auto"/>
              </w:rPr>
            </w:pPr>
          </w:p>
        </w:tc>
        <w:tc>
          <w:tcPr>
            <w:tcW w:w="680" w:type="dxa"/>
            <w:vAlign w:val="bottom"/>
            <w:tcBorders>
              <w:top w:val="single" w:sz="8" w:color="auto"/>
            </w:tcBorders>
            <w:shd w:val="clear" w:color="auto" w:fill="CDFFCC"/>
          </w:tcPr>
          <w:p>
            <w:pPr>
              <w:spacing w:after="0"/>
              <w:rPr>
                <w:sz w:val="17"/>
                <w:szCs w:val="17"/>
                <w:color w:val="auto"/>
              </w:rPr>
            </w:pPr>
          </w:p>
        </w:tc>
        <w:tc>
          <w:tcPr>
            <w:tcW w:w="120" w:type="dxa"/>
            <w:vAlign w:val="bottom"/>
            <w:tcBorders>
              <w:top w:val="single" w:sz="8" w:color="CDFFCC"/>
            </w:tcBorders>
            <w:shd w:val="clear" w:color="auto" w:fill="CDFFCC"/>
          </w:tcPr>
          <w:p>
            <w:pPr>
              <w:spacing w:after="0"/>
              <w:rPr>
                <w:sz w:val="17"/>
                <w:szCs w:val="17"/>
                <w:color w:val="auto"/>
              </w:rPr>
            </w:pPr>
          </w:p>
        </w:tc>
        <w:tc>
          <w:tcPr>
            <w:tcW w:w="120" w:type="dxa"/>
            <w:vAlign w:val="bottom"/>
            <w:tcBorders>
              <w:top w:val="single" w:sz="8" w:color="auto"/>
            </w:tcBorders>
            <w:shd w:val="clear" w:color="auto" w:fill="CDFFCC"/>
          </w:tcPr>
          <w:p>
            <w:pPr>
              <w:spacing w:after="0"/>
              <w:rPr>
                <w:sz w:val="17"/>
                <w:szCs w:val="17"/>
                <w:color w:val="auto"/>
              </w:rPr>
            </w:pPr>
          </w:p>
        </w:tc>
        <w:tc>
          <w:tcPr>
            <w:tcW w:w="700" w:type="dxa"/>
            <w:vAlign w:val="bottom"/>
            <w:tcBorders>
              <w:top w:val="single" w:sz="8" w:color="auto"/>
            </w:tcBorders>
            <w:shd w:val="clear" w:color="auto" w:fill="CDFFCC"/>
          </w:tcPr>
          <w:p>
            <w:pPr>
              <w:spacing w:after="0"/>
              <w:rPr>
                <w:sz w:val="17"/>
                <w:szCs w:val="17"/>
                <w:color w:val="auto"/>
              </w:rPr>
            </w:pPr>
          </w:p>
        </w:tc>
        <w:tc>
          <w:tcPr>
            <w:tcW w:w="100" w:type="dxa"/>
            <w:vAlign w:val="bottom"/>
            <w:tcBorders>
              <w:top w:val="single" w:sz="8" w:color="CDFFCC"/>
            </w:tcBorders>
            <w:shd w:val="clear" w:color="auto" w:fill="CDFFCC"/>
          </w:tcPr>
          <w:p>
            <w:pPr>
              <w:spacing w:after="0"/>
              <w:rPr>
                <w:sz w:val="17"/>
                <w:szCs w:val="17"/>
                <w:color w:val="auto"/>
              </w:rPr>
            </w:pPr>
          </w:p>
        </w:tc>
        <w:tc>
          <w:tcPr>
            <w:tcW w:w="180" w:type="dxa"/>
            <w:vAlign w:val="bottom"/>
            <w:tcBorders>
              <w:top w:val="single" w:sz="8" w:color="auto"/>
            </w:tcBorders>
            <w:shd w:val="clear" w:color="auto" w:fill="CDFFCC"/>
          </w:tcPr>
          <w:p>
            <w:pPr>
              <w:spacing w:after="0"/>
              <w:rPr>
                <w:sz w:val="17"/>
                <w:szCs w:val="17"/>
                <w:color w:val="auto"/>
              </w:rPr>
            </w:pPr>
          </w:p>
        </w:tc>
        <w:tc>
          <w:tcPr>
            <w:tcW w:w="660" w:type="dxa"/>
            <w:vAlign w:val="bottom"/>
            <w:tcBorders>
              <w:top w:val="single" w:sz="8" w:color="auto"/>
            </w:tcBorders>
            <w:shd w:val="clear" w:color="auto" w:fill="CDFFCC"/>
          </w:tcPr>
          <w:p>
            <w:pPr>
              <w:spacing w:after="0"/>
              <w:rPr>
                <w:sz w:val="17"/>
                <w:szCs w:val="17"/>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540" w:type="dxa"/>
            <w:vAlign w:val="bottom"/>
            <w:shd w:val="clear" w:color="auto" w:fill="CDFFCC"/>
          </w:tcPr>
          <w:p>
            <w:pPr>
              <w:ind w:left="2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518,212</w:t>
            </w:r>
          </w:p>
        </w:tc>
        <w:tc>
          <w:tcPr>
            <w:tcW w:w="100" w:type="dxa"/>
            <w:vAlign w:val="bottom"/>
            <w:shd w:val="clear" w:color="auto" w:fill="CDFFCC"/>
          </w:tcPr>
          <w:p>
            <w:pPr>
              <w:spacing w:after="0"/>
              <w:rPr>
                <w:sz w:val="18"/>
                <w:szCs w:val="18"/>
                <w:color w:val="auto"/>
              </w:rPr>
            </w:pPr>
          </w:p>
        </w:tc>
        <w:tc>
          <w:tcPr>
            <w:tcW w:w="1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DFFCC"/>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DFFCC"/>
          </w:tcPr>
          <w:p>
            <w:pPr>
              <w:spacing w:after="0"/>
              <w:rPr>
                <w:sz w:val="18"/>
                <w:szCs w:val="18"/>
                <w:color w:val="auto"/>
              </w:rPr>
            </w:pPr>
          </w:p>
        </w:tc>
        <w:tc>
          <w:tcPr>
            <w:tcW w:w="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DFFCC"/>
          </w:tcPr>
          <w:p>
            <w:pPr>
              <w:spacing w:after="0"/>
              <w:rPr>
                <w:sz w:val="18"/>
                <w:szCs w:val="18"/>
                <w:color w:val="auto"/>
              </w:rPr>
            </w:pPr>
          </w:p>
        </w:tc>
        <w:tc>
          <w:tcPr>
            <w:tcW w:w="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518,212</w:t>
            </w:r>
          </w:p>
        </w:tc>
        <w:tc>
          <w:tcPr>
            <w:tcW w:w="260" w:type="dxa"/>
            <w:vAlign w:val="bottom"/>
            <w:shd w:val="clear" w:color="auto" w:fill="CDFFCC"/>
          </w:tcPr>
          <w:p>
            <w:pPr>
              <w:spacing w:after="0"/>
              <w:rPr>
                <w:sz w:val="18"/>
                <w:szCs w:val="18"/>
                <w:color w:val="auto"/>
              </w:rPr>
            </w:pPr>
          </w:p>
        </w:tc>
        <w:tc>
          <w:tcPr>
            <w:tcW w:w="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328,195</w:t>
            </w:r>
          </w:p>
        </w:tc>
        <w:tc>
          <w:tcPr>
            <w:tcW w:w="100" w:type="dxa"/>
            <w:vAlign w:val="bottom"/>
            <w:shd w:val="clear" w:color="auto" w:fill="CDFFCC"/>
          </w:tcPr>
          <w:p>
            <w:pPr>
              <w:spacing w:after="0"/>
              <w:rPr>
                <w:sz w:val="18"/>
                <w:szCs w:val="18"/>
                <w:color w:val="auto"/>
              </w:rPr>
            </w:pPr>
          </w:p>
        </w:tc>
        <w:tc>
          <w:tcPr>
            <w:tcW w:w="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DFFCC"/>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DFFCC"/>
          </w:tcPr>
          <w:p>
            <w:pPr>
              <w:spacing w:after="0"/>
              <w:rPr>
                <w:sz w:val="18"/>
                <w:szCs w:val="18"/>
                <w:color w:val="auto"/>
              </w:rPr>
            </w:pPr>
          </w:p>
        </w:tc>
        <w:tc>
          <w:tcPr>
            <w:tcW w:w="1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DFFCC"/>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DFFCC"/>
          </w:tcPr>
          <w:p>
            <w:pPr>
              <w:spacing w:after="0"/>
              <w:rPr>
                <w:sz w:val="18"/>
                <w:szCs w:val="18"/>
                <w:color w:val="auto"/>
              </w:rPr>
            </w:pPr>
          </w:p>
        </w:tc>
        <w:tc>
          <w:tcPr>
            <w:tcW w:w="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328,195</w:t>
            </w:r>
          </w:p>
        </w:tc>
      </w:tr>
      <w:tr>
        <w:trPr>
          <w:trHeight w:val="212"/>
        </w:trPr>
        <w:tc>
          <w:tcPr>
            <w:tcW w:w="354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518,212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518,212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328,195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328,195</w:t>
            </w:r>
          </w:p>
        </w:tc>
      </w:tr>
      <w:tr>
        <w:trPr>
          <w:trHeight w:val="20"/>
        </w:trPr>
        <w:tc>
          <w:tcPr>
            <w:tcW w:w="3540" w:type="dxa"/>
            <w:vAlign w:val="bottom"/>
            <w:tcBorders>
              <w:bottom w:val="single" w:sz="8" w:color="CD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D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540" w:type="dxa"/>
            <w:vAlign w:val="bottom"/>
            <w:shd w:val="clear" w:color="auto" w:fill="CDFFCC"/>
          </w:tcPr>
          <w:p>
            <w:pPr>
              <w:spacing w:after="0"/>
              <w:rPr>
                <w:sz w:val="20"/>
                <w:szCs w:val="20"/>
                <w:color w:val="auto"/>
              </w:rPr>
            </w:pPr>
          </w:p>
        </w:tc>
        <w:tc>
          <w:tcPr>
            <w:tcW w:w="140" w:type="dxa"/>
            <w:vAlign w:val="bottom"/>
            <w:shd w:val="clear" w:color="auto" w:fill="CDFFCC"/>
          </w:tcPr>
          <w:p>
            <w:pPr>
              <w:spacing w:after="0"/>
              <w:rPr>
                <w:sz w:val="20"/>
                <w:szCs w:val="20"/>
                <w:color w:val="auto"/>
              </w:rPr>
            </w:pPr>
          </w:p>
        </w:tc>
        <w:tc>
          <w:tcPr>
            <w:tcW w:w="700" w:type="dxa"/>
            <w:vAlign w:val="bottom"/>
            <w:shd w:val="clear" w:color="auto" w:fill="CDFFCC"/>
          </w:tcPr>
          <w:p>
            <w:pPr>
              <w:spacing w:after="0"/>
              <w:rPr>
                <w:sz w:val="20"/>
                <w:szCs w:val="20"/>
                <w:color w:val="auto"/>
              </w:rPr>
            </w:pPr>
          </w:p>
        </w:tc>
        <w:tc>
          <w:tcPr>
            <w:tcW w:w="100" w:type="dxa"/>
            <w:vAlign w:val="bottom"/>
            <w:shd w:val="clear" w:color="auto" w:fill="CDFFCC"/>
          </w:tcPr>
          <w:p>
            <w:pPr>
              <w:spacing w:after="0"/>
              <w:rPr>
                <w:sz w:val="20"/>
                <w:szCs w:val="20"/>
                <w:color w:val="auto"/>
              </w:rPr>
            </w:pPr>
          </w:p>
        </w:tc>
        <w:tc>
          <w:tcPr>
            <w:tcW w:w="160" w:type="dxa"/>
            <w:vAlign w:val="bottom"/>
            <w:shd w:val="clear" w:color="auto" w:fill="CDFFCC"/>
          </w:tcPr>
          <w:p>
            <w:pPr>
              <w:spacing w:after="0"/>
              <w:rPr>
                <w:sz w:val="20"/>
                <w:szCs w:val="20"/>
                <w:color w:val="auto"/>
              </w:rPr>
            </w:pPr>
          </w:p>
        </w:tc>
        <w:tc>
          <w:tcPr>
            <w:tcW w:w="740" w:type="dxa"/>
            <w:vAlign w:val="bottom"/>
            <w:shd w:val="clear" w:color="auto" w:fill="CDFFCC"/>
          </w:tcPr>
          <w:p>
            <w:pPr>
              <w:spacing w:after="0"/>
              <w:rPr>
                <w:sz w:val="20"/>
                <w:szCs w:val="20"/>
                <w:color w:val="auto"/>
              </w:rPr>
            </w:pPr>
          </w:p>
        </w:tc>
        <w:tc>
          <w:tcPr>
            <w:tcW w:w="100" w:type="dxa"/>
            <w:vAlign w:val="bottom"/>
            <w:shd w:val="clear" w:color="auto" w:fill="CDFFCC"/>
          </w:tcPr>
          <w:p>
            <w:pPr>
              <w:spacing w:after="0"/>
              <w:rPr>
                <w:sz w:val="20"/>
                <w:szCs w:val="20"/>
                <w:color w:val="auto"/>
              </w:rPr>
            </w:pPr>
          </w:p>
        </w:tc>
        <w:tc>
          <w:tcPr>
            <w:tcW w:w="140" w:type="dxa"/>
            <w:vAlign w:val="bottom"/>
            <w:shd w:val="clear" w:color="auto" w:fill="CDFFCC"/>
          </w:tcPr>
          <w:p>
            <w:pPr>
              <w:spacing w:after="0"/>
              <w:rPr>
                <w:sz w:val="20"/>
                <w:szCs w:val="20"/>
                <w:color w:val="auto"/>
              </w:rPr>
            </w:pPr>
          </w:p>
        </w:tc>
        <w:tc>
          <w:tcPr>
            <w:tcW w:w="680" w:type="dxa"/>
            <w:vAlign w:val="bottom"/>
            <w:shd w:val="clear" w:color="auto" w:fill="CDFFCC"/>
          </w:tcPr>
          <w:p>
            <w:pPr>
              <w:spacing w:after="0"/>
              <w:rPr>
                <w:sz w:val="20"/>
                <w:szCs w:val="20"/>
                <w:color w:val="auto"/>
              </w:rPr>
            </w:pPr>
          </w:p>
        </w:tc>
        <w:tc>
          <w:tcPr>
            <w:tcW w:w="120" w:type="dxa"/>
            <w:vAlign w:val="bottom"/>
            <w:shd w:val="clear" w:color="auto" w:fill="CDFFCC"/>
          </w:tcPr>
          <w:p>
            <w:pPr>
              <w:spacing w:after="0"/>
              <w:rPr>
                <w:sz w:val="20"/>
                <w:szCs w:val="20"/>
                <w:color w:val="auto"/>
              </w:rPr>
            </w:pPr>
          </w:p>
        </w:tc>
        <w:tc>
          <w:tcPr>
            <w:tcW w:w="180" w:type="dxa"/>
            <w:vAlign w:val="bottom"/>
            <w:shd w:val="clear" w:color="auto" w:fill="CDFFCC"/>
          </w:tcPr>
          <w:p>
            <w:pPr>
              <w:spacing w:after="0"/>
              <w:rPr>
                <w:sz w:val="20"/>
                <w:szCs w:val="20"/>
                <w:color w:val="auto"/>
              </w:rPr>
            </w:pPr>
          </w:p>
        </w:tc>
        <w:tc>
          <w:tcPr>
            <w:tcW w:w="700" w:type="dxa"/>
            <w:vAlign w:val="bottom"/>
            <w:shd w:val="clear" w:color="auto" w:fill="CDFFCC"/>
          </w:tcPr>
          <w:p>
            <w:pPr>
              <w:spacing w:after="0"/>
              <w:rPr>
                <w:sz w:val="20"/>
                <w:szCs w:val="20"/>
                <w:color w:val="auto"/>
              </w:rPr>
            </w:pPr>
          </w:p>
        </w:tc>
        <w:tc>
          <w:tcPr>
            <w:tcW w:w="260" w:type="dxa"/>
            <w:vAlign w:val="bottom"/>
            <w:shd w:val="clear" w:color="auto" w:fill="CDFFCC"/>
          </w:tcPr>
          <w:p>
            <w:pPr>
              <w:spacing w:after="0"/>
              <w:rPr>
                <w:sz w:val="20"/>
                <w:szCs w:val="20"/>
                <w:color w:val="auto"/>
              </w:rPr>
            </w:pPr>
          </w:p>
        </w:tc>
        <w:tc>
          <w:tcPr>
            <w:tcW w:w="140" w:type="dxa"/>
            <w:vAlign w:val="bottom"/>
            <w:shd w:val="clear" w:color="auto" w:fill="CDFFCC"/>
          </w:tcPr>
          <w:p>
            <w:pPr>
              <w:spacing w:after="0"/>
              <w:rPr>
                <w:sz w:val="20"/>
                <w:szCs w:val="20"/>
                <w:color w:val="auto"/>
              </w:rPr>
            </w:pPr>
          </w:p>
        </w:tc>
        <w:tc>
          <w:tcPr>
            <w:tcW w:w="700" w:type="dxa"/>
            <w:vAlign w:val="bottom"/>
            <w:shd w:val="clear" w:color="auto" w:fill="CDFFCC"/>
          </w:tcPr>
          <w:p>
            <w:pPr>
              <w:spacing w:after="0"/>
              <w:rPr>
                <w:sz w:val="20"/>
                <w:szCs w:val="20"/>
                <w:color w:val="auto"/>
              </w:rPr>
            </w:pPr>
          </w:p>
        </w:tc>
        <w:tc>
          <w:tcPr>
            <w:tcW w:w="100" w:type="dxa"/>
            <w:vAlign w:val="bottom"/>
            <w:shd w:val="clear" w:color="auto" w:fill="CDFFCC"/>
          </w:tcPr>
          <w:p>
            <w:pPr>
              <w:spacing w:after="0"/>
              <w:rPr>
                <w:sz w:val="20"/>
                <w:szCs w:val="20"/>
                <w:color w:val="auto"/>
              </w:rPr>
            </w:pPr>
          </w:p>
        </w:tc>
        <w:tc>
          <w:tcPr>
            <w:tcW w:w="140" w:type="dxa"/>
            <w:vAlign w:val="bottom"/>
            <w:shd w:val="clear" w:color="auto" w:fill="CDFFCC"/>
          </w:tcPr>
          <w:p>
            <w:pPr>
              <w:spacing w:after="0"/>
              <w:rPr>
                <w:sz w:val="20"/>
                <w:szCs w:val="20"/>
                <w:color w:val="auto"/>
              </w:rPr>
            </w:pPr>
          </w:p>
        </w:tc>
        <w:tc>
          <w:tcPr>
            <w:tcW w:w="680" w:type="dxa"/>
            <w:vAlign w:val="bottom"/>
            <w:shd w:val="clear" w:color="auto" w:fill="CDFFCC"/>
          </w:tcPr>
          <w:p>
            <w:pPr>
              <w:spacing w:after="0"/>
              <w:rPr>
                <w:sz w:val="20"/>
                <w:szCs w:val="20"/>
                <w:color w:val="auto"/>
              </w:rPr>
            </w:pPr>
          </w:p>
        </w:tc>
        <w:tc>
          <w:tcPr>
            <w:tcW w:w="120" w:type="dxa"/>
            <w:vAlign w:val="bottom"/>
            <w:shd w:val="clear" w:color="auto" w:fill="CDFFCC"/>
          </w:tcPr>
          <w:p>
            <w:pPr>
              <w:spacing w:after="0"/>
              <w:rPr>
                <w:sz w:val="20"/>
                <w:szCs w:val="20"/>
                <w:color w:val="auto"/>
              </w:rPr>
            </w:pPr>
          </w:p>
        </w:tc>
        <w:tc>
          <w:tcPr>
            <w:tcW w:w="120" w:type="dxa"/>
            <w:vAlign w:val="bottom"/>
            <w:shd w:val="clear" w:color="auto" w:fill="CDFFCC"/>
          </w:tcPr>
          <w:p>
            <w:pPr>
              <w:spacing w:after="0"/>
              <w:rPr>
                <w:sz w:val="20"/>
                <w:szCs w:val="20"/>
                <w:color w:val="auto"/>
              </w:rPr>
            </w:pPr>
          </w:p>
        </w:tc>
        <w:tc>
          <w:tcPr>
            <w:tcW w:w="700" w:type="dxa"/>
            <w:vAlign w:val="bottom"/>
            <w:shd w:val="clear" w:color="auto" w:fill="CDFFCC"/>
          </w:tcPr>
          <w:p>
            <w:pPr>
              <w:spacing w:after="0"/>
              <w:rPr>
                <w:sz w:val="20"/>
                <w:szCs w:val="20"/>
                <w:color w:val="auto"/>
              </w:rPr>
            </w:pPr>
          </w:p>
        </w:tc>
        <w:tc>
          <w:tcPr>
            <w:tcW w:w="100" w:type="dxa"/>
            <w:vAlign w:val="bottom"/>
            <w:shd w:val="clear" w:color="auto" w:fill="CDFFCC"/>
          </w:tcPr>
          <w:p>
            <w:pPr>
              <w:spacing w:after="0"/>
              <w:rPr>
                <w:sz w:val="20"/>
                <w:szCs w:val="20"/>
                <w:color w:val="auto"/>
              </w:rPr>
            </w:pPr>
          </w:p>
        </w:tc>
        <w:tc>
          <w:tcPr>
            <w:tcW w:w="180" w:type="dxa"/>
            <w:vAlign w:val="bottom"/>
            <w:shd w:val="clear" w:color="auto" w:fill="CDFFCC"/>
          </w:tcPr>
          <w:p>
            <w:pPr>
              <w:spacing w:after="0"/>
              <w:rPr>
                <w:sz w:val="20"/>
                <w:szCs w:val="20"/>
                <w:color w:val="auto"/>
              </w:rPr>
            </w:pPr>
          </w:p>
        </w:tc>
        <w:tc>
          <w:tcPr>
            <w:tcW w:w="660" w:type="dxa"/>
            <w:vAlign w:val="bottom"/>
            <w:shd w:val="clear" w:color="auto" w:fill="CDFFCC"/>
          </w:tcPr>
          <w:p>
            <w:pPr>
              <w:spacing w:after="0"/>
              <w:rPr>
                <w:sz w:val="20"/>
                <w:szCs w:val="20"/>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540" w:type="dxa"/>
            <w:vAlign w:val="bottom"/>
            <w:shd w:val="clear" w:color="auto" w:fill="CDFFCC"/>
          </w:tcPr>
          <w:p>
            <w:pPr>
              <w:ind w:left="220"/>
              <w:spacing w:after="0"/>
              <w:rPr>
                <w:sz w:val="20"/>
                <w:szCs w:val="20"/>
                <w:color w:val="auto"/>
              </w:rPr>
            </w:pPr>
            <w:r>
              <w:rPr>
                <w:rFonts w:ascii="Arial" w:cs="Arial" w:eastAsia="Arial" w:hAnsi="Arial"/>
                <w:sz w:val="16"/>
                <w:szCs w:val="16"/>
                <w:color w:val="auto"/>
              </w:rPr>
              <w:t>Contingent earn-out</w:t>
            </w:r>
          </w:p>
        </w:tc>
        <w:tc>
          <w:tcPr>
            <w:tcW w:w="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DFFCC"/>
          </w:tcPr>
          <w:p>
            <w:pPr>
              <w:spacing w:after="0"/>
              <w:rPr>
                <w:sz w:val="18"/>
                <w:szCs w:val="18"/>
                <w:color w:val="auto"/>
              </w:rPr>
            </w:pPr>
          </w:p>
        </w:tc>
        <w:tc>
          <w:tcPr>
            <w:tcW w:w="1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DFFCC"/>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DFFCC"/>
          </w:tcPr>
          <w:p>
            <w:pPr>
              <w:spacing w:after="0"/>
              <w:rPr>
                <w:sz w:val="18"/>
                <w:szCs w:val="18"/>
                <w:color w:val="auto"/>
              </w:rPr>
            </w:pPr>
          </w:p>
        </w:tc>
        <w:tc>
          <w:tcPr>
            <w:tcW w:w="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DFFCC"/>
          </w:tcPr>
          <w:p>
            <w:pPr>
              <w:spacing w:after="0"/>
              <w:rPr>
                <w:sz w:val="18"/>
                <w:szCs w:val="18"/>
                <w:color w:val="auto"/>
              </w:rPr>
            </w:pPr>
          </w:p>
        </w:tc>
        <w:tc>
          <w:tcPr>
            <w:tcW w:w="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132</w:t>
            </w:r>
          </w:p>
        </w:tc>
        <w:tc>
          <w:tcPr>
            <w:tcW w:w="260" w:type="dxa"/>
            <w:vAlign w:val="bottom"/>
            <w:shd w:val="clear" w:color="auto" w:fill="CDFFCC"/>
          </w:tcPr>
          <w:p>
            <w:pPr>
              <w:spacing w:after="0"/>
              <w:rPr>
                <w:sz w:val="18"/>
                <w:szCs w:val="18"/>
                <w:color w:val="auto"/>
              </w:rPr>
            </w:pPr>
          </w:p>
        </w:tc>
        <w:tc>
          <w:tcPr>
            <w:tcW w:w="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DFFCC"/>
          </w:tcPr>
          <w:p>
            <w:pPr>
              <w:spacing w:after="0"/>
              <w:rPr>
                <w:sz w:val="18"/>
                <w:szCs w:val="18"/>
                <w:color w:val="auto"/>
              </w:rPr>
            </w:pPr>
          </w:p>
        </w:tc>
        <w:tc>
          <w:tcPr>
            <w:tcW w:w="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DFFCC"/>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DFFCC"/>
          </w:tcPr>
          <w:p>
            <w:pPr>
              <w:spacing w:after="0"/>
              <w:rPr>
                <w:sz w:val="18"/>
                <w:szCs w:val="18"/>
                <w:color w:val="auto"/>
              </w:rPr>
            </w:pPr>
          </w:p>
        </w:tc>
        <w:tc>
          <w:tcPr>
            <w:tcW w:w="1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DFFCC"/>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DFFCC"/>
          </w:tcPr>
          <w:p>
            <w:pPr>
              <w:spacing w:after="0"/>
              <w:rPr>
                <w:sz w:val="18"/>
                <w:szCs w:val="18"/>
                <w:color w:val="auto"/>
              </w:rPr>
            </w:pPr>
          </w:p>
        </w:tc>
        <w:tc>
          <w:tcPr>
            <w:tcW w:w="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a goodwill impairment test. This measurement is classified based on level 3 input.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March 31, 2021, the fair value of the Notes, as further described in Note 8 above, was approximately $572 million. Management determines the fair value by utilizing an independent valuation specialist using the antithetic variable technique which is considered a level 2 fair value measurement.</w:t>
      </w:r>
    </w:p>
    <w:p>
      <w:pPr>
        <w:spacing w:after="0" w:line="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recorded a contingent earn-out of $2.4 million in December 2018 in connection with the acquisitions of Conversable, Inc. and AdvantageTec. The contingent earn-out is based on achieving certain targeted financial, strategic, and integration objectives. The unobservable inputs considered are probability factors and the time value of money. During the year ended December 31, 2020, the contingent earn-out decreased by $0.6 million due to a decrease in re-measurement to fair value of AdvantageTec, of approximately $0.3 million and payments of approximately $0.3 million in shares. During the three months ended March 31, 2021, the contingent earn-out increased by $0.1 million. See Note 9 for a full description of the AdvantageTec acquisition.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61"/>
              <w:spacing w:after="0"/>
              <w:rPr>
                <w:sz w:val="20"/>
                <w:szCs w:val="20"/>
                <w:color w:val="auto"/>
              </w:rPr>
            </w:pPr>
            <w:r>
              <w:rPr>
                <w:rFonts w:ascii="Arial" w:cs="Arial" w:eastAsia="Arial" w:hAnsi="Arial"/>
                <w:sz w:val="14"/>
                <w:szCs w:val="14"/>
                <w:b w:val="1"/>
                <w:bCs w:val="1"/>
                <w:color w:val="auto"/>
                <w:w w:val="95"/>
              </w:rPr>
              <w:t>Contingent Earn-Out</w:t>
            </w:r>
          </w:p>
        </w:tc>
      </w:tr>
      <w:tr>
        <w:trPr>
          <w:trHeight w:val="187"/>
        </w:trPr>
        <w:tc>
          <w:tcPr>
            <w:tcW w:w="8220" w:type="dxa"/>
            <w:vAlign w:val="bottom"/>
            <w:tcBorders>
              <w:bottom w:val="single" w:sz="8" w:color="CD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March 31, 2021</w:t>
            </w:r>
          </w:p>
        </w:tc>
        <w:tc>
          <w:tcPr>
            <w:tcW w:w="100" w:type="dxa"/>
            <w:vAlign w:val="bottom"/>
            <w:tcBorders>
              <w:bottom w:val="single" w:sz="8" w:color="CD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December 31, 2020</w:t>
            </w:r>
          </w:p>
        </w:tc>
      </w:tr>
      <w:tr>
        <w:trPr>
          <w:trHeight w:val="211"/>
        </w:trPr>
        <w:tc>
          <w:tcPr>
            <w:tcW w:w="8220" w:type="dxa"/>
            <w:vAlign w:val="bottom"/>
            <w:shd w:val="clear" w:color="auto" w:fill="CDFFCC"/>
          </w:tcPr>
          <w:p>
            <w:pPr>
              <w:ind w:left="20"/>
              <w:spacing w:after="0"/>
              <w:rPr>
                <w:sz w:val="20"/>
                <w:szCs w:val="20"/>
                <w:color w:val="auto"/>
              </w:rPr>
            </w:pPr>
            <w:r>
              <w:rPr>
                <w:rFonts w:ascii="Arial" w:cs="Arial" w:eastAsia="Arial" w:hAnsi="Arial"/>
                <w:sz w:val="16"/>
                <w:szCs w:val="16"/>
                <w:color w:val="auto"/>
              </w:rPr>
              <w:t>Balance, Beginning of period</w:t>
            </w:r>
          </w:p>
        </w:tc>
        <w:tc>
          <w:tcPr>
            <w:tcW w:w="160" w:type="dxa"/>
            <w:vAlign w:val="bottom"/>
            <w:shd w:val="clear" w:color="auto" w:fill="CDFFC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DFFCC"/>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DFFCC"/>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557</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AdvantageTec Inc. fair value adjustment (see Note 9)</w:t>
            </w:r>
          </w:p>
        </w:tc>
        <w:tc>
          <w:tcPr>
            <w:tcW w:w="1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6"/>
        </w:trPr>
        <w:tc>
          <w:tcPr>
            <w:tcW w:w="8220" w:type="dxa"/>
            <w:vAlign w:val="bottom"/>
            <w:shd w:val="clear" w:color="auto" w:fill="CDFFCC"/>
          </w:tcPr>
          <w:p>
            <w:pPr>
              <w:ind w:left="140"/>
              <w:spacing w:after="0"/>
              <w:rPr>
                <w:sz w:val="20"/>
                <w:szCs w:val="20"/>
                <w:color w:val="auto"/>
              </w:rPr>
            </w:pPr>
            <w:r>
              <w:rPr>
                <w:rFonts w:ascii="Arial" w:cs="Arial" w:eastAsia="Arial" w:hAnsi="Arial"/>
                <w:sz w:val="16"/>
                <w:szCs w:val="16"/>
                <w:color w:val="auto"/>
              </w:rPr>
              <w:t>Payments</w:t>
            </w:r>
          </w:p>
        </w:tc>
        <w:tc>
          <w:tcPr>
            <w:tcW w:w="160" w:type="dxa"/>
            <w:vAlign w:val="bottom"/>
            <w:shd w:val="clear" w:color="auto" w:fill="CDFFCC"/>
          </w:tcPr>
          <w:p>
            <w:pPr>
              <w:spacing w:after="0"/>
              <w:rPr>
                <w:sz w:val="18"/>
                <w:szCs w:val="18"/>
                <w:color w:val="auto"/>
              </w:rPr>
            </w:pPr>
          </w:p>
        </w:tc>
        <w:tc>
          <w:tcPr>
            <w:tcW w:w="1280" w:type="dxa"/>
            <w:vAlign w:val="bottom"/>
            <w:gridSpan w:val="2"/>
            <w:shd w:val="clear" w:color="auto" w:fill="CDFFCC"/>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DFFCC"/>
          </w:tcPr>
          <w:p>
            <w:pPr>
              <w:spacing w:after="0"/>
              <w:rPr>
                <w:sz w:val="18"/>
                <w:szCs w:val="18"/>
                <w:color w:val="auto"/>
              </w:rPr>
            </w:pPr>
          </w:p>
        </w:tc>
        <w:tc>
          <w:tcPr>
            <w:tcW w:w="14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(294)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111111"/>
        </w:rPr>
        <w:t xml:space="preserve">The Company has entered into various non-cancelable operating lease agreements for certain of its offices and vehicles. The Company has also entered into various non-cancelable finance lease agreements for certain network equipment. The </w:t>
      </w:r>
      <w:r>
        <w:rPr>
          <w:rFonts w:ascii="Arial" w:cs="Arial" w:eastAsia="Arial" w:hAnsi="Arial"/>
          <w:sz w:val="18"/>
          <w:szCs w:val="18"/>
          <w:color w:val="000000"/>
        </w:rPr>
        <w:t>leases have initial lease terms ranging from 1 to 12 years.</w:t>
      </w:r>
      <w:r>
        <w:rPr>
          <w:rFonts w:ascii="Arial" w:cs="Arial" w:eastAsia="Arial" w:hAnsi="Arial"/>
          <w:sz w:val="18"/>
          <w:szCs w:val="18"/>
          <w:color w:val="111111"/>
        </w:rPr>
        <w:t xml:space="preserve"> </w:t>
      </w:r>
      <w:r>
        <w:rPr>
          <w:rFonts w:ascii="Arial" w:cs="Arial" w:eastAsia="Arial" w:hAnsi="Arial"/>
          <w:sz w:val="18"/>
          <w:szCs w:val="18"/>
          <w:color w:val="000000"/>
        </w:rPr>
        <w:t>Payments due under the lease contracts include primarily fixed payments. The lease terms include periods under options to extend or terminate the lease when it is reasonably certain that the Company will exercise that option. The Company does not assume renewals in its determination of the lease term unless the renewals are deemed to be reasonably assured. The Company’s lease agreements generally do not contain any material residual value guarantees or material restrictive covenants.</w:t>
      </w:r>
    </w:p>
    <w:p>
      <w:pPr>
        <w:spacing w:after="0" w:line="1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111111"/>
        </w:rPr>
        <w:t>The Company has evaluated its facility leases and determined which leases met the definition of the new standard in accordance with Topic 842. The Company also performed an evaluation of their other contracts with suppliers in accordance with Topic 842 and have determined that, except for the facilities, car, and network equipment leases described above, none of its supply contracts contain a lease. Further, the Company has made an accounting policy election to keep leases with a term of twelve months or less off the balance sheet. This policy applies to all classes of the underlying assets. The Company will recognize those lease payments and associated interest expense in the consolidated statement of operations evenly over the lease term.</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111111"/>
        </w:rPr>
        <w:t>The Company elected the “package of practical expedients,” which permits the Company not to reassess under ASC 842 its prior conclusions about lease identification, lease classification and initial direct costs. The Company also made a policy election not to separate non-lease components from lease components. Furthermore, the Company elected not to capitalize leases with a term of 12 months or less and not to recognize the lease expense for such leases generally on a straight-line basis over the lease term.</w:t>
      </w:r>
    </w:p>
    <w:p>
      <w:pPr>
        <w:spacing w:after="0" w:line="10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111111"/>
        </w:rPr>
        <w:t xml:space="preserve">The determination of the discount rate used to calculate the present value of the right-of-use assets and lease liabilities depends on whether an interest rate is implicit in the lease or not. If a rate is implicit in the lease, that rate is used when calculating the present value of lease payments. </w:t>
      </w:r>
      <w:r>
        <w:rPr>
          <w:rFonts w:ascii="Arial" w:cs="Arial" w:eastAsia="Arial" w:hAnsi="Arial"/>
          <w:sz w:val="17"/>
          <w:szCs w:val="17"/>
          <w:color w:val="000000"/>
        </w:rPr>
        <w:t>If the rate is not</w:t>
      </w:r>
      <w:r>
        <w:rPr>
          <w:rFonts w:ascii="Arial" w:cs="Arial" w:eastAsia="Arial" w:hAnsi="Arial"/>
          <w:sz w:val="17"/>
          <w:szCs w:val="17"/>
          <w:color w:val="111111"/>
        </w:rPr>
        <w:t xml:space="preserve"> </w:t>
      </w:r>
      <w:r>
        <w:rPr>
          <w:rFonts w:ascii="Arial" w:cs="Arial" w:eastAsia="Arial" w:hAnsi="Arial"/>
          <w:sz w:val="17"/>
          <w:szCs w:val="17"/>
          <w:color w:val="000000"/>
        </w:rPr>
        <w:t>readily determinable, which is generally the case for the Company, the Company’s incremental borrowing rate (“IBR”) as of the date of inception of the lease is used (for initial measurement, the IBR was determined as of the adoption date of the standard). The IBR is the rate of interest that the Company would have to pay to borrow on a collateralized basis over a similar term and amount equal to the lease payments in a similar economic environment. The Company used a ratings benchmark report against its peers in the technology sector.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connection with the leases, the Company recognized operating lease right-of-use assets of $0.4 million and $0.6 million and an aggregate lease liability of $11.3 million and $12.9 million in its condensed consolidated balance sheet as of March 31, 2021 and December 31, 2020, respectively.</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operating and finance leases for its corporate offices and other service agreements. The Company’s leases have remaining lease terms of 1 to 5 years, some of which include options to extend. The Company’s lease expense for the three months ended March 31, 2021 and 2020, consisting entirely of operating leases, was approximately $1.9 million and $3.4 million, respectively.</w:t>
      </w:r>
    </w:p>
    <w:p>
      <w:pPr>
        <w:spacing w:after="0" w:line="1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July 13, 2020, the Company announced its decision to transition to an employee-centric model under which employees will work remotely rather than in traditional offices. In connection with this decision, the Company abandoned 14 leases in its global portfolio of office leases during the twelve months ended December 31, 2020. As a result, the Company recognized accelerated amortization to fully reduce the carrying value of the associated right of use assets (“ROU assets”) between the decision date, which was determined to be July 13, 2020 and the cease use date. There were no changes to the accounting for the lease liabilities associated with the leased office spaces. Additionally, the Company recognized accelerated depreciation of fixed assets that were determined no longer to be of future economic benefit to the Company based on the decision to vacate the leased office space. Lease restructuring expenses of $24.3 million are included in restructuring costs in the condensed consolidated statements of operations for the twelve months ended December 31, 2020. The Company also incurred other non-recurring expenses of $5.1 million in restructuring costs in the condensed consolidated statements of operations for the twelve months ended December 31, 2020 associated with the transition to an employee-centric workforce model that does not rely on traditional offices. These expenses include termination penalties, moving expenses, storage expenses and incremental legal and consulting fees. The associated liability is presented on the condensed consolidated balance sheets within accrued expenses and other current liabilities as of March 31, 2021. Subsequent adjustments to these liabilities, including final settlement of the amounts, will be reflected in future period earnings.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continues to actively assess its global lease portfolio. However, any additional de-recognition of ROU assets and incurrence of various one-time expenses in connection with early termination of additional leases are not expected to be material to the Company’s financial condition or results of operations.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leases for the quarters ended March 31, 2021 and 2020 are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130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DFFCC"/>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CDFFCC"/>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6380" w:type="dxa"/>
            <w:vAlign w:val="bottom"/>
            <w:shd w:val="clear" w:color="auto" w:fill="CDFFC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300" w:type="dxa"/>
            <w:vAlign w:val="bottom"/>
            <w:shd w:val="clear" w:color="auto" w:fill="CDFFCC"/>
          </w:tcPr>
          <w:p>
            <w:pPr>
              <w:spacing w:after="0"/>
              <w:rPr>
                <w:sz w:val="18"/>
                <w:szCs w:val="18"/>
                <w:color w:val="auto"/>
              </w:rPr>
            </w:pPr>
          </w:p>
        </w:tc>
        <w:tc>
          <w:tcPr>
            <w:tcW w:w="940" w:type="dxa"/>
            <w:vAlign w:val="bottom"/>
            <w:shd w:val="clear" w:color="auto" w:fill="CDFFCC"/>
          </w:tcPr>
          <w:p>
            <w:pPr>
              <w:spacing w:after="0"/>
              <w:rPr>
                <w:sz w:val="18"/>
                <w:szCs w:val="18"/>
                <w:color w:val="auto"/>
              </w:rPr>
            </w:pPr>
          </w:p>
        </w:tc>
        <w:tc>
          <w:tcPr>
            <w:tcW w:w="180" w:type="dxa"/>
            <w:vAlign w:val="bottom"/>
            <w:shd w:val="clear" w:color="auto" w:fill="CDFFCC"/>
          </w:tcPr>
          <w:p>
            <w:pPr>
              <w:spacing w:after="0"/>
              <w:rPr>
                <w:sz w:val="18"/>
                <w:szCs w:val="18"/>
                <w:color w:val="auto"/>
              </w:rPr>
            </w:pPr>
          </w:p>
        </w:tc>
        <w:tc>
          <w:tcPr>
            <w:tcW w:w="940" w:type="dxa"/>
            <w:vAlign w:val="bottom"/>
            <w:shd w:val="clear" w:color="auto" w:fill="CDFFCC"/>
          </w:tcPr>
          <w:p>
            <w:pPr>
              <w:spacing w:after="0"/>
              <w:rPr>
                <w:sz w:val="18"/>
                <w:szCs w:val="18"/>
                <w:color w:val="auto"/>
              </w:rPr>
            </w:pPr>
          </w:p>
        </w:tc>
        <w:tc>
          <w:tcPr>
            <w:tcW w:w="1300" w:type="dxa"/>
            <w:vAlign w:val="bottom"/>
            <w:shd w:val="clear" w:color="auto" w:fill="CDFFCC"/>
          </w:tcPr>
          <w:p>
            <w:pPr>
              <w:spacing w:after="0"/>
              <w:rPr>
                <w:sz w:val="18"/>
                <w:szCs w:val="18"/>
                <w:color w:val="auto"/>
              </w:rPr>
            </w:pPr>
          </w:p>
        </w:tc>
      </w:tr>
      <w:tr>
        <w:trPr>
          <w:trHeight w:val="230"/>
        </w:trPr>
        <w:tc>
          <w:tcPr>
            <w:tcW w:w="6380" w:type="dxa"/>
            <w:vAlign w:val="bottom"/>
          </w:tcPr>
          <w:p>
            <w:pPr>
              <w:ind w:left="160"/>
              <w:spacing w:after="0"/>
              <w:rPr>
                <w:sz w:val="20"/>
                <w:szCs w:val="20"/>
                <w:color w:val="auto"/>
              </w:rPr>
            </w:pPr>
            <w:r>
              <w:rPr>
                <w:rFonts w:ascii="Arial" w:cs="Arial" w:eastAsia="Arial" w:hAnsi="Arial"/>
                <w:sz w:val="18"/>
                <w:szCs w:val="18"/>
                <w:color w:val="auto"/>
              </w:rPr>
              <w:t>Operating cash flows for operating leases</w:t>
            </w: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1,986</w:t>
            </w:r>
          </w:p>
        </w:tc>
      </w:tr>
      <w:tr>
        <w:trPr>
          <w:trHeight w:val="230"/>
        </w:trPr>
        <w:tc>
          <w:tcPr>
            <w:tcW w:w="6380" w:type="dxa"/>
            <w:vAlign w:val="bottom"/>
            <w:shd w:val="clear" w:color="auto" w:fill="CDFFCC"/>
          </w:tcPr>
          <w:p>
            <w:pPr>
              <w:ind w:left="160"/>
              <w:spacing w:after="0"/>
              <w:rPr>
                <w:sz w:val="20"/>
                <w:szCs w:val="20"/>
                <w:color w:val="auto"/>
              </w:rPr>
            </w:pPr>
            <w:r>
              <w:rPr>
                <w:rFonts w:ascii="Arial" w:cs="Arial" w:eastAsia="Arial" w:hAnsi="Arial"/>
                <w:sz w:val="18"/>
                <w:szCs w:val="18"/>
                <w:color w:val="auto"/>
              </w:rPr>
              <w:t>Operating cash flows for finance leases</w:t>
            </w:r>
          </w:p>
        </w:tc>
        <w:tc>
          <w:tcPr>
            <w:tcW w:w="1300" w:type="dxa"/>
            <w:vAlign w:val="bottom"/>
            <w:shd w:val="clear" w:color="auto" w:fill="CDFFCC"/>
          </w:tcPr>
          <w:p>
            <w:pPr>
              <w:spacing w:after="0"/>
              <w:rPr>
                <w:sz w:val="19"/>
                <w:szCs w:val="19"/>
                <w:color w:val="auto"/>
              </w:rPr>
            </w:pPr>
          </w:p>
        </w:tc>
        <w:tc>
          <w:tcPr>
            <w:tcW w:w="940" w:type="dxa"/>
            <w:vAlign w:val="bottom"/>
            <w:shd w:val="clear" w:color="auto" w:fill="CDFFCC"/>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DFFCC"/>
          </w:tcPr>
          <w:p>
            <w:pPr>
              <w:spacing w:after="0"/>
              <w:rPr>
                <w:sz w:val="19"/>
                <w:szCs w:val="19"/>
                <w:color w:val="auto"/>
              </w:rPr>
            </w:pPr>
          </w:p>
        </w:tc>
        <w:tc>
          <w:tcPr>
            <w:tcW w:w="940" w:type="dxa"/>
            <w:vAlign w:val="bottom"/>
            <w:shd w:val="clear" w:color="auto" w:fill="CDFFCC"/>
          </w:tcPr>
          <w:p>
            <w:pPr>
              <w:spacing w:after="0"/>
              <w:rPr>
                <w:sz w:val="19"/>
                <w:szCs w:val="19"/>
                <w:color w:val="auto"/>
              </w:rPr>
            </w:pPr>
          </w:p>
        </w:tc>
        <w:tc>
          <w:tcPr>
            <w:tcW w:w="13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tcPr>
          <w:p>
            <w:pPr>
              <w:ind w:left="160"/>
              <w:spacing w:after="0"/>
              <w:rPr>
                <w:sz w:val="20"/>
                <w:szCs w:val="20"/>
                <w:color w:val="auto"/>
              </w:rPr>
            </w:pPr>
            <w:r>
              <w:rPr>
                <w:rFonts w:ascii="Arial" w:cs="Arial" w:eastAsia="Arial" w:hAnsi="Arial"/>
                <w:sz w:val="18"/>
                <w:szCs w:val="18"/>
                <w:color w:val="auto"/>
              </w:rPr>
              <w:t>Financing cash flows for finance leases</w:t>
            </w:r>
          </w:p>
        </w:tc>
        <w:tc>
          <w:tcPr>
            <w:tcW w:w="1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costs for the quarters ended March 31, 2021 and 2020 are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1320" w:type="dxa"/>
            <w:vAlign w:val="bottom"/>
            <w:tcBorders>
              <w:bottom w:val="single" w:sz="8" w:color="auto"/>
            </w:tcBorders>
          </w:tcPr>
          <w:p>
            <w:pPr>
              <w:spacing w:after="0"/>
              <w:rPr>
                <w:sz w:val="16"/>
                <w:szCs w:val="16"/>
                <w:color w:val="auto"/>
              </w:rPr>
            </w:pPr>
          </w:p>
        </w:tc>
      </w:tr>
      <w:tr>
        <w:trPr>
          <w:trHeight w:val="187"/>
        </w:trPr>
        <w:tc>
          <w:tcPr>
            <w:tcW w:w="4100" w:type="dxa"/>
            <w:vAlign w:val="bottom"/>
            <w:tcBorders>
              <w:bottom w:val="single" w:sz="8" w:color="CDFFCC"/>
            </w:tcBorders>
          </w:tcPr>
          <w:p>
            <w:pPr>
              <w:spacing w:after="0"/>
              <w:rPr>
                <w:sz w:val="16"/>
                <w:szCs w:val="16"/>
                <w:color w:val="auto"/>
              </w:rPr>
            </w:pPr>
          </w:p>
        </w:tc>
        <w:tc>
          <w:tcPr>
            <w:tcW w:w="2460" w:type="dxa"/>
            <w:vAlign w:val="bottom"/>
            <w:tcBorders>
              <w:bottom w:val="single" w:sz="8" w:color="CDFFCC"/>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CDFFC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2020</w:t>
            </w:r>
          </w:p>
        </w:tc>
      </w:tr>
      <w:tr>
        <w:trPr>
          <w:trHeight w:val="211"/>
        </w:trPr>
        <w:tc>
          <w:tcPr>
            <w:tcW w:w="4100" w:type="dxa"/>
            <w:vAlign w:val="bottom"/>
            <w:shd w:val="clear" w:color="auto" w:fill="CDFFCC"/>
          </w:tcPr>
          <w:p>
            <w:pPr>
              <w:ind w:left="20"/>
              <w:spacing w:after="0"/>
              <w:rPr>
                <w:sz w:val="20"/>
                <w:szCs w:val="20"/>
                <w:color w:val="auto"/>
              </w:rPr>
            </w:pPr>
            <w:r>
              <w:rPr>
                <w:rFonts w:ascii="Arial" w:cs="Arial" w:eastAsia="Arial" w:hAnsi="Arial"/>
                <w:sz w:val="18"/>
                <w:szCs w:val="18"/>
                <w:color w:val="auto"/>
              </w:rPr>
              <w:t>Finance lease cost</w:t>
            </w:r>
          </w:p>
        </w:tc>
        <w:tc>
          <w:tcPr>
            <w:tcW w:w="2460" w:type="dxa"/>
            <w:vAlign w:val="bottom"/>
            <w:shd w:val="clear" w:color="auto" w:fill="CDFFCC"/>
          </w:tcPr>
          <w:p>
            <w:pPr>
              <w:spacing w:after="0"/>
              <w:rPr>
                <w:sz w:val="18"/>
                <w:szCs w:val="18"/>
                <w:color w:val="auto"/>
              </w:rPr>
            </w:pPr>
          </w:p>
        </w:tc>
        <w:tc>
          <w:tcPr>
            <w:tcW w:w="1300" w:type="dxa"/>
            <w:vAlign w:val="bottom"/>
            <w:shd w:val="clear" w:color="auto" w:fill="CDFFCC"/>
          </w:tcPr>
          <w:p>
            <w:pPr>
              <w:spacing w:after="0"/>
              <w:rPr>
                <w:sz w:val="18"/>
                <w:szCs w:val="18"/>
                <w:color w:val="auto"/>
              </w:rPr>
            </w:pPr>
          </w:p>
        </w:tc>
        <w:tc>
          <w:tcPr>
            <w:tcW w:w="940" w:type="dxa"/>
            <w:vAlign w:val="bottom"/>
            <w:shd w:val="clear" w:color="auto" w:fill="CDFFCC"/>
          </w:tcPr>
          <w:p>
            <w:pPr>
              <w:spacing w:after="0"/>
              <w:rPr>
                <w:sz w:val="18"/>
                <w:szCs w:val="18"/>
                <w:color w:val="auto"/>
              </w:rPr>
            </w:pPr>
          </w:p>
        </w:tc>
        <w:tc>
          <w:tcPr>
            <w:tcW w:w="200" w:type="dxa"/>
            <w:vAlign w:val="bottom"/>
            <w:shd w:val="clear" w:color="auto" w:fill="CDFFCC"/>
          </w:tcPr>
          <w:p>
            <w:pPr>
              <w:spacing w:after="0"/>
              <w:rPr>
                <w:sz w:val="18"/>
                <w:szCs w:val="18"/>
                <w:color w:val="auto"/>
              </w:rPr>
            </w:pPr>
          </w:p>
        </w:tc>
        <w:tc>
          <w:tcPr>
            <w:tcW w:w="920" w:type="dxa"/>
            <w:vAlign w:val="bottom"/>
            <w:shd w:val="clear" w:color="auto" w:fill="CDFFCC"/>
          </w:tcPr>
          <w:p>
            <w:pPr>
              <w:spacing w:after="0"/>
              <w:rPr>
                <w:sz w:val="18"/>
                <w:szCs w:val="18"/>
                <w:color w:val="auto"/>
              </w:rPr>
            </w:pPr>
          </w:p>
        </w:tc>
        <w:tc>
          <w:tcPr>
            <w:tcW w:w="1320" w:type="dxa"/>
            <w:vAlign w:val="bottom"/>
            <w:shd w:val="clear" w:color="auto" w:fill="CDFFCC"/>
          </w:tcPr>
          <w:p>
            <w:pPr>
              <w:spacing w:after="0"/>
              <w:rPr>
                <w:sz w:val="18"/>
                <w:szCs w:val="18"/>
                <w:color w:val="auto"/>
              </w:rPr>
            </w:pPr>
          </w:p>
        </w:tc>
      </w:tr>
      <w:tr>
        <w:trPr>
          <w:trHeight w:val="229"/>
        </w:trPr>
        <w:tc>
          <w:tcPr>
            <w:tcW w:w="4100" w:type="dxa"/>
            <w:vAlign w:val="bottom"/>
          </w:tcPr>
          <w:p>
            <w:pPr>
              <w:ind w:left="160"/>
              <w:spacing w:after="0"/>
              <w:rPr>
                <w:sz w:val="20"/>
                <w:szCs w:val="20"/>
                <w:color w:val="auto"/>
              </w:rPr>
            </w:pPr>
            <w:r>
              <w:rPr>
                <w:rFonts w:ascii="Arial" w:cs="Arial" w:eastAsia="Arial" w:hAnsi="Arial"/>
                <w:sz w:val="18"/>
                <w:szCs w:val="18"/>
                <w:color w:val="auto"/>
              </w:rPr>
              <w:t>Amortization of right-of-use assets</w:t>
            </w:r>
          </w:p>
        </w:tc>
        <w:tc>
          <w:tcPr>
            <w:tcW w:w="3760" w:type="dxa"/>
            <w:vAlign w:val="bottom"/>
            <w:gridSpan w:val="2"/>
          </w:tcPr>
          <w:p>
            <w:pPr>
              <w:jc w:val="right"/>
              <w:ind w:right="112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DFFCC"/>
          </w:tcPr>
          <w:p>
            <w:pPr>
              <w:ind w:left="160"/>
              <w:spacing w:after="0"/>
              <w:rPr>
                <w:sz w:val="20"/>
                <w:szCs w:val="20"/>
                <w:color w:val="auto"/>
              </w:rPr>
            </w:pPr>
            <w:r>
              <w:rPr>
                <w:rFonts w:ascii="Arial" w:cs="Arial" w:eastAsia="Arial" w:hAnsi="Arial"/>
                <w:sz w:val="18"/>
                <w:szCs w:val="18"/>
                <w:color w:val="auto"/>
              </w:rPr>
              <w:t>Interest</w:t>
            </w:r>
          </w:p>
        </w:tc>
        <w:tc>
          <w:tcPr>
            <w:tcW w:w="2460" w:type="dxa"/>
            <w:vAlign w:val="bottom"/>
            <w:shd w:val="clear" w:color="auto" w:fill="CDFFCC"/>
          </w:tcPr>
          <w:p>
            <w:pPr>
              <w:spacing w:after="0"/>
              <w:rPr>
                <w:sz w:val="19"/>
                <w:szCs w:val="19"/>
                <w:color w:val="auto"/>
              </w:rPr>
            </w:pPr>
          </w:p>
        </w:tc>
        <w:tc>
          <w:tcPr>
            <w:tcW w:w="1300" w:type="dxa"/>
            <w:vAlign w:val="bottom"/>
            <w:shd w:val="clear" w:color="auto" w:fill="CDFFCC"/>
          </w:tcPr>
          <w:p>
            <w:pPr>
              <w:spacing w:after="0"/>
              <w:rPr>
                <w:sz w:val="19"/>
                <w:szCs w:val="19"/>
                <w:color w:val="auto"/>
              </w:rPr>
            </w:pPr>
          </w:p>
        </w:tc>
        <w:tc>
          <w:tcPr>
            <w:tcW w:w="940" w:type="dxa"/>
            <w:vAlign w:val="bottom"/>
            <w:shd w:val="clear" w:color="auto" w:fill="CDFFCC"/>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DFFCC"/>
          </w:tcPr>
          <w:p>
            <w:pPr>
              <w:spacing w:after="0"/>
              <w:rPr>
                <w:sz w:val="19"/>
                <w:szCs w:val="19"/>
                <w:color w:val="auto"/>
              </w:rPr>
            </w:pPr>
          </w:p>
        </w:tc>
        <w:tc>
          <w:tcPr>
            <w:tcW w:w="920" w:type="dxa"/>
            <w:vAlign w:val="bottom"/>
            <w:shd w:val="clear" w:color="auto" w:fill="CDFFCC"/>
          </w:tcPr>
          <w:p>
            <w:pPr>
              <w:spacing w:after="0"/>
              <w:rPr>
                <w:sz w:val="19"/>
                <w:szCs w:val="19"/>
                <w:color w:val="auto"/>
              </w:rPr>
            </w:pPr>
          </w:p>
        </w:tc>
        <w:tc>
          <w:tcPr>
            <w:tcW w:w="1320" w:type="dxa"/>
            <w:vAlign w:val="bottom"/>
            <w:shd w:val="clear" w:color="auto" w:fill="CDFFC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tcBorders>
              <w:bottom w:val="single" w:sz="8" w:color="CDFFCC"/>
            </w:tcBorders>
          </w:tcPr>
          <w:p>
            <w:pPr>
              <w:ind w:left="20"/>
              <w:spacing w:after="0"/>
              <w:rPr>
                <w:sz w:val="20"/>
                <w:szCs w:val="20"/>
                <w:color w:val="auto"/>
              </w:rPr>
            </w:pPr>
            <w:r>
              <w:rPr>
                <w:rFonts w:ascii="Arial" w:cs="Arial" w:eastAsia="Arial" w:hAnsi="Arial"/>
                <w:sz w:val="18"/>
                <w:szCs w:val="18"/>
                <w:color w:val="auto"/>
              </w:rPr>
              <w:t>Operating lease cost</w:t>
            </w:r>
          </w:p>
        </w:tc>
        <w:tc>
          <w:tcPr>
            <w:tcW w:w="2460" w:type="dxa"/>
            <w:vAlign w:val="bottom"/>
            <w:tcBorders>
              <w:bottom w:val="single" w:sz="8" w:color="CDFFC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200" w:type="dxa"/>
            <w:vAlign w:val="bottom"/>
            <w:tcBorders>
              <w:bottom w:val="single" w:sz="8" w:color="CDFFC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r>
      <w:tr>
        <w:trPr>
          <w:trHeight w:val="223"/>
        </w:trPr>
        <w:tc>
          <w:tcPr>
            <w:tcW w:w="4100" w:type="dxa"/>
            <w:vAlign w:val="bottom"/>
            <w:shd w:val="clear" w:color="auto" w:fill="CDFFCC"/>
          </w:tcPr>
          <w:p>
            <w:pPr>
              <w:ind w:left="160"/>
              <w:spacing w:after="0"/>
              <w:rPr>
                <w:sz w:val="20"/>
                <w:szCs w:val="20"/>
                <w:color w:val="auto"/>
              </w:rPr>
            </w:pPr>
            <w:r>
              <w:rPr>
                <w:rFonts w:ascii="Arial" w:cs="Arial" w:eastAsia="Arial" w:hAnsi="Arial"/>
                <w:sz w:val="18"/>
                <w:szCs w:val="18"/>
                <w:color w:val="auto"/>
              </w:rPr>
              <w:t>Total lease cost</w:t>
            </w:r>
          </w:p>
        </w:tc>
        <w:tc>
          <w:tcPr>
            <w:tcW w:w="2460" w:type="dxa"/>
            <w:vAlign w:val="bottom"/>
            <w:shd w:val="clear" w:color="auto" w:fill="CDFFCC"/>
          </w:tcPr>
          <w:p>
            <w:pPr>
              <w:spacing w:after="0"/>
              <w:rPr>
                <w:sz w:val="19"/>
                <w:szCs w:val="19"/>
                <w:color w:val="auto"/>
              </w:rPr>
            </w:pPr>
          </w:p>
        </w:tc>
        <w:tc>
          <w:tcPr>
            <w:tcW w:w="1300" w:type="dxa"/>
            <w:vAlign w:val="bottom"/>
            <w:shd w:val="clear" w:color="auto" w:fill="CDFFCC"/>
          </w:tcPr>
          <w:p>
            <w:pPr>
              <w:spacing w:after="0"/>
              <w:rPr>
                <w:sz w:val="19"/>
                <w:szCs w:val="19"/>
                <w:color w:val="auto"/>
              </w:rPr>
            </w:pPr>
          </w:p>
        </w:tc>
        <w:tc>
          <w:tcPr>
            <w:tcW w:w="940" w:type="dxa"/>
            <w:vAlign w:val="bottom"/>
            <w:shd w:val="clear" w:color="auto" w:fill="CDFFCC"/>
          </w:tcPr>
          <w:p>
            <w:pPr>
              <w:jc w:val="right"/>
              <w:spacing w:after="0"/>
              <w:rPr>
                <w:sz w:val="20"/>
                <w:szCs w:val="20"/>
                <w:color w:val="auto"/>
              </w:rPr>
            </w:pPr>
            <w:r>
              <w:rPr>
                <w:rFonts w:ascii="Arial" w:cs="Arial" w:eastAsia="Arial" w:hAnsi="Arial"/>
                <w:sz w:val="18"/>
                <w:szCs w:val="18"/>
                <w:color w:val="auto"/>
              </w:rPr>
              <w:t>2,839</w:t>
            </w:r>
          </w:p>
        </w:tc>
        <w:tc>
          <w:tcPr>
            <w:tcW w:w="200" w:type="dxa"/>
            <w:vAlign w:val="bottom"/>
            <w:shd w:val="clear" w:color="auto" w:fill="CDFFCC"/>
          </w:tcPr>
          <w:p>
            <w:pPr>
              <w:spacing w:after="0"/>
              <w:rPr>
                <w:sz w:val="19"/>
                <w:szCs w:val="19"/>
                <w:color w:val="auto"/>
              </w:rPr>
            </w:pPr>
          </w:p>
        </w:tc>
        <w:tc>
          <w:tcPr>
            <w:tcW w:w="920" w:type="dxa"/>
            <w:vAlign w:val="bottom"/>
            <w:shd w:val="clear" w:color="auto" w:fill="CDFFCC"/>
          </w:tcPr>
          <w:p>
            <w:pPr>
              <w:spacing w:after="0"/>
              <w:rPr>
                <w:sz w:val="19"/>
                <w:szCs w:val="19"/>
                <w:color w:val="auto"/>
              </w:rPr>
            </w:pPr>
          </w:p>
        </w:tc>
        <w:tc>
          <w:tcPr>
            <w:tcW w:w="132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1,397</w:t>
            </w:r>
          </w:p>
        </w:tc>
      </w:tr>
      <w:tr>
        <w:trPr>
          <w:trHeight w:val="904"/>
        </w:trPr>
        <w:tc>
          <w:tcPr>
            <w:tcW w:w="4100" w:type="dxa"/>
            <w:vAlign w:val="bottom"/>
          </w:tcPr>
          <w:p>
            <w:pPr>
              <w:spacing w:after="0"/>
              <w:rPr>
                <w:sz w:val="24"/>
                <w:szCs w:val="24"/>
                <w:color w:val="auto"/>
              </w:rPr>
            </w:pPr>
          </w:p>
        </w:tc>
        <w:tc>
          <w:tcPr>
            <w:tcW w:w="2460" w:type="dxa"/>
            <w:vAlign w:val="bottom"/>
          </w:tcPr>
          <w:p>
            <w:pPr>
              <w:jc w:val="right"/>
              <w:ind w:right="750"/>
              <w:spacing w:after="0"/>
              <w:rPr>
                <w:sz w:val="20"/>
                <w:szCs w:val="20"/>
                <w:color w:val="auto"/>
              </w:rPr>
            </w:pPr>
            <w:r>
              <w:rPr>
                <w:rFonts w:ascii="Arial" w:cs="Arial" w:eastAsia="Arial" w:hAnsi="Arial"/>
                <w:sz w:val="18"/>
                <w:szCs w:val="18"/>
                <w:color w:val="auto"/>
              </w:rPr>
              <w:t>28</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ind w:right="100"/>
              <w:spacing w:after="0"/>
              <w:rPr>
                <w:sz w:val="20"/>
                <w:szCs w:val="20"/>
                <w:color w:val="auto"/>
              </w:rPr>
            </w:pPr>
            <w:r>
              <w:rPr>
                <w:rFonts w:ascii="Arial" w:cs="Arial" w:eastAsia="Arial" w:hAnsi="Arial"/>
                <w:sz w:val="14"/>
                <w:szCs w:val="14"/>
                <w:b w:val="1"/>
                <w:bCs w:val="1"/>
                <w:color w:val="auto"/>
              </w:rPr>
              <w:t>As of March 31, 2021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80" w:type="dxa"/>
            <w:vAlign w:val="bottom"/>
          </w:tcPr>
          <w:p>
            <w:pPr>
              <w:jc w:val="right"/>
              <w:ind w:right="40"/>
              <w:spacing w:after="0"/>
              <w:rPr>
                <w:sz w:val="20"/>
                <w:szCs w:val="20"/>
                <w:color w:val="auto"/>
              </w:rPr>
            </w:pPr>
            <w:r>
              <w:rPr>
                <w:rFonts w:ascii="Arial" w:cs="Arial" w:eastAsia="Arial" w:hAnsi="Arial"/>
                <w:sz w:val="14"/>
                <w:szCs w:val="14"/>
                <w:b w:val="1"/>
                <w:bCs w:val="1"/>
                <w:color w:val="auto"/>
                <w:w w:val="99"/>
              </w:rPr>
              <w:t>As of December 31, 2020</w:t>
            </w:r>
          </w:p>
        </w:tc>
        <w:tc>
          <w:tcPr>
            <w:tcW w:w="260" w:type="dxa"/>
            <w:vAlign w:val="bottom"/>
          </w:tcPr>
          <w:p>
            <w:pPr>
              <w:spacing w:after="0"/>
              <w:rPr>
                <w:sz w:val="16"/>
                <w:szCs w:val="16"/>
                <w:color w:val="auto"/>
              </w:rPr>
            </w:pPr>
          </w:p>
        </w:tc>
      </w:tr>
      <w:tr>
        <w:trPr>
          <w:trHeight w:val="222"/>
        </w:trPr>
        <w:tc>
          <w:tcPr>
            <w:tcW w:w="5880" w:type="dxa"/>
            <w:vAlign w:val="bottom"/>
            <w:shd w:val="clear" w:color="auto" w:fill="CCFFCC"/>
          </w:tcPr>
          <w:p>
            <w:pPr>
              <w:ind w:left="360"/>
              <w:spacing w:after="0"/>
              <w:rPr>
                <w:sz w:val="20"/>
                <w:szCs w:val="20"/>
                <w:color w:val="auto"/>
              </w:rPr>
            </w:pPr>
            <w:r>
              <w:rPr>
                <w:rFonts w:ascii="Arial" w:cs="Arial" w:eastAsia="Arial" w:hAnsi="Arial"/>
                <w:sz w:val="16"/>
                <w:szCs w:val="16"/>
                <w:b w:val="1"/>
                <w:bCs w:val="1"/>
                <w:color w:val="auto"/>
              </w:rPr>
              <w:t>Operating Leases</w:t>
            </w:r>
          </w:p>
        </w:tc>
        <w:tc>
          <w:tcPr>
            <w:tcW w:w="620" w:type="dxa"/>
            <w:vAlign w:val="bottom"/>
            <w:tcBorders>
              <w:bottom w:val="single" w:sz="8" w:color="auto"/>
            </w:tcBorders>
            <w:shd w:val="clear" w:color="auto" w:fill="CCFFCC"/>
          </w:tcPr>
          <w:p>
            <w:pPr>
              <w:spacing w:after="0"/>
              <w:rPr>
                <w:sz w:val="19"/>
                <w:szCs w:val="19"/>
                <w:color w:val="auto"/>
              </w:rPr>
            </w:pPr>
          </w:p>
        </w:tc>
        <w:tc>
          <w:tcPr>
            <w:tcW w:w="4480" w:type="dxa"/>
            <w:vAlign w:val="bottom"/>
            <w:tcBorders>
              <w:bottom w:val="single" w:sz="8" w:color="auto"/>
            </w:tcBorders>
            <w:gridSpan w:val="5"/>
            <w:shd w:val="clear" w:color="auto" w:fill="CCFFCC"/>
          </w:tcPr>
          <w:p>
            <w:pPr>
              <w:jc w:val="right"/>
              <w:ind w:right="620"/>
              <w:spacing w:after="0"/>
              <w:rPr>
                <w:sz w:val="20"/>
                <w:szCs w:val="20"/>
                <w:color w:val="auto"/>
              </w:rPr>
            </w:pPr>
            <w:r>
              <w:rPr>
                <w:rFonts w:ascii="Arial" w:cs="Arial" w:eastAsia="Arial" w:hAnsi="Arial"/>
                <w:sz w:val="14"/>
                <w:szCs w:val="14"/>
                <w:b w:val="1"/>
                <w:bCs w:val="1"/>
                <w:color w:val="auto"/>
              </w:rPr>
              <w:t>(in thousands, except lease term and discount rate)</w:t>
            </w:r>
          </w:p>
        </w:tc>
        <w:tc>
          <w:tcPr>
            <w:tcW w:w="260" w:type="dxa"/>
            <w:vAlign w:val="bottom"/>
            <w:tcBorders>
              <w:bottom w:val="single" w:sz="8" w:color="auto"/>
            </w:tcBorders>
            <w:shd w:val="clear" w:color="auto" w:fill="CCFFCC"/>
          </w:tcPr>
          <w:p>
            <w:pPr>
              <w:spacing w:after="0"/>
              <w:rPr>
                <w:sz w:val="19"/>
                <w:szCs w:val="19"/>
                <w:color w:val="auto"/>
              </w:rPr>
            </w:pPr>
          </w:p>
        </w:tc>
      </w:tr>
      <w:tr>
        <w:trPr>
          <w:trHeight w:val="206"/>
        </w:trPr>
        <w:tc>
          <w:tcPr>
            <w:tcW w:w="5880" w:type="dxa"/>
            <w:vAlign w:val="bottom"/>
          </w:tcPr>
          <w:p>
            <w:pPr>
              <w:ind w:left="360"/>
              <w:spacing w:after="0"/>
              <w:rPr>
                <w:sz w:val="20"/>
                <w:szCs w:val="20"/>
                <w:color w:val="auto"/>
              </w:rPr>
            </w:pPr>
            <w:r>
              <w:rPr>
                <w:rFonts w:ascii="Arial" w:cs="Arial" w:eastAsia="Arial" w:hAnsi="Arial"/>
                <w:sz w:val="16"/>
                <w:szCs w:val="16"/>
                <w:color w:val="auto"/>
              </w:rPr>
              <w:t>Right-of-use asset, net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20"/>
              <w:spacing w:after="0"/>
              <w:rPr>
                <w:sz w:val="20"/>
                <w:szCs w:val="20"/>
                <w:color w:val="auto"/>
              </w:rPr>
            </w:pPr>
            <w:r>
              <w:rPr>
                <w:rFonts w:ascii="Arial" w:cs="Arial" w:eastAsia="Arial" w:hAnsi="Arial"/>
                <w:sz w:val="16"/>
                <w:szCs w:val="16"/>
                <w:color w:val="auto"/>
              </w:rPr>
              <w:t>437</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80"/>
              <w:spacing w:after="0"/>
              <w:rPr>
                <w:sz w:val="20"/>
                <w:szCs w:val="20"/>
                <w:color w:val="auto"/>
              </w:rPr>
            </w:pPr>
            <w:r>
              <w:rPr>
                <w:rFonts w:ascii="Arial" w:cs="Arial" w:eastAsia="Arial" w:hAnsi="Arial"/>
                <w:sz w:val="16"/>
                <w:szCs w:val="16"/>
                <w:color w:val="auto"/>
              </w:rPr>
              <w:t>614</w:t>
            </w:r>
          </w:p>
        </w:tc>
        <w:tc>
          <w:tcPr>
            <w:tcW w:w="260" w:type="dxa"/>
            <w:vAlign w:val="bottom"/>
          </w:tcPr>
          <w:p>
            <w:pPr>
              <w:spacing w:after="0"/>
              <w:rPr>
                <w:sz w:val="17"/>
                <w:szCs w:val="17"/>
                <w:color w:val="auto"/>
              </w:rPr>
            </w:pPr>
          </w:p>
        </w:tc>
      </w:tr>
      <w:tr>
        <w:trPr>
          <w:trHeight w:val="260"/>
        </w:trPr>
        <w:tc>
          <w:tcPr>
            <w:tcW w:w="58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68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560" w:type="dxa"/>
            <w:vAlign w:val="bottom"/>
            <w:shd w:val="clear" w:color="auto" w:fill="CCFFCC"/>
          </w:tcPr>
          <w:p>
            <w:pPr>
              <w:spacing w:after="0"/>
              <w:rPr>
                <w:sz w:val="22"/>
                <w:szCs w:val="22"/>
                <w:color w:val="auto"/>
              </w:rPr>
            </w:pPr>
          </w:p>
        </w:tc>
        <w:tc>
          <w:tcPr>
            <w:tcW w:w="178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r>
      <w:tr>
        <w:trPr>
          <w:trHeight w:val="213"/>
        </w:trPr>
        <w:tc>
          <w:tcPr>
            <w:tcW w:w="5880" w:type="dxa"/>
            <w:vAlign w:val="bottom"/>
          </w:tcPr>
          <w:p>
            <w:pPr>
              <w:ind w:left="360"/>
              <w:spacing w:after="0"/>
              <w:rPr>
                <w:sz w:val="20"/>
                <w:szCs w:val="20"/>
                <w:color w:val="auto"/>
              </w:rPr>
            </w:pPr>
            <w:r>
              <w:rPr>
                <w:rFonts w:ascii="Arial" w:cs="Arial" w:eastAsia="Arial" w:hAnsi="Arial"/>
                <w:sz w:val="16"/>
                <w:szCs w:val="16"/>
                <w:color w:val="auto"/>
              </w:rPr>
              <w:t>Current operating lease liability</w:t>
            </w:r>
          </w:p>
        </w:tc>
        <w:tc>
          <w:tcPr>
            <w:tcW w:w="620" w:type="dxa"/>
            <w:vAlign w:val="bottom"/>
          </w:tcPr>
          <w:p>
            <w:pPr>
              <w:spacing w:after="0"/>
              <w:rPr>
                <w:sz w:val="18"/>
                <w:szCs w:val="18"/>
                <w:color w:val="auto"/>
              </w:rPr>
            </w:pPr>
          </w:p>
        </w:tc>
        <w:tc>
          <w:tcPr>
            <w:tcW w:w="1680" w:type="dxa"/>
            <w:vAlign w:val="bottom"/>
          </w:tcPr>
          <w:p>
            <w:pPr>
              <w:jc w:val="right"/>
              <w:ind w:right="120"/>
              <w:spacing w:after="0"/>
              <w:rPr>
                <w:sz w:val="20"/>
                <w:szCs w:val="20"/>
                <w:color w:val="auto"/>
              </w:rPr>
            </w:pPr>
            <w:r>
              <w:rPr>
                <w:rFonts w:ascii="Arial" w:cs="Arial" w:eastAsia="Arial" w:hAnsi="Arial"/>
                <w:sz w:val="16"/>
                <w:szCs w:val="16"/>
                <w:color w:val="auto"/>
              </w:rPr>
              <w:t>5,097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jc w:val="right"/>
              <w:ind w:right="180"/>
              <w:spacing w:after="0"/>
              <w:rPr>
                <w:sz w:val="20"/>
                <w:szCs w:val="20"/>
                <w:color w:val="auto"/>
              </w:rPr>
            </w:pPr>
            <w:r>
              <w:rPr>
                <w:rFonts w:ascii="Arial" w:cs="Arial" w:eastAsia="Arial" w:hAnsi="Arial"/>
                <w:sz w:val="16"/>
                <w:szCs w:val="16"/>
                <w:color w:val="auto"/>
              </w:rPr>
              <w:t>5,718</w:t>
            </w:r>
          </w:p>
        </w:tc>
        <w:tc>
          <w:tcPr>
            <w:tcW w:w="260" w:type="dxa"/>
            <w:vAlign w:val="bottom"/>
          </w:tcPr>
          <w:p>
            <w:pPr>
              <w:spacing w:after="0"/>
              <w:rPr>
                <w:sz w:val="18"/>
                <w:szCs w:val="18"/>
                <w:color w:val="auto"/>
              </w:rPr>
            </w:pPr>
          </w:p>
        </w:tc>
      </w:tr>
      <w:tr>
        <w:trPr>
          <w:trHeight w:val="219"/>
        </w:trPr>
        <w:tc>
          <w:tcPr>
            <w:tcW w:w="5880" w:type="dxa"/>
            <w:vAlign w:val="bottom"/>
            <w:shd w:val="clear" w:color="auto" w:fill="CCFFCC"/>
          </w:tcPr>
          <w:p>
            <w:pPr>
              <w:ind w:left="360"/>
              <w:spacing w:after="0"/>
              <w:rPr>
                <w:sz w:val="20"/>
                <w:szCs w:val="20"/>
                <w:color w:val="auto"/>
              </w:rPr>
            </w:pPr>
            <w:r>
              <w:rPr>
                <w:rFonts w:ascii="Arial" w:cs="Arial" w:eastAsia="Arial" w:hAnsi="Arial"/>
                <w:sz w:val="16"/>
                <w:szCs w:val="16"/>
                <w:color w:val="auto"/>
              </w:rPr>
              <w:t>Long term operating lease liability</w:t>
            </w:r>
          </w:p>
        </w:tc>
        <w:tc>
          <w:tcPr>
            <w:tcW w:w="620" w:type="dxa"/>
            <w:vAlign w:val="bottom"/>
            <w:tcBorders>
              <w:bottom w:val="single" w:sz="8" w:color="auto"/>
            </w:tcBorders>
            <w:shd w:val="clear" w:color="auto" w:fill="CCFFCC"/>
          </w:tcPr>
          <w:p>
            <w:pPr>
              <w:spacing w:after="0"/>
              <w:rPr>
                <w:sz w:val="19"/>
                <w:szCs w:val="19"/>
                <w:color w:val="auto"/>
              </w:rPr>
            </w:pPr>
          </w:p>
        </w:tc>
        <w:tc>
          <w:tcPr>
            <w:tcW w:w="1680" w:type="dxa"/>
            <w:vAlign w:val="bottom"/>
            <w:tcBorders>
              <w:bottom w:val="single" w:sz="8" w:color="auto"/>
            </w:tcBorders>
            <w:shd w:val="clear" w:color="auto" w:fill="CCFFCC"/>
          </w:tcPr>
          <w:p>
            <w:pPr>
              <w:jc w:val="right"/>
              <w:ind w:right="120"/>
              <w:spacing w:after="0"/>
              <w:rPr>
                <w:sz w:val="20"/>
                <w:szCs w:val="20"/>
                <w:color w:val="auto"/>
              </w:rPr>
            </w:pPr>
            <w:r>
              <w:rPr>
                <w:rFonts w:ascii="Arial" w:cs="Arial" w:eastAsia="Arial" w:hAnsi="Arial"/>
                <w:sz w:val="16"/>
                <w:szCs w:val="16"/>
                <w:color w:val="auto"/>
              </w:rPr>
              <w:t>6,170</w:t>
            </w:r>
          </w:p>
        </w:tc>
        <w:tc>
          <w:tcPr>
            <w:tcW w:w="320" w:type="dxa"/>
            <w:vAlign w:val="bottom"/>
            <w:tcBorders>
              <w:bottom w:val="single" w:sz="8" w:color="auto"/>
            </w:tcBorders>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60" w:type="dxa"/>
            <w:vAlign w:val="bottom"/>
            <w:tcBorders>
              <w:bottom w:val="single" w:sz="8" w:color="auto"/>
            </w:tcBorders>
            <w:shd w:val="clear" w:color="auto" w:fill="CCFFCC"/>
          </w:tcPr>
          <w:p>
            <w:pPr>
              <w:spacing w:after="0"/>
              <w:rPr>
                <w:sz w:val="19"/>
                <w:szCs w:val="19"/>
                <w:color w:val="auto"/>
              </w:rPr>
            </w:pPr>
          </w:p>
        </w:tc>
        <w:tc>
          <w:tcPr>
            <w:tcW w:w="1780" w:type="dxa"/>
            <w:vAlign w:val="bottom"/>
            <w:tcBorders>
              <w:bottom w:val="single" w:sz="8" w:color="auto"/>
            </w:tcBorders>
            <w:shd w:val="clear" w:color="auto" w:fill="CCFFCC"/>
          </w:tcPr>
          <w:p>
            <w:pPr>
              <w:jc w:val="right"/>
              <w:ind w:right="180"/>
              <w:spacing w:after="0"/>
              <w:rPr>
                <w:sz w:val="20"/>
                <w:szCs w:val="20"/>
                <w:color w:val="auto"/>
              </w:rPr>
            </w:pPr>
            <w:r>
              <w:rPr>
                <w:rFonts w:ascii="Arial" w:cs="Arial" w:eastAsia="Arial" w:hAnsi="Arial"/>
                <w:sz w:val="16"/>
                <w:szCs w:val="16"/>
                <w:color w:val="auto"/>
              </w:rPr>
              <w:t>7,180</w:t>
            </w:r>
          </w:p>
        </w:tc>
        <w:tc>
          <w:tcPr>
            <w:tcW w:w="260" w:type="dxa"/>
            <w:vAlign w:val="bottom"/>
            <w:tcBorders>
              <w:bottom w:val="single" w:sz="8" w:color="auto"/>
            </w:tcBorders>
            <w:shd w:val="clear" w:color="auto" w:fill="CCFFCC"/>
          </w:tcPr>
          <w:p>
            <w:pPr>
              <w:spacing w:after="0"/>
              <w:rPr>
                <w:sz w:val="19"/>
                <w:szCs w:val="19"/>
                <w:color w:val="auto"/>
              </w:rPr>
            </w:pPr>
          </w:p>
        </w:tc>
      </w:tr>
      <w:tr>
        <w:trPr>
          <w:trHeight w:val="207"/>
        </w:trPr>
        <w:tc>
          <w:tcPr>
            <w:tcW w:w="5880" w:type="dxa"/>
            <w:vAlign w:val="bottom"/>
          </w:tcPr>
          <w:p>
            <w:pPr>
              <w:ind w:left="180"/>
              <w:spacing w:after="0"/>
              <w:rPr>
                <w:sz w:val="20"/>
                <w:szCs w:val="20"/>
                <w:color w:val="auto"/>
              </w:rPr>
            </w:pPr>
            <w:r>
              <w:rPr>
                <w:rFonts w:ascii="Arial" w:cs="Arial" w:eastAsia="Arial" w:hAnsi="Arial"/>
                <w:sz w:val="16"/>
                <w:szCs w:val="16"/>
                <w:color w:val="auto"/>
              </w:rPr>
              <w:t>Total operating lease liability</w:t>
            </w:r>
          </w:p>
        </w:tc>
        <w:tc>
          <w:tcPr>
            <w:tcW w:w="620" w:type="dxa"/>
            <w:vAlign w:val="bottom"/>
          </w:tcPr>
          <w:p>
            <w:pPr>
              <w:spacing w:after="0"/>
              <w:rPr>
                <w:sz w:val="17"/>
                <w:szCs w:val="17"/>
                <w:color w:val="auto"/>
              </w:rPr>
            </w:pPr>
          </w:p>
        </w:tc>
        <w:tc>
          <w:tcPr>
            <w:tcW w:w="1680" w:type="dxa"/>
            <w:vAlign w:val="bottom"/>
          </w:tcPr>
          <w:p>
            <w:pPr>
              <w:jc w:val="right"/>
              <w:ind w:right="120"/>
              <w:spacing w:after="0"/>
              <w:rPr>
                <w:sz w:val="20"/>
                <w:szCs w:val="20"/>
                <w:color w:val="auto"/>
              </w:rPr>
            </w:pPr>
            <w:r>
              <w:rPr>
                <w:rFonts w:ascii="Arial" w:cs="Arial" w:eastAsia="Arial" w:hAnsi="Arial"/>
                <w:sz w:val="16"/>
                <w:szCs w:val="16"/>
                <w:color w:val="auto"/>
              </w:rPr>
              <w:t>11,267</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80"/>
              <w:spacing w:after="0"/>
              <w:rPr>
                <w:sz w:val="20"/>
                <w:szCs w:val="20"/>
                <w:color w:val="auto"/>
              </w:rPr>
            </w:pPr>
            <w:r>
              <w:rPr>
                <w:rFonts w:ascii="Arial" w:cs="Arial" w:eastAsia="Arial" w:hAnsi="Arial"/>
                <w:sz w:val="16"/>
                <w:szCs w:val="16"/>
                <w:color w:val="auto"/>
              </w:rPr>
              <w:t>12,898</w:t>
            </w:r>
          </w:p>
        </w:tc>
        <w:tc>
          <w:tcPr>
            <w:tcW w:w="260" w:type="dxa"/>
            <w:vAlign w:val="bottom"/>
          </w:tcPr>
          <w:p>
            <w:pPr>
              <w:spacing w:after="0"/>
              <w:rPr>
                <w:sz w:val="17"/>
                <w:szCs w:val="17"/>
                <w:color w:val="auto"/>
              </w:rPr>
            </w:pPr>
          </w:p>
        </w:tc>
      </w:tr>
      <w:tr>
        <w:trPr>
          <w:trHeight w:val="239"/>
        </w:trPr>
        <w:tc>
          <w:tcPr>
            <w:tcW w:w="5880" w:type="dxa"/>
            <w:vAlign w:val="bottom"/>
            <w:tcBorders>
              <w:top w:val="single" w:sz="8" w:color="CCFFCC"/>
            </w:tcBorders>
            <w:shd w:val="clear" w:color="auto" w:fill="CCFFCC"/>
          </w:tcPr>
          <w:p>
            <w:pPr>
              <w:spacing w:after="0"/>
              <w:rPr>
                <w:sz w:val="20"/>
                <w:szCs w:val="20"/>
                <w:color w:val="auto"/>
              </w:rPr>
            </w:pPr>
          </w:p>
        </w:tc>
        <w:tc>
          <w:tcPr>
            <w:tcW w:w="620" w:type="dxa"/>
            <w:vAlign w:val="bottom"/>
            <w:tcBorders>
              <w:top w:val="single" w:sz="8" w:color="auto"/>
            </w:tcBorders>
            <w:shd w:val="clear" w:color="auto" w:fill="CCFFCC"/>
          </w:tcPr>
          <w:p>
            <w:pPr>
              <w:spacing w:after="0"/>
              <w:rPr>
                <w:sz w:val="20"/>
                <w:szCs w:val="20"/>
                <w:color w:val="auto"/>
              </w:rPr>
            </w:pPr>
          </w:p>
        </w:tc>
        <w:tc>
          <w:tcPr>
            <w:tcW w:w="1680" w:type="dxa"/>
            <w:vAlign w:val="bottom"/>
            <w:tcBorders>
              <w:top w:val="single" w:sz="8" w:color="auto"/>
            </w:tcBorders>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spacing w:after="0"/>
              <w:rPr>
                <w:sz w:val="20"/>
                <w:szCs w:val="20"/>
                <w:color w:val="auto"/>
              </w:rPr>
            </w:pPr>
          </w:p>
        </w:tc>
        <w:tc>
          <w:tcPr>
            <w:tcW w:w="140" w:type="dxa"/>
            <w:vAlign w:val="bottom"/>
            <w:tcBorders>
              <w:top w:val="single" w:sz="8" w:color="CCFFCC"/>
            </w:tcBorders>
            <w:shd w:val="clear" w:color="auto" w:fill="CCFFCC"/>
          </w:tcPr>
          <w:p>
            <w:pPr>
              <w:spacing w:after="0"/>
              <w:rPr>
                <w:sz w:val="20"/>
                <w:szCs w:val="20"/>
                <w:color w:val="auto"/>
              </w:rPr>
            </w:pPr>
          </w:p>
        </w:tc>
        <w:tc>
          <w:tcPr>
            <w:tcW w:w="560" w:type="dxa"/>
            <w:vAlign w:val="bottom"/>
            <w:tcBorders>
              <w:top w:val="single" w:sz="8" w:color="auto"/>
            </w:tcBorders>
            <w:shd w:val="clear" w:color="auto" w:fill="CCFFCC"/>
          </w:tcPr>
          <w:p>
            <w:pPr>
              <w:spacing w:after="0"/>
              <w:rPr>
                <w:sz w:val="20"/>
                <w:szCs w:val="20"/>
                <w:color w:val="auto"/>
              </w:rPr>
            </w:pPr>
          </w:p>
        </w:tc>
        <w:tc>
          <w:tcPr>
            <w:tcW w:w="1780" w:type="dxa"/>
            <w:vAlign w:val="bottom"/>
            <w:tcBorders>
              <w:top w:val="single" w:sz="8" w:color="auto"/>
            </w:tcBorders>
            <w:shd w:val="clear" w:color="auto" w:fill="CCFFCC"/>
          </w:tcPr>
          <w:p>
            <w:pPr>
              <w:spacing w:after="0"/>
              <w:rPr>
                <w:sz w:val="20"/>
                <w:szCs w:val="20"/>
                <w:color w:val="auto"/>
              </w:rPr>
            </w:pPr>
          </w:p>
        </w:tc>
        <w:tc>
          <w:tcPr>
            <w:tcW w:w="260" w:type="dxa"/>
            <w:vAlign w:val="bottom"/>
            <w:tcBorders>
              <w:top w:val="single" w:sz="8" w:color="auto"/>
            </w:tcBorders>
            <w:shd w:val="clear" w:color="auto" w:fill="CCFFCC"/>
          </w:tcPr>
          <w:p>
            <w:pPr>
              <w:spacing w:after="0"/>
              <w:rPr>
                <w:sz w:val="20"/>
                <w:szCs w:val="20"/>
                <w:color w:val="auto"/>
              </w:rPr>
            </w:pPr>
          </w:p>
        </w:tc>
      </w:tr>
      <w:tr>
        <w:trPr>
          <w:trHeight w:val="213"/>
        </w:trPr>
        <w:tc>
          <w:tcPr>
            <w:tcW w:w="5880" w:type="dxa"/>
            <w:vAlign w:val="bottom"/>
          </w:tcPr>
          <w:p>
            <w:pPr>
              <w:ind w:left="360"/>
              <w:spacing w:after="0"/>
              <w:rPr>
                <w:sz w:val="20"/>
                <w:szCs w:val="20"/>
                <w:color w:val="auto"/>
              </w:rPr>
            </w:pPr>
            <w:r>
              <w:rPr>
                <w:rFonts w:ascii="Arial" w:cs="Arial" w:eastAsia="Arial" w:hAnsi="Arial"/>
                <w:sz w:val="16"/>
                <w:szCs w:val="16"/>
                <w:b w:val="1"/>
                <w:bCs w:val="1"/>
                <w:color w:val="auto"/>
              </w:rPr>
              <w:t>Finance Leases</w:t>
            </w:r>
          </w:p>
        </w:tc>
        <w:tc>
          <w:tcPr>
            <w:tcW w:w="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9"/>
        </w:trPr>
        <w:tc>
          <w:tcPr>
            <w:tcW w:w="5880" w:type="dxa"/>
            <w:vAlign w:val="bottom"/>
            <w:shd w:val="clear" w:color="auto" w:fill="CCFFCC"/>
          </w:tcPr>
          <w:p>
            <w:pPr>
              <w:ind w:left="360"/>
              <w:spacing w:after="0"/>
              <w:rPr>
                <w:sz w:val="20"/>
                <w:szCs w:val="20"/>
                <w:color w:val="auto"/>
              </w:rPr>
            </w:pPr>
            <w:r>
              <w:rPr>
                <w:rFonts w:ascii="Arial" w:cs="Arial" w:eastAsia="Arial" w:hAnsi="Arial"/>
                <w:sz w:val="16"/>
                <w:szCs w:val="16"/>
                <w:color w:val="auto"/>
              </w:rPr>
              <w:t>Right-of-use asset, net</w:t>
            </w:r>
          </w:p>
        </w:tc>
        <w:tc>
          <w:tcPr>
            <w:tcW w:w="620" w:type="dxa"/>
            <w:vAlign w:val="bottom"/>
            <w:shd w:val="clear" w:color="auto" w:fill="CCFFCC"/>
          </w:tcPr>
          <w:p>
            <w:pPr>
              <w:spacing w:after="0"/>
              <w:rPr>
                <w:sz w:val="19"/>
                <w:szCs w:val="19"/>
                <w:color w:val="auto"/>
              </w:rPr>
            </w:pPr>
          </w:p>
        </w:tc>
        <w:tc>
          <w:tcPr>
            <w:tcW w:w="168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9,157</w:t>
            </w:r>
          </w:p>
        </w:tc>
        <w:tc>
          <w:tcPr>
            <w:tcW w:w="3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178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rPr>
              <w:t>10,045</w:t>
            </w:r>
          </w:p>
        </w:tc>
        <w:tc>
          <w:tcPr>
            <w:tcW w:w="260" w:type="dxa"/>
            <w:vAlign w:val="bottom"/>
            <w:shd w:val="clear" w:color="auto" w:fill="CCFFCC"/>
          </w:tcPr>
          <w:p>
            <w:pPr>
              <w:spacing w:after="0"/>
              <w:rPr>
                <w:sz w:val="19"/>
                <w:szCs w:val="19"/>
                <w:color w:val="auto"/>
              </w:rPr>
            </w:pPr>
          </w:p>
        </w:tc>
      </w:tr>
      <w:tr>
        <w:trPr>
          <w:trHeight w:val="256"/>
        </w:trPr>
        <w:tc>
          <w:tcPr>
            <w:tcW w:w="5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16"/>
        </w:trPr>
        <w:tc>
          <w:tcPr>
            <w:tcW w:w="5880" w:type="dxa"/>
            <w:vAlign w:val="bottom"/>
            <w:shd w:val="clear" w:color="auto" w:fill="CCFFCC"/>
          </w:tcPr>
          <w:p>
            <w:pPr>
              <w:ind w:left="360"/>
              <w:spacing w:after="0"/>
              <w:rPr>
                <w:sz w:val="20"/>
                <w:szCs w:val="20"/>
                <w:color w:val="auto"/>
              </w:rPr>
            </w:pPr>
            <w:r>
              <w:rPr>
                <w:rFonts w:ascii="Arial" w:cs="Arial" w:eastAsia="Arial" w:hAnsi="Arial"/>
                <w:sz w:val="16"/>
                <w:szCs w:val="16"/>
                <w:color w:val="auto"/>
              </w:rPr>
              <w:t>Current finance lease liability</w:t>
            </w:r>
          </w:p>
        </w:tc>
        <w:tc>
          <w:tcPr>
            <w:tcW w:w="620" w:type="dxa"/>
            <w:vAlign w:val="bottom"/>
            <w:shd w:val="clear" w:color="auto" w:fill="CCFFCC"/>
          </w:tcPr>
          <w:p>
            <w:pPr>
              <w:spacing w:after="0"/>
              <w:rPr>
                <w:sz w:val="18"/>
                <w:szCs w:val="18"/>
                <w:color w:val="auto"/>
              </w:rPr>
            </w:pPr>
          </w:p>
        </w:tc>
        <w:tc>
          <w:tcPr>
            <w:tcW w:w="168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3,524</w:t>
            </w:r>
          </w:p>
        </w:tc>
        <w:tc>
          <w:tcPr>
            <w:tcW w:w="3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78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rPr>
              <w:t>3,488</w:t>
            </w:r>
          </w:p>
        </w:tc>
        <w:tc>
          <w:tcPr>
            <w:tcW w:w="260" w:type="dxa"/>
            <w:vAlign w:val="bottom"/>
            <w:shd w:val="clear" w:color="auto" w:fill="CCFFCC"/>
          </w:tcPr>
          <w:p>
            <w:pPr>
              <w:spacing w:after="0"/>
              <w:rPr>
                <w:sz w:val="18"/>
                <w:szCs w:val="18"/>
                <w:color w:val="auto"/>
              </w:rPr>
            </w:pPr>
          </w:p>
        </w:tc>
      </w:tr>
      <w:tr>
        <w:trPr>
          <w:trHeight w:val="213"/>
        </w:trPr>
        <w:tc>
          <w:tcPr>
            <w:tcW w:w="5880" w:type="dxa"/>
            <w:vAlign w:val="bottom"/>
            <w:tcBorders>
              <w:bottom w:val="single" w:sz="8" w:color="CCFFCC"/>
            </w:tcBorders>
          </w:tcPr>
          <w:p>
            <w:pPr>
              <w:ind w:left="360"/>
              <w:spacing w:after="0"/>
              <w:rPr>
                <w:sz w:val="20"/>
                <w:szCs w:val="20"/>
                <w:color w:val="auto"/>
              </w:rPr>
            </w:pPr>
            <w:r>
              <w:rPr>
                <w:rFonts w:ascii="Arial" w:cs="Arial" w:eastAsia="Arial" w:hAnsi="Arial"/>
                <w:sz w:val="16"/>
                <w:szCs w:val="16"/>
                <w:color w:val="auto"/>
              </w:rPr>
              <w:t>Long term finance lease liability</w:t>
            </w: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5,280</w:t>
            </w: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6,176</w:t>
            </w:r>
          </w:p>
        </w:tc>
        <w:tc>
          <w:tcPr>
            <w:tcW w:w="260" w:type="dxa"/>
            <w:vAlign w:val="bottom"/>
            <w:tcBorders>
              <w:bottom w:val="single" w:sz="8" w:color="auto"/>
            </w:tcBorders>
          </w:tcPr>
          <w:p>
            <w:pPr>
              <w:spacing w:after="0"/>
              <w:rPr>
                <w:sz w:val="18"/>
                <w:szCs w:val="18"/>
                <w:color w:val="auto"/>
              </w:rPr>
            </w:pPr>
          </w:p>
        </w:tc>
      </w:tr>
      <w:tr>
        <w:trPr>
          <w:trHeight w:val="213"/>
        </w:trPr>
        <w:tc>
          <w:tcPr>
            <w:tcW w:w="5880" w:type="dxa"/>
            <w:vAlign w:val="bottom"/>
            <w:shd w:val="clear" w:color="auto" w:fill="CCFFCC"/>
          </w:tcPr>
          <w:p>
            <w:pPr>
              <w:ind w:left="180"/>
              <w:spacing w:after="0"/>
              <w:rPr>
                <w:sz w:val="20"/>
                <w:szCs w:val="20"/>
                <w:color w:val="auto"/>
              </w:rPr>
            </w:pPr>
            <w:r>
              <w:rPr>
                <w:rFonts w:ascii="Arial" w:cs="Arial" w:eastAsia="Arial" w:hAnsi="Arial"/>
                <w:sz w:val="16"/>
                <w:szCs w:val="16"/>
                <w:b w:val="1"/>
                <w:bCs w:val="1"/>
                <w:color w:val="auto"/>
              </w:rPr>
              <w:t>Total finance lease liability</w:t>
            </w:r>
          </w:p>
        </w:tc>
        <w:tc>
          <w:tcPr>
            <w:tcW w:w="620" w:type="dxa"/>
            <w:vAlign w:val="bottom"/>
            <w:shd w:val="clear" w:color="auto" w:fill="CCFFCC"/>
          </w:tcPr>
          <w:p>
            <w:pPr>
              <w:spacing w:after="0"/>
              <w:rPr>
                <w:sz w:val="18"/>
                <w:szCs w:val="18"/>
                <w:color w:val="auto"/>
              </w:rPr>
            </w:pPr>
          </w:p>
        </w:tc>
        <w:tc>
          <w:tcPr>
            <w:tcW w:w="168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8,804</w:t>
            </w:r>
          </w:p>
        </w:tc>
        <w:tc>
          <w:tcPr>
            <w:tcW w:w="3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78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rPr>
              <w:t>9,664</w:t>
            </w:r>
          </w:p>
        </w:tc>
        <w:tc>
          <w:tcPr>
            <w:tcW w:w="260" w:type="dxa"/>
            <w:vAlign w:val="bottom"/>
            <w:shd w:val="clear" w:color="auto" w:fill="CCFFCC"/>
          </w:tcPr>
          <w:p>
            <w:pPr>
              <w:spacing w:after="0"/>
              <w:rPr>
                <w:sz w:val="18"/>
                <w:szCs w:val="18"/>
                <w:color w:val="auto"/>
              </w:rPr>
            </w:pPr>
          </w:p>
        </w:tc>
      </w:tr>
      <w:tr>
        <w:trPr>
          <w:trHeight w:val="257"/>
        </w:trPr>
        <w:tc>
          <w:tcPr>
            <w:tcW w:w="5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16"/>
        </w:trPr>
        <w:tc>
          <w:tcPr>
            <w:tcW w:w="5880" w:type="dxa"/>
            <w:vAlign w:val="bottom"/>
            <w:shd w:val="clear" w:color="auto" w:fill="CCFFCC"/>
          </w:tcPr>
          <w:p>
            <w:pPr>
              <w:ind w:left="360"/>
              <w:spacing w:after="0"/>
              <w:rPr>
                <w:sz w:val="20"/>
                <w:szCs w:val="20"/>
                <w:color w:val="auto"/>
              </w:rPr>
            </w:pPr>
            <w:r>
              <w:rPr>
                <w:rFonts w:ascii="Arial" w:cs="Arial" w:eastAsia="Arial" w:hAnsi="Arial"/>
                <w:sz w:val="16"/>
                <w:szCs w:val="16"/>
                <w:b w:val="1"/>
                <w:bCs w:val="1"/>
                <w:color w:val="auto"/>
              </w:rPr>
              <w:t>Weighted Average Remaining Lease Term</w:t>
            </w:r>
          </w:p>
        </w:tc>
        <w:tc>
          <w:tcPr>
            <w:tcW w:w="62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r>
      <w:tr>
        <w:trPr>
          <w:trHeight w:val="213"/>
        </w:trPr>
        <w:tc>
          <w:tcPr>
            <w:tcW w:w="588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620" w:type="dxa"/>
            <w:vAlign w:val="bottom"/>
          </w:tcPr>
          <w:p>
            <w:pPr>
              <w:spacing w:after="0"/>
              <w:rPr>
                <w:sz w:val="18"/>
                <w:szCs w:val="18"/>
                <w:color w:val="auto"/>
              </w:rPr>
            </w:pPr>
          </w:p>
        </w:tc>
        <w:tc>
          <w:tcPr>
            <w:tcW w:w="2700" w:type="dxa"/>
            <w:vAlign w:val="bottom"/>
            <w:gridSpan w:val="4"/>
          </w:tcPr>
          <w:p>
            <w:pPr>
              <w:jc w:val="right"/>
              <w:ind w:right="720"/>
              <w:spacing w:after="0"/>
              <w:rPr>
                <w:sz w:val="20"/>
                <w:szCs w:val="20"/>
                <w:color w:val="auto"/>
              </w:rPr>
            </w:pPr>
            <w:r>
              <w:rPr>
                <w:rFonts w:ascii="Arial" w:cs="Arial" w:eastAsia="Arial" w:hAnsi="Arial"/>
                <w:sz w:val="16"/>
                <w:szCs w:val="16"/>
                <w:color w:val="auto"/>
              </w:rPr>
              <w:t>2.9 years</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3.0 years</w:t>
            </w:r>
          </w:p>
        </w:tc>
      </w:tr>
      <w:tr>
        <w:trPr>
          <w:trHeight w:val="219"/>
        </w:trPr>
        <w:tc>
          <w:tcPr>
            <w:tcW w:w="5880" w:type="dxa"/>
            <w:vAlign w:val="bottom"/>
            <w:shd w:val="clear" w:color="auto" w:fill="CCFFCC"/>
          </w:tcPr>
          <w:p>
            <w:pPr>
              <w:ind w:left="180"/>
              <w:spacing w:after="0"/>
              <w:rPr>
                <w:sz w:val="20"/>
                <w:szCs w:val="20"/>
                <w:color w:val="auto"/>
              </w:rPr>
            </w:pPr>
            <w:r>
              <w:rPr>
                <w:rFonts w:ascii="Arial" w:cs="Arial" w:eastAsia="Arial" w:hAnsi="Arial"/>
                <w:sz w:val="16"/>
                <w:szCs w:val="16"/>
                <w:color w:val="auto"/>
              </w:rPr>
              <w:t>Finance leases</w:t>
            </w:r>
          </w:p>
        </w:tc>
        <w:tc>
          <w:tcPr>
            <w:tcW w:w="620" w:type="dxa"/>
            <w:vAlign w:val="bottom"/>
            <w:shd w:val="clear" w:color="auto" w:fill="CCFFCC"/>
          </w:tcPr>
          <w:p>
            <w:pPr>
              <w:spacing w:after="0"/>
              <w:rPr>
                <w:sz w:val="19"/>
                <w:szCs w:val="19"/>
                <w:color w:val="auto"/>
              </w:rPr>
            </w:pPr>
          </w:p>
        </w:tc>
        <w:tc>
          <w:tcPr>
            <w:tcW w:w="2700" w:type="dxa"/>
            <w:vAlign w:val="bottom"/>
            <w:gridSpan w:val="4"/>
            <w:shd w:val="clear" w:color="auto" w:fill="CCFFCC"/>
          </w:tcPr>
          <w:p>
            <w:pPr>
              <w:jc w:val="right"/>
              <w:ind w:right="720"/>
              <w:spacing w:after="0"/>
              <w:rPr>
                <w:sz w:val="20"/>
                <w:szCs w:val="20"/>
                <w:color w:val="auto"/>
              </w:rPr>
            </w:pPr>
            <w:r>
              <w:rPr>
                <w:rFonts w:ascii="Arial" w:cs="Arial" w:eastAsia="Arial" w:hAnsi="Arial"/>
                <w:sz w:val="16"/>
                <w:szCs w:val="16"/>
                <w:color w:val="auto"/>
              </w:rPr>
              <w:t>2.6 years</w:t>
            </w:r>
          </w:p>
        </w:tc>
        <w:tc>
          <w:tcPr>
            <w:tcW w:w="2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 years</w:t>
            </w:r>
          </w:p>
        </w:tc>
      </w:tr>
      <w:tr>
        <w:trPr>
          <w:trHeight w:val="257"/>
        </w:trPr>
        <w:tc>
          <w:tcPr>
            <w:tcW w:w="5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16"/>
        </w:trPr>
        <w:tc>
          <w:tcPr>
            <w:tcW w:w="5880" w:type="dxa"/>
            <w:vAlign w:val="bottom"/>
            <w:shd w:val="clear" w:color="auto" w:fill="CCFFCC"/>
          </w:tcPr>
          <w:p>
            <w:pPr>
              <w:ind w:left="360"/>
              <w:spacing w:after="0"/>
              <w:rPr>
                <w:sz w:val="20"/>
                <w:szCs w:val="20"/>
                <w:color w:val="auto"/>
              </w:rPr>
            </w:pPr>
            <w:r>
              <w:rPr>
                <w:rFonts w:ascii="Arial" w:cs="Arial" w:eastAsia="Arial" w:hAnsi="Arial"/>
                <w:sz w:val="16"/>
                <w:szCs w:val="16"/>
                <w:b w:val="1"/>
                <w:bCs w:val="1"/>
                <w:color w:val="auto"/>
              </w:rPr>
              <w:t>Weighted Average Discount Rate</w:t>
            </w:r>
          </w:p>
        </w:tc>
        <w:tc>
          <w:tcPr>
            <w:tcW w:w="62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r>
      <w:tr>
        <w:trPr>
          <w:trHeight w:val="213"/>
        </w:trPr>
        <w:tc>
          <w:tcPr>
            <w:tcW w:w="588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620" w:type="dxa"/>
            <w:vAlign w:val="bottom"/>
          </w:tcPr>
          <w:p>
            <w:pPr>
              <w:spacing w:after="0"/>
              <w:rPr>
                <w:sz w:val="18"/>
                <w:szCs w:val="18"/>
                <w:color w:val="auto"/>
              </w:rPr>
            </w:pPr>
          </w:p>
        </w:tc>
        <w:tc>
          <w:tcPr>
            <w:tcW w:w="1680" w:type="dxa"/>
            <w:vAlign w:val="bottom"/>
          </w:tcPr>
          <w:p>
            <w:pPr>
              <w:jc w:val="right"/>
              <w:ind w:right="120"/>
              <w:spacing w:after="0"/>
              <w:rPr>
                <w:sz w:val="20"/>
                <w:szCs w:val="20"/>
                <w:color w:val="auto"/>
              </w:rPr>
            </w:pPr>
            <w:r>
              <w:rPr>
                <w:rFonts w:ascii="Arial" w:cs="Arial" w:eastAsia="Arial" w:hAnsi="Arial"/>
                <w:sz w:val="16"/>
                <w:szCs w:val="16"/>
                <w:color w:val="auto"/>
              </w:rPr>
              <w:t>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jc w:val="right"/>
              <w:ind w:right="180"/>
              <w:spacing w:after="0"/>
              <w:rPr>
                <w:sz w:val="20"/>
                <w:szCs w:val="20"/>
                <w:color w:val="auto"/>
              </w:rPr>
            </w:pPr>
            <w:r>
              <w:rPr>
                <w:rFonts w:ascii="Arial" w:cs="Arial" w:eastAsia="Arial" w:hAnsi="Arial"/>
                <w:sz w:val="16"/>
                <w:szCs w:val="16"/>
                <w:color w:val="auto"/>
              </w:rPr>
              <w:t>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880" w:type="dxa"/>
            <w:vAlign w:val="bottom"/>
            <w:shd w:val="clear" w:color="auto" w:fill="CCFFCC"/>
          </w:tcPr>
          <w:p>
            <w:pPr>
              <w:ind w:left="180"/>
              <w:spacing w:after="0"/>
              <w:rPr>
                <w:sz w:val="20"/>
                <w:szCs w:val="20"/>
                <w:color w:val="auto"/>
              </w:rPr>
            </w:pPr>
            <w:r>
              <w:rPr>
                <w:rFonts w:ascii="Arial" w:cs="Arial" w:eastAsia="Arial" w:hAnsi="Arial"/>
                <w:sz w:val="16"/>
                <w:szCs w:val="16"/>
                <w:color w:val="auto"/>
              </w:rPr>
              <w:t>Finance leases</w:t>
            </w:r>
          </w:p>
        </w:tc>
        <w:tc>
          <w:tcPr>
            <w:tcW w:w="620" w:type="dxa"/>
            <w:vAlign w:val="bottom"/>
            <w:shd w:val="clear" w:color="auto" w:fill="CCFFCC"/>
          </w:tcPr>
          <w:p>
            <w:pPr>
              <w:spacing w:after="0"/>
              <w:rPr>
                <w:sz w:val="19"/>
                <w:szCs w:val="19"/>
                <w:color w:val="auto"/>
              </w:rPr>
            </w:pPr>
          </w:p>
        </w:tc>
        <w:tc>
          <w:tcPr>
            <w:tcW w:w="168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4</w:t>
            </w:r>
          </w:p>
        </w:tc>
        <w:tc>
          <w:tcPr>
            <w:tcW w:w="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178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rPr>
              <w:t>4</w:t>
            </w:r>
          </w:p>
        </w:tc>
        <w:tc>
          <w:tcPr>
            <w:tcW w:w="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bl>
    <w:p>
      <w:pPr>
        <w:spacing w:after="0" w:line="215" w:lineRule="exact"/>
        <w:rPr>
          <w:sz w:val="20"/>
          <w:szCs w:val="20"/>
          <w:color w:val="auto"/>
        </w:rPr>
      </w:pPr>
    </w:p>
    <w:p>
      <w:pPr>
        <w:jc w:val="both"/>
        <w:ind w:right="40" w:firstLine="324"/>
        <w:spacing w:after="0" w:line="269" w:lineRule="auto"/>
        <w:rPr>
          <w:sz w:val="20"/>
          <w:szCs w:val="20"/>
          <w:color w:val="auto"/>
        </w:rPr>
      </w:pPr>
      <w:r>
        <w:rPr>
          <w:rFonts w:ascii="Arial" w:cs="Arial" w:eastAsia="Arial" w:hAnsi="Arial"/>
          <w:sz w:val="18"/>
          <w:szCs w:val="18"/>
          <w:color w:val="auto"/>
        </w:rPr>
        <w:t>Future minimum lease payments under non-cancellable operating and finance leases (with an initial or remaining lease terms in excess of one year) are as follows (amounts in thousands):</w:t>
      </w:r>
    </w:p>
    <w:tbl>
      <w:tblPr>
        <w:tblLayout w:type="fixed"/>
        <w:tblInd w:w="0" w:type="dxa"/>
        <w:tblCellMar>
          <w:top w:w="0" w:type="dxa"/>
          <w:left w:w="0" w:type="dxa"/>
          <w:bottom w:w="0" w:type="dxa"/>
          <w:right w:w="0" w:type="dxa"/>
        </w:tblCellMar>
      </w:tblPr>
      <w:tr>
        <w:trPr>
          <w:trHeight w:val="192"/>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Quarter ending March 31, 2021:</w:t>
            </w:r>
          </w:p>
        </w:tc>
        <w:tc>
          <w:tcPr>
            <w:tcW w:w="180" w:type="dxa"/>
            <w:vAlign w:val="bottom"/>
            <w:tcBorders>
              <w:bottom w:val="single" w:sz="8" w:color="CDFFCC"/>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Borders>
              <w:bottom w:val="single" w:sz="8" w:color="CDFFCC"/>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Finance Leases</w:t>
            </w:r>
          </w:p>
        </w:tc>
      </w:tr>
      <w:tr>
        <w:trPr>
          <w:trHeight w:val="215"/>
        </w:trPr>
        <w:tc>
          <w:tcPr>
            <w:tcW w:w="6740" w:type="dxa"/>
            <w:vAlign w:val="bottom"/>
            <w:gridSpan w:val="2"/>
            <w:shd w:val="clear" w:color="auto" w:fill="CDFFCC"/>
          </w:tcPr>
          <w:p>
            <w:pPr>
              <w:ind w:left="360"/>
              <w:spacing w:after="0"/>
              <w:rPr>
                <w:sz w:val="20"/>
                <w:szCs w:val="20"/>
                <w:color w:val="auto"/>
              </w:rPr>
            </w:pPr>
            <w:r>
              <w:rPr>
                <w:rFonts w:ascii="Arial" w:cs="Arial" w:eastAsia="Arial" w:hAnsi="Arial"/>
                <w:sz w:val="16"/>
                <w:szCs w:val="16"/>
                <w:color w:val="auto"/>
              </w:rPr>
              <w:t>2021 (remaining nine months for March 31, 2021)</w:t>
            </w:r>
          </w:p>
        </w:tc>
        <w:tc>
          <w:tcPr>
            <w:tcW w:w="540" w:type="dxa"/>
            <w:vAlign w:val="bottom"/>
            <w:shd w:val="clear" w:color="auto" w:fill="CDFFCC"/>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DFFCC"/>
          </w:tcPr>
          <w:p>
            <w:pPr>
              <w:jc w:val="right"/>
              <w:spacing w:after="0"/>
              <w:rPr>
                <w:sz w:val="20"/>
                <w:szCs w:val="20"/>
                <w:color w:val="auto"/>
              </w:rPr>
            </w:pPr>
            <w:r>
              <w:rPr>
                <w:rFonts w:ascii="Arial" w:cs="Arial" w:eastAsia="Arial" w:hAnsi="Arial"/>
                <w:sz w:val="16"/>
                <w:szCs w:val="16"/>
                <w:color w:val="auto"/>
              </w:rPr>
              <w:t>4,669</w:t>
            </w:r>
          </w:p>
        </w:tc>
        <w:tc>
          <w:tcPr>
            <w:tcW w:w="140" w:type="dxa"/>
            <w:vAlign w:val="bottom"/>
            <w:shd w:val="clear" w:color="auto" w:fill="CDFFCC"/>
          </w:tcPr>
          <w:p>
            <w:pPr>
              <w:spacing w:after="0"/>
              <w:rPr>
                <w:sz w:val="18"/>
                <w:szCs w:val="18"/>
                <w:color w:val="auto"/>
              </w:rPr>
            </w:pPr>
          </w:p>
        </w:tc>
        <w:tc>
          <w:tcPr>
            <w:tcW w:w="620" w:type="dxa"/>
            <w:vAlign w:val="bottom"/>
            <w:shd w:val="clear" w:color="auto" w:fill="CDFFCC"/>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2,861</w:t>
            </w:r>
          </w:p>
        </w:tc>
      </w:tr>
      <w:tr>
        <w:trPr>
          <w:trHeight w:val="213"/>
        </w:trPr>
        <w:tc>
          <w:tcPr>
            <w:tcW w:w="6560" w:type="dxa"/>
            <w:vAlign w:val="bottom"/>
          </w:tcPr>
          <w:p>
            <w:pPr>
              <w:ind w:left="36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3,788</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3,814</w:t>
            </w:r>
          </w:p>
        </w:tc>
      </w:tr>
      <w:tr>
        <w:trPr>
          <w:trHeight w:val="219"/>
        </w:trPr>
        <w:tc>
          <w:tcPr>
            <w:tcW w:w="6560" w:type="dxa"/>
            <w:vAlign w:val="bottom"/>
            <w:shd w:val="clear" w:color="auto" w:fill="CDFFCC"/>
          </w:tcPr>
          <w:p>
            <w:pPr>
              <w:ind w:left="36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DFFCC"/>
          </w:tcPr>
          <w:p>
            <w:pPr>
              <w:spacing w:after="0"/>
              <w:rPr>
                <w:sz w:val="19"/>
                <w:szCs w:val="19"/>
                <w:color w:val="auto"/>
              </w:rPr>
            </w:pPr>
          </w:p>
        </w:tc>
        <w:tc>
          <w:tcPr>
            <w:tcW w:w="540" w:type="dxa"/>
            <w:vAlign w:val="bottom"/>
            <w:shd w:val="clear" w:color="auto" w:fill="CDFFCC"/>
          </w:tcPr>
          <w:p>
            <w:pPr>
              <w:spacing w:after="0"/>
              <w:rPr>
                <w:sz w:val="19"/>
                <w:szCs w:val="19"/>
                <w:color w:val="auto"/>
              </w:rPr>
            </w:pPr>
          </w:p>
        </w:tc>
        <w:tc>
          <w:tcPr>
            <w:tcW w:w="154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1,953</w:t>
            </w:r>
          </w:p>
        </w:tc>
        <w:tc>
          <w:tcPr>
            <w:tcW w:w="140" w:type="dxa"/>
            <w:vAlign w:val="bottom"/>
            <w:shd w:val="clear" w:color="auto" w:fill="CDFFCC"/>
          </w:tcPr>
          <w:p>
            <w:pPr>
              <w:spacing w:after="0"/>
              <w:rPr>
                <w:sz w:val="19"/>
                <w:szCs w:val="19"/>
                <w:color w:val="auto"/>
              </w:rPr>
            </w:pPr>
          </w:p>
        </w:tc>
        <w:tc>
          <w:tcPr>
            <w:tcW w:w="620" w:type="dxa"/>
            <w:vAlign w:val="bottom"/>
            <w:shd w:val="clear" w:color="auto" w:fill="CDFFCC"/>
          </w:tcPr>
          <w:p>
            <w:pPr>
              <w:spacing w:after="0"/>
              <w:rPr>
                <w:sz w:val="19"/>
                <w:szCs w:val="19"/>
                <w:color w:val="auto"/>
              </w:rPr>
            </w:pPr>
          </w:p>
        </w:tc>
        <w:tc>
          <w:tcPr>
            <w:tcW w:w="16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2,572</w:t>
            </w:r>
          </w:p>
        </w:tc>
      </w:tr>
      <w:tr>
        <w:trPr>
          <w:trHeight w:val="213"/>
        </w:trPr>
        <w:tc>
          <w:tcPr>
            <w:tcW w:w="6560" w:type="dxa"/>
            <w:vAlign w:val="bottom"/>
          </w:tcPr>
          <w:p>
            <w:pPr>
              <w:ind w:left="36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1,171</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560" w:type="dxa"/>
            <w:vAlign w:val="bottom"/>
            <w:shd w:val="clear" w:color="auto" w:fill="CDFFCC"/>
          </w:tcPr>
          <w:p>
            <w:pPr>
              <w:ind w:left="36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DFFCC"/>
          </w:tcPr>
          <w:p>
            <w:pPr>
              <w:spacing w:after="0"/>
              <w:rPr>
                <w:sz w:val="19"/>
                <w:szCs w:val="19"/>
                <w:color w:val="auto"/>
              </w:rPr>
            </w:pPr>
          </w:p>
        </w:tc>
        <w:tc>
          <w:tcPr>
            <w:tcW w:w="540" w:type="dxa"/>
            <w:vAlign w:val="bottom"/>
            <w:shd w:val="clear" w:color="auto" w:fill="CDFFCC"/>
          </w:tcPr>
          <w:p>
            <w:pPr>
              <w:spacing w:after="0"/>
              <w:rPr>
                <w:sz w:val="19"/>
                <w:szCs w:val="19"/>
                <w:color w:val="auto"/>
              </w:rPr>
            </w:pPr>
          </w:p>
        </w:tc>
        <w:tc>
          <w:tcPr>
            <w:tcW w:w="1540" w:type="dxa"/>
            <w:vAlign w:val="bottom"/>
            <w:shd w:val="clear" w:color="auto" w:fill="CDFFCC"/>
          </w:tcPr>
          <w:p>
            <w:pPr>
              <w:jc w:val="right"/>
              <w:spacing w:after="0"/>
              <w:rPr>
                <w:sz w:val="20"/>
                <w:szCs w:val="20"/>
                <w:color w:val="auto"/>
              </w:rPr>
            </w:pPr>
            <w:r>
              <w:rPr>
                <w:rFonts w:ascii="Arial" w:cs="Arial" w:eastAsia="Arial" w:hAnsi="Arial"/>
                <w:sz w:val="16"/>
                <w:szCs w:val="16"/>
                <w:color w:val="auto"/>
              </w:rPr>
              <w:t>636</w:t>
            </w:r>
          </w:p>
        </w:tc>
        <w:tc>
          <w:tcPr>
            <w:tcW w:w="140" w:type="dxa"/>
            <w:vAlign w:val="bottom"/>
            <w:shd w:val="clear" w:color="auto" w:fill="CDFFCC"/>
          </w:tcPr>
          <w:p>
            <w:pPr>
              <w:spacing w:after="0"/>
              <w:rPr>
                <w:sz w:val="19"/>
                <w:szCs w:val="19"/>
                <w:color w:val="auto"/>
              </w:rPr>
            </w:pPr>
          </w:p>
        </w:tc>
        <w:tc>
          <w:tcPr>
            <w:tcW w:w="620" w:type="dxa"/>
            <w:vAlign w:val="bottom"/>
            <w:shd w:val="clear" w:color="auto" w:fill="CDFFCC"/>
          </w:tcPr>
          <w:p>
            <w:pPr>
              <w:spacing w:after="0"/>
              <w:rPr>
                <w:sz w:val="19"/>
                <w:szCs w:val="19"/>
                <w:color w:val="auto"/>
              </w:rPr>
            </w:pPr>
          </w:p>
        </w:tc>
        <w:tc>
          <w:tcPr>
            <w:tcW w:w="16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40" w:type="dxa"/>
            <w:vAlign w:val="bottom"/>
            <w:tcBorders>
              <w:bottom w:val="single" w:sz="8" w:color="CDFFCC"/>
            </w:tcBorders>
            <w:gridSpan w:val="2"/>
          </w:tcPr>
          <w:p>
            <w:pPr>
              <w:ind w:left="360"/>
              <w:spacing w:after="0"/>
              <w:rPr>
                <w:sz w:val="20"/>
                <w:szCs w:val="20"/>
                <w:color w:val="auto"/>
              </w:rPr>
            </w:pPr>
            <w:r>
              <w:rPr>
                <w:rFonts w:ascii="Arial" w:cs="Arial" w:eastAsia="Arial" w:hAnsi="Arial"/>
                <w:sz w:val="16"/>
                <w:szCs w:val="16"/>
                <w:color w:val="auto"/>
              </w:rPr>
              <w:t>Thereafter</w:t>
            </w:r>
          </w:p>
        </w:tc>
        <w:tc>
          <w:tcPr>
            <w:tcW w:w="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40" w:type="dxa"/>
            <w:vAlign w:val="bottom"/>
            <w:tcBorders>
              <w:bottom w:val="single" w:sz="8" w:color="CDFFC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40" w:type="dxa"/>
            <w:vAlign w:val="bottom"/>
            <w:gridSpan w:val="2"/>
            <w:shd w:val="clear" w:color="auto" w:fill="CDFFCC"/>
          </w:tcPr>
          <w:p>
            <w:pPr>
              <w:ind w:left="180"/>
              <w:spacing w:after="0"/>
              <w:rPr>
                <w:sz w:val="20"/>
                <w:szCs w:val="20"/>
                <w:color w:val="auto"/>
              </w:rPr>
            </w:pPr>
            <w:r>
              <w:rPr>
                <w:rFonts w:ascii="Arial" w:cs="Arial" w:eastAsia="Arial" w:hAnsi="Arial"/>
                <w:sz w:val="16"/>
                <w:szCs w:val="16"/>
                <w:color w:val="auto"/>
              </w:rPr>
              <w:t>Total minimum lease payments</w:t>
            </w:r>
          </w:p>
        </w:tc>
        <w:tc>
          <w:tcPr>
            <w:tcW w:w="540" w:type="dxa"/>
            <w:vAlign w:val="bottom"/>
            <w:shd w:val="clear" w:color="auto" w:fill="CDFFCC"/>
          </w:tcPr>
          <w:p>
            <w:pPr>
              <w:spacing w:after="0"/>
              <w:rPr>
                <w:sz w:val="18"/>
                <w:szCs w:val="18"/>
                <w:color w:val="auto"/>
              </w:rPr>
            </w:pPr>
          </w:p>
        </w:tc>
        <w:tc>
          <w:tcPr>
            <w:tcW w:w="154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12,482</w:t>
            </w:r>
          </w:p>
        </w:tc>
        <w:tc>
          <w:tcPr>
            <w:tcW w:w="140" w:type="dxa"/>
            <w:vAlign w:val="bottom"/>
            <w:shd w:val="clear" w:color="auto" w:fill="CDFFCC"/>
          </w:tcPr>
          <w:p>
            <w:pPr>
              <w:spacing w:after="0"/>
              <w:rPr>
                <w:sz w:val="18"/>
                <w:szCs w:val="18"/>
                <w:color w:val="auto"/>
              </w:rPr>
            </w:pPr>
          </w:p>
        </w:tc>
        <w:tc>
          <w:tcPr>
            <w:tcW w:w="620" w:type="dxa"/>
            <w:vAlign w:val="bottom"/>
            <w:shd w:val="clear" w:color="auto" w:fill="CDFFCC"/>
          </w:tcPr>
          <w:p>
            <w:pPr>
              <w:spacing w:after="0"/>
              <w:rPr>
                <w:sz w:val="18"/>
                <w:szCs w:val="18"/>
                <w:color w:val="auto"/>
              </w:rPr>
            </w:pPr>
          </w:p>
        </w:tc>
        <w:tc>
          <w:tcPr>
            <w:tcW w:w="16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9,247</w:t>
            </w:r>
          </w:p>
        </w:tc>
      </w:tr>
      <w:tr>
        <w:trPr>
          <w:trHeight w:val="213"/>
        </w:trPr>
        <w:tc>
          <w:tcPr>
            <w:tcW w:w="6740" w:type="dxa"/>
            <w:vAlign w:val="bottom"/>
            <w:tcBorders>
              <w:bottom w:val="single" w:sz="8" w:color="CDFFCC"/>
            </w:tcBorders>
            <w:gridSpan w:val="2"/>
          </w:tcPr>
          <w:p>
            <w:pPr>
              <w:ind w:left="360"/>
              <w:spacing w:after="0"/>
              <w:rPr>
                <w:sz w:val="20"/>
                <w:szCs w:val="20"/>
                <w:color w:val="auto"/>
              </w:rPr>
            </w:pPr>
            <w:r>
              <w:rPr>
                <w:rFonts w:ascii="Arial" w:cs="Arial" w:eastAsia="Arial" w:hAnsi="Arial"/>
                <w:sz w:val="16"/>
                <w:szCs w:val="16"/>
                <w:color w:val="auto"/>
              </w:rPr>
              <w:t>Less: present value adjustment</w:t>
            </w:r>
          </w:p>
        </w:tc>
        <w:tc>
          <w:tcPr>
            <w:tcW w:w="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w:t>
            </w:r>
          </w:p>
        </w:tc>
        <w:tc>
          <w:tcPr>
            <w:tcW w:w="140" w:type="dxa"/>
            <w:vAlign w:val="bottom"/>
            <w:tcBorders>
              <w:bottom w:val="single" w:sz="8" w:color="CDFFC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r>
      <w:tr>
        <w:trPr>
          <w:trHeight w:val="238"/>
        </w:trPr>
        <w:tc>
          <w:tcPr>
            <w:tcW w:w="6740" w:type="dxa"/>
            <w:vAlign w:val="bottom"/>
            <w:tcBorders>
              <w:bottom w:val="single" w:sz="8" w:color="CDFFCC"/>
            </w:tcBorders>
            <w:gridSpan w:val="2"/>
            <w:shd w:val="clear" w:color="auto" w:fill="CDFFCC"/>
          </w:tcPr>
          <w:p>
            <w:pPr>
              <w:ind w:left="180"/>
              <w:spacing w:after="0"/>
              <w:rPr>
                <w:sz w:val="20"/>
                <w:szCs w:val="20"/>
                <w:color w:val="auto"/>
              </w:rPr>
            </w:pPr>
            <w:r>
              <w:rPr>
                <w:rFonts w:ascii="Arial" w:cs="Arial" w:eastAsia="Arial" w:hAnsi="Arial"/>
                <w:sz w:val="16"/>
                <w:szCs w:val="16"/>
                <w:color w:val="auto"/>
              </w:rPr>
              <w:t>Present value of lease liabilities</w:t>
            </w:r>
          </w:p>
        </w:tc>
        <w:tc>
          <w:tcPr>
            <w:tcW w:w="540" w:type="dxa"/>
            <w:vAlign w:val="bottom"/>
            <w:tcBorders>
              <w:bottom w:val="single" w:sz="8" w:color="auto"/>
            </w:tcBorders>
            <w:shd w:val="clear" w:color="auto" w:fill="CDFFCC"/>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11,267</w:t>
            </w:r>
          </w:p>
        </w:tc>
        <w:tc>
          <w:tcPr>
            <w:tcW w:w="140" w:type="dxa"/>
            <w:vAlign w:val="bottom"/>
            <w:tcBorders>
              <w:bottom w:val="single" w:sz="8" w:color="CDFFCC"/>
            </w:tcBorders>
            <w:shd w:val="clear" w:color="auto" w:fill="CDFFCC"/>
          </w:tcPr>
          <w:p>
            <w:pPr>
              <w:spacing w:after="0"/>
              <w:rPr>
                <w:sz w:val="20"/>
                <w:szCs w:val="20"/>
                <w:color w:val="auto"/>
              </w:rPr>
            </w:pPr>
          </w:p>
        </w:tc>
        <w:tc>
          <w:tcPr>
            <w:tcW w:w="620" w:type="dxa"/>
            <w:vAlign w:val="bottom"/>
            <w:tcBorders>
              <w:bottom w:val="single" w:sz="8" w:color="auto"/>
            </w:tcBorders>
            <w:shd w:val="clear" w:color="auto" w:fill="CDFFCC"/>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8,804</w:t>
            </w:r>
          </w:p>
        </w:tc>
      </w:tr>
      <w:tr>
        <w:trPr>
          <w:trHeight w:val="20"/>
        </w:trPr>
        <w:tc>
          <w:tcPr>
            <w:tcW w:w="656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tcBorders>
          </w:tcPr>
          <w:p>
            <w:pPr>
              <w:spacing w:after="0" w:line="20" w:lineRule="exact"/>
              <w:rPr>
                <w:sz w:val="1"/>
                <w:szCs w:val="1"/>
                <w:color w:val="auto"/>
              </w:rPr>
            </w:pPr>
          </w:p>
        </w:tc>
        <w:tc>
          <w:tcPr>
            <w:tcW w:w="540" w:type="dxa"/>
            <w:vAlign w:val="bottom"/>
            <w:tcBorders>
              <w:top w:val="single" w:sz="8" w:color="CDFFCC"/>
              <w:bottom w:val="single" w:sz="8" w:color="auto"/>
            </w:tcBorders>
          </w:tcPr>
          <w:p>
            <w:pPr>
              <w:spacing w:after="0" w:line="20" w:lineRule="exact"/>
              <w:rPr>
                <w:sz w:val="1"/>
                <w:szCs w:val="1"/>
                <w:color w:val="auto"/>
              </w:rPr>
            </w:pPr>
          </w:p>
        </w:tc>
        <w:tc>
          <w:tcPr>
            <w:tcW w:w="1540" w:type="dxa"/>
            <w:vAlign w:val="bottom"/>
            <w:tcBorders>
              <w:top w:val="single" w:sz="8" w:color="CDFFCC"/>
              <w:bottom w:val="single" w:sz="8" w:color="auto"/>
            </w:tcBorders>
          </w:tcPr>
          <w:p>
            <w:pPr>
              <w:spacing w:after="0" w:line="20" w:lineRule="exact"/>
              <w:rPr>
                <w:sz w:val="1"/>
                <w:szCs w:val="1"/>
                <w:color w:val="auto"/>
              </w:rPr>
            </w:pPr>
          </w:p>
        </w:tc>
        <w:tc>
          <w:tcPr>
            <w:tcW w:w="140" w:type="dxa"/>
            <w:vAlign w:val="bottom"/>
            <w:tcBorders>
              <w:top w:val="single" w:sz="8" w:color="CDFFCC"/>
            </w:tcBorders>
          </w:tcPr>
          <w:p>
            <w:pPr>
              <w:spacing w:after="0" w:line="20" w:lineRule="exact"/>
              <w:rPr>
                <w:sz w:val="1"/>
                <w:szCs w:val="1"/>
                <w:color w:val="auto"/>
              </w:rPr>
            </w:pPr>
          </w:p>
        </w:tc>
        <w:tc>
          <w:tcPr>
            <w:tcW w:w="620" w:type="dxa"/>
            <w:vAlign w:val="bottom"/>
            <w:tcBorders>
              <w:top w:val="single" w:sz="8" w:color="CDFFCC"/>
              <w:bottom w:val="single" w:sz="8" w:color="auto"/>
            </w:tcBorders>
          </w:tcPr>
          <w:p>
            <w:pPr>
              <w:spacing w:after="0" w:line="20" w:lineRule="exact"/>
              <w:rPr>
                <w:sz w:val="1"/>
                <w:szCs w:val="1"/>
                <w:color w:val="auto"/>
              </w:rPr>
            </w:pPr>
          </w:p>
        </w:tc>
        <w:tc>
          <w:tcPr>
            <w:tcW w:w="1660" w:type="dxa"/>
            <w:vAlign w:val="bottom"/>
            <w:tcBorders>
              <w:top w:val="single" w:sz="8" w:color="CDFFCC"/>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timing and amounts of future minimum lease payments under non-cancellable operating leases in the above table may be subject to change as a result of the restructuring (see Note 13).</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2019, the Company’s 401(k) policy was changed to a Safe Harbor Plan, whereby the Company matches 100% of the first 3% of eligible compensation and 50% of the next 2% of eligible compensation. Furthermore, the match is immediately vested. Salaries and related expenses include $0.9 million of employer matching contributions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March 31, 2021, the Company has a letter of credit totaling $0.6 million as a security deposit for the due performance by the Company of the terms and conditions of a supply contract. As a result of the Company’s transition to an employee-centric model, there were two draws against the Company’s letters of credit in the aggregate amount of $1.8 million in connection with exiting leases in Alpharetta, Georgia and Israel.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 Income Tax Matters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is in the process of finalizing its sales tax liability analysis for states in which it has economic nexus. During the first quarter of 2020, the Company determined it was probable the Company would be subject to sales tax liabilities plus applicable interest in these states and has estimated the potential exposure to range between $2.5 million to $6.3 million. The Company determined that its best estimate of what would be reasonably expected for the Company to settle the potential exposure was $2.5 million and accordingly, the Company accrued this amount with a corresponding charge to earnings as of March 31, 2020. As of March 31, 2021, there is a $2.0 million accrual balance.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2019, a novel coronavirus disease (“COVID-19”) was first reported. On March 11, 2020, due to worldwide spread of the virus, the World Health Organization characterized COVID-19 as a pandemic. The COVID-19 global pandemic has resulted in a widespread health crisis, and the resulting impact on governments, businesses and individuals and actions taken by them in response to the situation have resulted in widespread economic disruptions, significantly affecting broader economies, financial markets, and overall demand for the Company’s products. The COVID-19 outbreak also has caused increased uncertainty in estimates and assumptions affecting the reported amounts of assets and liabilities, and the disclosure of contingent assets and liabilities in the Company’s Condensed Consolidated Financial Statements as the extent and period of recovery from the COVID-19 outbreak and related economic disruption is difficult to forecast.</w:t>
      </w:r>
    </w:p>
    <w:p>
      <w:pPr>
        <w:spacing w:after="0" w:line="22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extent to which COVID-19 impacts the Company’s business and financial results will depend on numerous evolving factors including, but not limited to, the magnitude and duration of COVID-19, the extent to which it will impact worldwide macroeconomic conditions,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The accounting matters assessed included, but were not limited to, the Company’s allowance for credit losses and the carrying value of the goodwill and other long-lived assets. While there was not any significant impact to the operations of the Company, during the twelve months ended December 31, 2020, the Company moved to an employee-centric model under which employees will work remotely rather than in traditional offices due to concerns about COVID-19. As a result of this decision, the Company recognized accelerated amortization to fully reduce the carrying value of the associated ROU assets for 14 leases within its global lease portfolio, which is a material impact to the Company’s consolidated financial statements as of and for the twelve months ended December 31, 2020. Refer to earlier paragraphs of this Note 11 for a detailed discussion of the impacts of this lease restructuring.</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future assessment of the magnitude and duration of COVID-19, as well as other factors, could result in other material impacts to the Company’s consolidated financial statements in future reporting periods.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2021, there were 200,000,000 shares of common stock authorized, 71,351,202 shares issued, and 68,641,372 shares outstanding. As of December 31, 2020, there were 200,000,000 shares of common stock authorized, 70,264,265 shares issued and 67,554,435 shares outstanding. The par value for shares of common stock is $0.001 per share.</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November 12, 2019, the Company filed an amendment to its Certificate of Incorporation to authorize an additional 100,000,000 shares of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and December 31, 2020, there were 5,000,000 shares of preferred stock authorized, and zero shares issued and outstanding. The par value for shares of preferred stock is $0.001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depended on a variety of factors including the timing of open trading windows, price, corporate and regulatory requirements and other market conditions. The program was discontinued at the end of 2018. The Company may or may not enter into a new stock repurchase program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follows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forfeiture rate assumptions, which estimate the share-based awards that will ultimately vest, requires judgment, and to the extent actual results or updated estimates differ from management's current estimates, such amounts will be recorded as a cumulative adjustment in the period of change and could be materially different from share-based compensation expense recorded in prior periods.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per share weighted average fair value of stock options granted was $31.60 and $8.18 during the three months ended March 31, 2021 and 2020, respectively. The fair value of each option grant is estimated on the date of grant, adjusted for estimated forfeitures, using the Black-Scholes option-pricing model with the following weighted average assumptions: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160" w:type="dxa"/>
            <w:vAlign w:val="bottom"/>
            <w:tcBorders>
              <w:bottom w:val="single" w:sz="8" w:color="CDFFCC"/>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DFFCC"/>
            </w:tcBorders>
          </w:tcPr>
          <w:p>
            <w:pPr>
              <w:spacing w:after="0"/>
              <w:rPr>
                <w:sz w:val="16"/>
                <w:szCs w:val="16"/>
                <w:color w:val="auto"/>
              </w:rPr>
            </w:pPr>
          </w:p>
        </w:tc>
        <w:tc>
          <w:tcPr>
            <w:tcW w:w="15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2020</w:t>
            </w:r>
          </w:p>
        </w:tc>
      </w:tr>
      <w:tr>
        <w:trPr>
          <w:trHeight w:val="211"/>
        </w:trPr>
        <w:tc>
          <w:tcPr>
            <w:tcW w:w="8160" w:type="dxa"/>
            <w:vAlign w:val="bottom"/>
            <w:shd w:val="clear" w:color="auto" w:fill="CDFFCC"/>
          </w:tcPr>
          <w:p>
            <w:pPr>
              <w:ind w:left="20"/>
              <w:spacing w:after="0"/>
              <w:rPr>
                <w:sz w:val="20"/>
                <w:szCs w:val="20"/>
                <w:color w:val="auto"/>
              </w:rPr>
            </w:pPr>
            <w:r>
              <w:rPr>
                <w:rFonts w:ascii="Arial" w:cs="Arial" w:eastAsia="Arial" w:hAnsi="Arial"/>
                <w:sz w:val="16"/>
                <w:szCs w:val="16"/>
                <w:color w:val="auto"/>
              </w:rPr>
              <w:t>Dividend yield</w:t>
            </w:r>
          </w:p>
        </w:tc>
        <w:tc>
          <w:tcPr>
            <w:tcW w:w="1440" w:type="dxa"/>
            <w:vAlign w:val="bottom"/>
            <w:shd w:val="clear" w:color="auto" w:fill="CDFFCC"/>
          </w:tcPr>
          <w:p>
            <w:pPr>
              <w:jc w:val="center"/>
              <w:spacing w:after="0"/>
              <w:rPr>
                <w:sz w:val="20"/>
                <w:szCs w:val="20"/>
                <w:color w:val="auto"/>
              </w:rPr>
            </w:pPr>
            <w:r>
              <w:rPr>
                <w:rFonts w:ascii="Arial" w:cs="Arial" w:eastAsia="Arial" w:hAnsi="Arial"/>
                <w:sz w:val="16"/>
                <w:szCs w:val="16"/>
                <w:color w:val="auto"/>
                <w:w w:val="93"/>
              </w:rPr>
              <w:t>0.0%</w:t>
            </w:r>
          </w:p>
        </w:tc>
        <w:tc>
          <w:tcPr>
            <w:tcW w:w="100" w:type="dxa"/>
            <w:vAlign w:val="bottom"/>
            <w:shd w:val="clear" w:color="auto" w:fill="CDFFCC"/>
          </w:tcPr>
          <w:p>
            <w:pPr>
              <w:spacing w:after="0"/>
              <w:rPr>
                <w:sz w:val="18"/>
                <w:szCs w:val="18"/>
                <w:color w:val="auto"/>
              </w:rPr>
            </w:pPr>
          </w:p>
        </w:tc>
        <w:tc>
          <w:tcPr>
            <w:tcW w:w="1540" w:type="dxa"/>
            <w:vAlign w:val="bottom"/>
            <w:shd w:val="clear" w:color="auto" w:fill="CDFFCC"/>
          </w:tcPr>
          <w:p>
            <w:pPr>
              <w:jc w:val="center"/>
              <w:ind w:right="41"/>
              <w:spacing w:after="0"/>
              <w:rPr>
                <w:sz w:val="20"/>
                <w:szCs w:val="20"/>
                <w:color w:val="auto"/>
              </w:rPr>
            </w:pPr>
            <w:r>
              <w:rPr>
                <w:rFonts w:ascii="Arial" w:cs="Arial" w:eastAsia="Arial" w:hAnsi="Arial"/>
                <w:sz w:val="16"/>
                <w:szCs w:val="16"/>
                <w:color w:val="auto"/>
                <w:w w:val="93"/>
              </w:rPr>
              <w:t>0.0%</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0.46%</w:t>
            </w:r>
          </w:p>
        </w:tc>
        <w:tc>
          <w:tcPr>
            <w:tcW w:w="100" w:type="dxa"/>
            <w:vAlign w:val="bottom"/>
          </w:tcPr>
          <w:p>
            <w:pPr>
              <w:spacing w:after="0"/>
              <w:rPr>
                <w:sz w:val="18"/>
                <w:szCs w:val="18"/>
                <w:color w:val="auto"/>
              </w:rPr>
            </w:pPr>
          </w:p>
        </w:tc>
        <w:tc>
          <w:tcPr>
            <w:tcW w:w="1540" w:type="dxa"/>
            <w:vAlign w:val="bottom"/>
          </w:tcPr>
          <w:p>
            <w:pPr>
              <w:jc w:val="center"/>
              <w:ind w:right="41"/>
              <w:spacing w:after="0"/>
              <w:rPr>
                <w:sz w:val="20"/>
                <w:szCs w:val="20"/>
                <w:color w:val="auto"/>
              </w:rPr>
            </w:pPr>
            <w:r>
              <w:rPr>
                <w:rFonts w:ascii="Arial" w:cs="Arial" w:eastAsia="Arial" w:hAnsi="Arial"/>
                <w:sz w:val="16"/>
                <w:szCs w:val="16"/>
                <w:color w:val="auto"/>
                <w:w w:val="92"/>
              </w:rPr>
              <w:t>0.66%</w:t>
            </w:r>
          </w:p>
        </w:tc>
      </w:tr>
      <w:tr>
        <w:trPr>
          <w:trHeight w:val="219"/>
        </w:trPr>
        <w:tc>
          <w:tcPr>
            <w:tcW w:w="8160" w:type="dxa"/>
            <w:vAlign w:val="bottom"/>
            <w:shd w:val="clear" w:color="auto" w:fill="CDFFCC"/>
          </w:tcPr>
          <w:p>
            <w:pPr>
              <w:ind w:left="20"/>
              <w:spacing w:after="0"/>
              <w:rPr>
                <w:sz w:val="20"/>
                <w:szCs w:val="20"/>
                <w:color w:val="auto"/>
              </w:rPr>
            </w:pPr>
            <w:r>
              <w:rPr>
                <w:rFonts w:ascii="Arial" w:cs="Arial" w:eastAsia="Arial" w:hAnsi="Arial"/>
                <w:sz w:val="16"/>
                <w:szCs w:val="16"/>
                <w:color w:val="auto"/>
              </w:rPr>
              <w:t>Expected life (in years)</w:t>
            </w:r>
          </w:p>
        </w:tc>
        <w:tc>
          <w:tcPr>
            <w:tcW w:w="1440" w:type="dxa"/>
            <w:vAlign w:val="bottom"/>
            <w:shd w:val="clear" w:color="auto" w:fill="CDFFCC"/>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shd w:val="clear" w:color="auto" w:fill="CDFFCC"/>
          </w:tcPr>
          <w:p>
            <w:pPr>
              <w:spacing w:after="0"/>
              <w:rPr>
                <w:sz w:val="19"/>
                <w:szCs w:val="19"/>
                <w:color w:val="auto"/>
              </w:rPr>
            </w:pPr>
          </w:p>
        </w:tc>
        <w:tc>
          <w:tcPr>
            <w:tcW w:w="1540" w:type="dxa"/>
            <w:vAlign w:val="bottom"/>
            <w:shd w:val="clear" w:color="auto" w:fill="CDFFCC"/>
          </w:tcPr>
          <w:p>
            <w:pPr>
              <w:jc w:val="center"/>
              <w:ind w:right="21"/>
              <w:spacing w:after="0"/>
              <w:rPr>
                <w:sz w:val="20"/>
                <w:szCs w:val="20"/>
                <w:color w:val="auto"/>
              </w:rPr>
            </w:pPr>
            <w:r>
              <w:rPr>
                <w:rFonts w:ascii="Arial" w:cs="Arial" w:eastAsia="Arial" w:hAnsi="Arial"/>
                <w:sz w:val="16"/>
                <w:szCs w:val="16"/>
                <w:color w:val="auto"/>
                <w:w w:val="89"/>
              </w:rPr>
              <w:t>5</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Historical volatility</w:t>
            </w: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53.94%</w:t>
            </w:r>
          </w:p>
        </w:tc>
        <w:tc>
          <w:tcPr>
            <w:tcW w:w="100" w:type="dxa"/>
            <w:vAlign w:val="bottom"/>
          </w:tcPr>
          <w:p>
            <w:pPr>
              <w:spacing w:after="0"/>
              <w:rPr>
                <w:sz w:val="18"/>
                <w:szCs w:val="18"/>
                <w:color w:val="auto"/>
              </w:rPr>
            </w:pPr>
          </w:p>
        </w:tc>
        <w:tc>
          <w:tcPr>
            <w:tcW w:w="1540" w:type="dxa"/>
            <w:vAlign w:val="bottom"/>
          </w:tcPr>
          <w:p>
            <w:pPr>
              <w:jc w:val="center"/>
              <w:ind w:right="41"/>
              <w:spacing w:after="0"/>
              <w:rPr>
                <w:sz w:val="20"/>
                <w:szCs w:val="20"/>
                <w:color w:val="auto"/>
              </w:rPr>
            </w:pPr>
            <w:r>
              <w:rPr>
                <w:rFonts w:ascii="Arial" w:cs="Arial" w:eastAsia="Arial" w:hAnsi="Arial"/>
                <w:sz w:val="16"/>
                <w:szCs w:val="16"/>
                <w:color w:val="auto"/>
                <w:w w:val="92"/>
              </w:rPr>
              <w:t>46.50%</w:t>
            </w:r>
          </w:p>
        </w:tc>
      </w:tr>
    </w:tbl>
    <w:p>
      <w:pPr>
        <w:spacing w:after="0" w:line="1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established the 2009 Stock Incentive Plan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plan by an additional 4,250,000. On June 2, 2017, the Company’s Board of Directors amended and restated the Amended 2009 Plan effective April 30, 2017. The amended and restated plan increased the number of shares authorized for issuance under the plan by an additional 4,000,000.</w:t>
      </w:r>
    </w:p>
    <w:p>
      <w:pPr>
        <w:spacing w:after="0" w:line="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April 11, 2019, the Company’s Board of Directors adopted, and on June 6, 2019, the Company’s stockholders approved, the 2019 Stock Incentive Plan (“2019 Stock Incentive Plan”) to replace the Amended 2009 Plan, which was set to expire under its terms on June 9, 2019. Under the 2019 Stock Incentive Plan, the number of shares underlying options and other equity awards which remain outstanding, as well as the number of shares that remained available for grant, under the Amended 2009 Plan and under the Amended 2000 Plan were incorporated, as of June 6, 2019, into the 2019 Stock Incentive Plan. In addition, under the 2019 Stock Incentive Plan, 4,250,000 new shares were authorized for issuance.</w:t>
      </w:r>
    </w:p>
    <w:p>
      <w:pPr>
        <w:spacing w:after="0" w:line="6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 June 11, 2020, the Company’s Board of Directors adopted, and on June 17, 2020, the company’s stockholders approved, the amendments to the LivePerson, Inc. 2019 Stock Incentive Plan. In addition, under the 2019 Stock Incentive Plan, 3,000,000 new shares were authorized for issuance.</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number of shares authorized for issuance under the 2019 Stock Incentive Plan, the Amended 2009 Plan, and the 2000 Plan is 35,067,744 shares in the aggregate. Options to acquire common stock granted thereunder have 10-year terms. As of March 31, 2021, approximately 2.6 million shares of common stock remained available for issuance under the 2019 Stock Incentive Plan (taking into account all option exercises and other equity award settlements through March 31, 2021).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11, 2019, the Company’s Board of Directors adopted, and on June 6, 2019, the Company’s stockholders approved, the 2019 Employee Stock Purchase Plan (the “2019 Employee Stock Purchase Plan”) to replace the Amended and Restated 2010 Employee Stock Purchase Plan which was set to expire under its terms in June 2020. There are 1,000,000 shares authorized and reserved for issuance under the 2019 Employee Stock Purchase Plan. As of March 31, 2021, approximately 0.8 million shares of common stock remain available for issuance under the 2019 Employee Stock Purchase Plan (taking into account all share purchases through March 31, 2021).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Plan</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January 2018, the Company established the Inducement Plan (the “2018 Plan”). Under the 2018 Plan, the Board of Directors can issue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and subsequently the Board of Directors approved and ratified, effective as of July 31, 2018, October 29, 2018 and February 13, 2019, increases of the number of shares authorized for issuance under the Amended 2018 Plan by 500,000, 250,000 and 618,048 shares, respectively, resulting in 3,368,048 shares of common stock in the aggregate being reserved for issuance pursuant to grants under the Amended 2018 Plan. As of March 31, 2021, approximately 1.2 million shares of common stock remained available for issuance under the Amended 2018 Plan (taking into account all option exercises and other equity award settlements through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Stock Option Activity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0"/>
              </w:rPr>
              <w:t>Weighted Average</w:t>
            </w: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60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Options (in</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Remaining</w:t>
            </w: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Aggregate Intrinsic</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Average</w:t>
            </w:r>
          </w:p>
        </w:tc>
        <w:tc>
          <w:tcPr>
            <w:tcW w:w="15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Term</w:t>
            </w: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18"/>
                <w:szCs w:val="18"/>
                <w:color w:val="auto"/>
              </w:rPr>
            </w:pPr>
          </w:p>
        </w:tc>
        <w:tc>
          <w:tcPr>
            <w:tcW w:w="160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years)</w:t>
            </w: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Value (in thousands)</w:t>
            </w:r>
          </w:p>
        </w:tc>
        <w:tc>
          <w:tcPr>
            <w:tcW w:w="0" w:type="dxa"/>
            <w:vAlign w:val="bottom"/>
          </w:tcPr>
          <w:p>
            <w:pPr>
              <w:spacing w:after="0"/>
              <w:rPr>
                <w:sz w:val="1"/>
                <w:szCs w:val="1"/>
                <w:color w:val="auto"/>
              </w:rPr>
            </w:pPr>
          </w:p>
        </w:tc>
      </w:tr>
      <w:tr>
        <w:trPr>
          <w:trHeight w:val="226"/>
        </w:trPr>
        <w:tc>
          <w:tcPr>
            <w:tcW w:w="496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2020</w:t>
            </w: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4,332</w:t>
            </w:r>
          </w:p>
        </w:tc>
        <w:tc>
          <w:tcPr>
            <w:tcW w:w="1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19.78</w:t>
            </w:r>
          </w:p>
        </w:tc>
        <w:tc>
          <w:tcPr>
            <w:tcW w:w="120" w:type="dxa"/>
            <w:vAlign w:val="bottom"/>
            <w:tcBorders>
              <w:top w:val="single" w:sz="8" w:color="CCFFCC"/>
            </w:tcBorders>
            <w:shd w:val="clear" w:color="auto" w:fill="CCFFCC"/>
          </w:tcPr>
          <w:p>
            <w:pPr>
              <w:spacing w:after="0"/>
              <w:rPr>
                <w:sz w:val="19"/>
                <w:szCs w:val="19"/>
                <w:color w:val="auto"/>
              </w:rPr>
            </w:pP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top w:val="single" w:sz="8" w:color="CCFFCC"/>
            </w:tcBorders>
            <w:shd w:val="clear" w:color="auto" w:fill="CCFFCC"/>
          </w:tcPr>
          <w:p>
            <w:pPr>
              <w:spacing w:after="0"/>
              <w:rPr>
                <w:sz w:val="19"/>
                <w:szCs w:val="19"/>
                <w:color w:val="auto"/>
              </w:rPr>
            </w:pPr>
          </w:p>
        </w:tc>
        <w:tc>
          <w:tcPr>
            <w:tcW w:w="480" w:type="dxa"/>
            <w:vAlign w:val="bottom"/>
            <w:tcBorders>
              <w:top w:val="single" w:sz="8" w:color="auto"/>
            </w:tcBorders>
            <w:shd w:val="clear" w:color="auto" w:fill="CCFFCC"/>
          </w:tcPr>
          <w:p>
            <w:pPr>
              <w:spacing w:after="0"/>
              <w:rPr>
                <w:sz w:val="19"/>
                <w:szCs w:val="19"/>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183,825</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CFFCC"/>
          </w:tcPr>
          <w:p>
            <w:pPr>
              <w:ind w:left="140"/>
              <w:spacing w:after="0"/>
              <w:rPr>
                <w:sz w:val="20"/>
                <w:szCs w:val="20"/>
                <w:color w:val="auto"/>
              </w:rPr>
            </w:pPr>
            <w:r>
              <w:rPr>
                <w:rFonts w:ascii="Arial" w:cs="Arial" w:eastAsia="Arial" w:hAnsi="Arial"/>
                <w:sz w:val="16"/>
                <w:szCs w:val="16"/>
                <w:color w:val="auto"/>
              </w:rPr>
              <w:t>Exercised</w:t>
            </w:r>
          </w:p>
        </w:tc>
        <w:tc>
          <w:tcPr>
            <w:tcW w:w="1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Cancelled or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3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480" w:type="dxa"/>
            <w:vAlign w:val="bottom"/>
            <w:tcBorders>
              <w:bottom w:val="single" w:sz="8" w:color="CCFFCC"/>
            </w:tcBorders>
          </w:tcPr>
          <w:p>
            <w:pPr>
              <w:spacing w:after="0"/>
              <w:rPr>
                <w:sz w:val="18"/>
                <w:szCs w:val="18"/>
                <w:color w:val="auto"/>
              </w:rPr>
            </w:pPr>
          </w:p>
        </w:tc>
        <w:tc>
          <w:tcPr>
            <w:tcW w:w="9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March 31, 2021</w:t>
            </w: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4,174</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20.93</w:t>
            </w:r>
          </w:p>
        </w:tc>
        <w:tc>
          <w:tcPr>
            <w:tcW w:w="120" w:type="dxa"/>
            <w:vAlign w:val="bottom"/>
            <w:tcBorders>
              <w:bottom w:val="single" w:sz="8" w:color="CCFFCC"/>
            </w:tcBorders>
            <w:shd w:val="clear" w:color="auto" w:fill="CCFFCC"/>
          </w:tcPr>
          <w:p>
            <w:pPr>
              <w:spacing w:after="0"/>
              <w:rPr>
                <w:sz w:val="20"/>
                <w:szCs w:val="20"/>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FFCC"/>
            </w:tcBorders>
            <w:shd w:val="clear" w:color="auto" w:fill="CCFFCC"/>
          </w:tcPr>
          <w:p>
            <w:pPr>
              <w:spacing w:after="0"/>
              <w:rPr>
                <w:sz w:val="20"/>
                <w:szCs w:val="20"/>
                <w:color w:val="auto"/>
              </w:rPr>
            </w:pPr>
          </w:p>
        </w:tc>
        <w:tc>
          <w:tcPr>
            <w:tcW w:w="4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134,089</w:t>
            </w:r>
          </w:p>
        </w:tc>
        <w:tc>
          <w:tcPr>
            <w:tcW w:w="0" w:type="dxa"/>
            <w:vAlign w:val="bottom"/>
          </w:tcPr>
          <w:p>
            <w:pPr>
              <w:spacing w:after="0"/>
              <w:rPr>
                <w:sz w:val="1"/>
                <w:szCs w:val="1"/>
                <w:color w:val="auto"/>
              </w:rPr>
            </w:pPr>
          </w:p>
        </w:tc>
      </w:tr>
      <w:tr>
        <w:trPr>
          <w:trHeight w:val="20"/>
        </w:trPr>
        <w:tc>
          <w:tcPr>
            <w:tcW w:w="496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13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CCFFCC"/>
              <w:bottom w:val="single" w:sz="8" w:color="auto"/>
            </w:tcBorders>
          </w:tcPr>
          <w:p>
            <w:pPr>
              <w:spacing w:after="0" w:line="20" w:lineRule="exact"/>
              <w:rPr>
                <w:sz w:val="1"/>
                <w:szCs w:val="1"/>
                <w:color w:val="auto"/>
              </w:rPr>
            </w:pPr>
          </w:p>
        </w:tc>
        <w:tc>
          <w:tcPr>
            <w:tcW w:w="9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60" w:type="dxa"/>
            <w:vAlign w:val="bottom"/>
          </w:tcPr>
          <w:p>
            <w:pPr>
              <w:ind w:left="20"/>
              <w:spacing w:after="0"/>
              <w:rPr>
                <w:sz w:val="20"/>
                <w:szCs w:val="20"/>
                <w:color w:val="auto"/>
              </w:rPr>
            </w:pPr>
            <w:r>
              <w:rPr>
                <w:rFonts w:ascii="Arial" w:cs="Arial" w:eastAsia="Arial" w:hAnsi="Arial"/>
                <w:sz w:val="16"/>
                <w:szCs w:val="16"/>
                <w:color w:val="auto"/>
              </w:rPr>
              <w:t>Options vested and expected to vest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6"/>
                <w:szCs w:val="16"/>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33,613</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FFC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Options exercisable at March 31, 2021</w:t>
            </w: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2,412</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15.75</w:t>
            </w:r>
          </w:p>
        </w:tc>
        <w:tc>
          <w:tcPr>
            <w:tcW w:w="120" w:type="dxa"/>
            <w:vAlign w:val="bottom"/>
            <w:tcBorders>
              <w:bottom w:val="single" w:sz="8" w:color="CCFFCC"/>
            </w:tcBorders>
            <w:shd w:val="clear" w:color="auto" w:fill="CCFFCC"/>
          </w:tcPr>
          <w:p>
            <w:pPr>
              <w:spacing w:after="0"/>
              <w:rPr>
                <w:sz w:val="20"/>
                <w:szCs w:val="20"/>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FFCC"/>
            </w:tcBorders>
            <w:shd w:val="clear" w:color="auto" w:fill="CCFFCC"/>
          </w:tcPr>
          <w:p>
            <w:pPr>
              <w:spacing w:after="0"/>
              <w:rPr>
                <w:sz w:val="20"/>
                <w:szCs w:val="20"/>
                <w:color w:val="auto"/>
              </w:rPr>
            </w:pPr>
          </w:p>
        </w:tc>
        <w:tc>
          <w:tcPr>
            <w:tcW w:w="4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89,213</w:t>
            </w:r>
          </w:p>
        </w:tc>
        <w:tc>
          <w:tcPr>
            <w:tcW w:w="0" w:type="dxa"/>
            <w:vAlign w:val="bottom"/>
          </w:tcPr>
          <w:p>
            <w:pPr>
              <w:spacing w:after="0"/>
              <w:rPr>
                <w:sz w:val="1"/>
                <w:szCs w:val="1"/>
                <w:color w:val="auto"/>
              </w:rPr>
            </w:pPr>
          </w:p>
        </w:tc>
      </w:tr>
      <w:tr>
        <w:trPr>
          <w:trHeight w:val="20"/>
        </w:trPr>
        <w:tc>
          <w:tcPr>
            <w:tcW w:w="496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13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CCFFCC"/>
              <w:bottom w:val="single" w:sz="8" w:color="auto"/>
            </w:tcBorders>
          </w:tcPr>
          <w:p>
            <w:pPr>
              <w:spacing w:after="0" w:line="20" w:lineRule="exact"/>
              <w:rPr>
                <w:sz w:val="1"/>
                <w:szCs w:val="1"/>
                <w:color w:val="auto"/>
              </w:rPr>
            </w:pPr>
          </w:p>
        </w:tc>
        <w:tc>
          <w:tcPr>
            <w:tcW w:w="9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total fair value of stock options exercised during the three months ended March 31, 2021 was approximately $1.2 million. As of March 31, 2021, there was approximately $17.6 million of total unrecognized compensation cost related to nonvested share-based compensation arrangements. That cost is expected to be recognized over a weighted average period of approximately 2.5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3600" w:type="dxa"/>
            <w:vAlign w:val="bottom"/>
            <w:gridSpan w:val="6"/>
          </w:tcPr>
          <w:p>
            <w:pPr>
              <w:ind w:left="700"/>
              <w:spacing w:after="0"/>
              <w:rPr>
                <w:sz w:val="20"/>
                <w:szCs w:val="20"/>
                <w:color w:val="auto"/>
              </w:rPr>
            </w:pPr>
            <w:r>
              <w:rPr>
                <w:rFonts w:ascii="Arial" w:cs="Arial" w:eastAsia="Arial" w:hAnsi="Arial"/>
                <w:sz w:val="16"/>
                <w:szCs w:val="16"/>
                <w:b w:val="1"/>
                <w:bCs w:val="1"/>
                <w:color w:val="auto"/>
              </w:rPr>
              <w:t>Restricted Stock Unit Activity</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180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Number of Shares (in</w:t>
            </w: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159"/>
              <w:spacing w:after="0" w:line="158" w:lineRule="exact"/>
              <w:rPr>
                <w:sz w:val="20"/>
                <w:szCs w:val="20"/>
                <w:color w:val="auto"/>
              </w:rPr>
            </w:pPr>
            <w:r>
              <w:rPr>
                <w:rFonts w:ascii="Arial" w:cs="Arial" w:eastAsia="Arial" w:hAnsi="Arial"/>
                <w:sz w:val="16"/>
                <w:szCs w:val="16"/>
                <w:b w:val="1"/>
                <w:bCs w:val="1"/>
                <w:color w:val="auto"/>
                <w:w w:val="93"/>
              </w:rPr>
              <w:t>Weighted 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Aggregate Fair Value (in</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800" w:type="dxa"/>
            <w:vAlign w:val="bottom"/>
            <w:gridSpan w:val="3"/>
          </w:tcPr>
          <w:p>
            <w:pPr>
              <w:jc w:val="right"/>
              <w:ind w:right="180"/>
              <w:spacing w:after="0" w:line="162" w:lineRule="exact"/>
              <w:rPr>
                <w:sz w:val="20"/>
                <w:szCs w:val="20"/>
                <w:color w:val="auto"/>
              </w:rPr>
            </w:pPr>
            <w:r>
              <w:rPr>
                <w:rFonts w:ascii="Arial" w:cs="Arial" w:eastAsia="Arial" w:hAnsi="Arial"/>
                <w:sz w:val="16"/>
                <w:szCs w:val="16"/>
                <w:b w:val="1"/>
                <w:bCs w:val="1"/>
                <w:color w:val="auto"/>
                <w:w w:val="98"/>
              </w:rPr>
              <w:t>Grant Date Fair Value</w:t>
            </w:r>
          </w:p>
        </w:tc>
        <w:tc>
          <w:tcPr>
            <w:tcW w:w="1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640" w:type="dxa"/>
            <w:vAlign w:val="bottom"/>
            <w:tcBorders>
              <w:bottom w:val="single" w:sz="8" w:color="CCFFCC"/>
            </w:tcBorders>
          </w:tcPr>
          <w:p>
            <w:pPr>
              <w:spacing w:after="0"/>
              <w:rPr>
                <w:sz w:val="18"/>
                <w:szCs w:val="18"/>
                <w:color w:val="auto"/>
              </w:rPr>
            </w:pPr>
          </w:p>
        </w:tc>
        <w:tc>
          <w:tcPr>
            <w:tcW w:w="124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b w:val="1"/>
                <w:bCs w:val="1"/>
                <w:color w:val="auto"/>
                <w:w w:val="88"/>
              </w:rPr>
              <w:t>thousands)</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12"/>
        </w:trPr>
        <w:tc>
          <w:tcPr>
            <w:tcW w:w="6880" w:type="dxa"/>
            <w:vAlign w:val="bottom"/>
            <w:gridSpan w:val="2"/>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2020</w:t>
            </w:r>
          </w:p>
        </w:tc>
        <w:tc>
          <w:tcPr>
            <w:tcW w:w="4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2,950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183,781</w:t>
            </w:r>
          </w:p>
        </w:tc>
        <w:tc>
          <w:tcPr>
            <w:tcW w:w="0" w:type="dxa"/>
            <w:vAlign w:val="bottom"/>
          </w:tcPr>
          <w:p>
            <w:pPr>
              <w:spacing w:after="0"/>
              <w:rPr>
                <w:sz w:val="1"/>
                <w:szCs w:val="1"/>
                <w:color w:val="auto"/>
              </w:rPr>
            </w:pPr>
          </w:p>
        </w:tc>
      </w:tr>
      <w:tr>
        <w:trPr>
          <w:trHeight w:val="213"/>
        </w:trPr>
        <w:tc>
          <w:tcPr>
            <w:tcW w:w="6880" w:type="dxa"/>
            <w:vAlign w:val="bottom"/>
            <w:gridSpan w:val="2"/>
          </w:tcPr>
          <w:p>
            <w:pPr>
              <w:ind w:left="140"/>
              <w:spacing w:after="0"/>
              <w:rPr>
                <w:sz w:val="20"/>
                <w:szCs w:val="20"/>
                <w:color w:val="auto"/>
              </w:rPr>
            </w:pPr>
            <w:r>
              <w:rPr>
                <w:rFonts w:ascii="Arial" w:cs="Arial" w:eastAsia="Arial" w:hAnsi="Arial"/>
                <w:sz w:val="16"/>
                <w:szCs w:val="16"/>
                <w:color w:val="auto"/>
              </w:rPr>
              <w:t>Awarded</w:t>
            </w:r>
          </w:p>
        </w:tc>
        <w:tc>
          <w:tcPr>
            <w:tcW w:w="46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Vested</w:t>
            </w:r>
          </w:p>
        </w:tc>
        <w:tc>
          <w:tcPr>
            <w:tcW w:w="4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5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Forfeited</w:t>
            </w:r>
          </w:p>
        </w:tc>
        <w:tc>
          <w:tcPr>
            <w:tcW w:w="1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56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84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March 31, 2021</w:t>
            </w:r>
          </w:p>
        </w:tc>
        <w:tc>
          <w:tcPr>
            <w:tcW w:w="1240" w:type="dxa"/>
            <w:vAlign w:val="bottom"/>
            <w:tcBorders>
              <w:bottom w:val="single" w:sz="8" w:color="auto"/>
            </w:tcBorders>
            <w:shd w:val="clear" w:color="auto" w:fill="CCFFCC"/>
          </w:tcPr>
          <w:p>
            <w:pPr>
              <w:spacing w:after="0"/>
              <w:rPr>
                <w:sz w:val="20"/>
                <w:szCs w:val="20"/>
                <w:color w:val="auto"/>
              </w:rPr>
            </w:pP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2,527</w:t>
            </w: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29.67</w:t>
            </w: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133,461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80" w:type="dxa"/>
            <w:vAlign w:val="bottom"/>
            <w:gridSpan w:val="2"/>
          </w:tcPr>
          <w:p>
            <w:pPr>
              <w:ind w:left="20"/>
              <w:spacing w:after="0"/>
              <w:rPr>
                <w:sz w:val="20"/>
                <w:szCs w:val="20"/>
                <w:color w:val="auto"/>
              </w:rPr>
            </w:pPr>
            <w:r>
              <w:rPr>
                <w:rFonts w:ascii="Arial" w:cs="Arial" w:eastAsia="Arial" w:hAnsi="Arial"/>
                <w:sz w:val="16"/>
                <w:szCs w:val="16"/>
                <w:color w:val="auto"/>
              </w:rPr>
              <w:t>Expected to vest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1,631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86,029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RSUs granted to employees generally vest over a three to four-year period or upon achievement of certain performance conditions. In accordance with ASU 2017-09, as of March 31, 2021, total unrecognized compensation cost, adjusted for estimated forfeitures, related to nonvested RSUs was approximately $65.7 million and the weighted-average remaining vesting period was 2.7 years.</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three months ended March 31, 2021 and 2020, the Company accrued approximately $5.3 million and $3.7 million in cash awards, respectively to be settled in shares of the Company’s stock and recorded a corresponding expense, which is included as a component of stock-based compensation expense in the accompanying condensed consolidated statements of operations for the three months ended March 31, 2021 and 2020, respectively.</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Stock-based compensation expense recognized in the Company’s condensed consolidated statements of operations and cash flows was $14.6 million and $14.7 million for the three months ended March 31, 2021 and 2020, respectively.</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response to the COVID-19 pandemic, the Company went through a re-evaluation of its real estate needs. In connection with this re-evaluation, and the success the Company has had working remotely, it was decided in July 2020 that the Company would significantly reduce the real estate space it leases. This decision resulted in the significant reduction of the real estate space the Company leases and the removal of the associated ROU assets. Furthermore, this resulted in various one-time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expenses in connection with the abandonment of the majority of the Company’s leased facilities. The lease restructuring costs noted below are a result of this transition to an employee-centric model.</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top of the lease restructuring costs, the Company went through a further restructuring related to costs associated with re-prioritizing and reallocating resources to focus on areas believed by management to show high growth potential.</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expenses associated with these restructuring events were approximately $2.7 million and $3.2 million during the three months ended March 31, 2021 and 2020, respectively. The Company expects to incur additional restructuring costs through December 31, 2021. The restructuring liability was approximately $4.9 million and $4.7 million as of March 31, 2021 and December 31, 2020, respectively. It is classified as accrued expenses and other current liabilities on the condensed consolidated balance sheets, as the liability is expected to be settled in the next 12 months.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detail of the liability for the Company’s restructuring charges for the periods presented (amounts in thousands):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 March 31, 2021</w:t>
            </w:r>
          </w:p>
        </w:tc>
        <w:tc>
          <w:tcPr>
            <w:tcW w:w="300" w:type="dxa"/>
            <w:vAlign w:val="bottom"/>
          </w:tcPr>
          <w:p>
            <w:pPr>
              <w:spacing w:after="0"/>
              <w:rPr>
                <w:sz w:val="16"/>
                <w:szCs w:val="16"/>
                <w:color w:val="auto"/>
              </w:rPr>
            </w:pPr>
          </w:p>
        </w:tc>
        <w:tc>
          <w:tcPr>
            <w:tcW w:w="1880" w:type="dxa"/>
            <w:vAlign w:val="bottom"/>
          </w:tcPr>
          <w:p>
            <w:pPr>
              <w:jc w:val="right"/>
              <w:ind w:right="441"/>
              <w:spacing w:after="0"/>
              <w:rPr>
                <w:sz w:val="20"/>
                <w:szCs w:val="20"/>
                <w:color w:val="auto"/>
              </w:rPr>
            </w:pPr>
            <w:r>
              <w:rPr>
                <w:rFonts w:ascii="Arial" w:cs="Arial" w:eastAsia="Arial" w:hAnsi="Arial"/>
                <w:sz w:val="14"/>
                <w:szCs w:val="14"/>
                <w:b w:val="1"/>
                <w:bCs w:val="1"/>
                <w:color w:val="auto"/>
              </w:rPr>
              <w:t>December 31, 2020</w:t>
            </w:r>
          </w:p>
        </w:tc>
      </w:tr>
      <w:tr>
        <w:trPr>
          <w:trHeight w:val="216"/>
        </w:trPr>
        <w:tc>
          <w:tcPr>
            <w:tcW w:w="6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Balance, Beginning of the year</w:t>
            </w:r>
          </w:p>
        </w:tc>
        <w:tc>
          <w:tcPr>
            <w:tcW w:w="260" w:type="dxa"/>
            <w:vAlign w:val="bottom"/>
            <w:tcBorders>
              <w:top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4,732</w:t>
            </w:r>
          </w:p>
        </w:tc>
        <w:tc>
          <w:tcPr>
            <w:tcW w:w="1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314</w:t>
            </w:r>
          </w:p>
        </w:tc>
      </w:tr>
      <w:tr>
        <w:trPr>
          <w:trHeight w:val="213"/>
        </w:trPr>
        <w:tc>
          <w:tcPr>
            <w:tcW w:w="6700" w:type="dxa"/>
            <w:vAlign w:val="bottom"/>
          </w:tcPr>
          <w:p>
            <w:pPr>
              <w:ind w:left="200"/>
              <w:spacing w:after="0"/>
              <w:rPr>
                <w:sz w:val="20"/>
                <w:szCs w:val="20"/>
                <w:color w:val="auto"/>
              </w:rPr>
            </w:pPr>
            <w:r>
              <w:rPr>
                <w:rFonts w:ascii="Arial" w:cs="Arial" w:eastAsia="Arial" w:hAnsi="Arial"/>
                <w:sz w:val="16"/>
                <w:szCs w:val="16"/>
                <w:color w:val="auto"/>
              </w:rPr>
              <w:t>Lease restructuring costs</w:t>
            </w:r>
          </w:p>
        </w:tc>
        <w:tc>
          <w:tcPr>
            <w:tcW w:w="260" w:type="dxa"/>
            <w:vAlign w:val="bottom"/>
          </w:tcPr>
          <w:p>
            <w:pPr>
              <w:spacing w:after="0"/>
              <w:rPr>
                <w:sz w:val="18"/>
                <w:szCs w:val="18"/>
                <w:color w:val="auto"/>
              </w:rPr>
            </w:pP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5,034</w:t>
            </w:r>
          </w:p>
        </w:tc>
      </w:tr>
      <w:tr>
        <w:trPr>
          <w:trHeight w:val="219"/>
        </w:trPr>
        <w:tc>
          <w:tcPr>
            <w:tcW w:w="67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Severance and other compensation associated costs</w:t>
            </w:r>
          </w:p>
        </w:tc>
        <w:tc>
          <w:tcPr>
            <w:tcW w:w="260" w:type="dxa"/>
            <w:vAlign w:val="bottom"/>
            <w:shd w:val="clear" w:color="auto" w:fill="CCFFCC"/>
          </w:tcPr>
          <w:p>
            <w:pPr>
              <w:spacing w:after="0"/>
              <w:rPr>
                <w:sz w:val="19"/>
                <w:szCs w:val="19"/>
                <w:color w:val="auto"/>
              </w:rPr>
            </w:pPr>
          </w:p>
        </w:tc>
        <w:tc>
          <w:tcPr>
            <w:tcW w:w="1940" w:type="dxa"/>
            <w:vAlign w:val="bottom"/>
            <w:shd w:val="clear" w:color="auto" w:fill="CCFFCC"/>
          </w:tcPr>
          <w:p>
            <w:pPr>
              <w:jc w:val="right"/>
              <w:ind w:right="1"/>
              <w:spacing w:after="0"/>
              <w:rPr>
                <w:sz w:val="20"/>
                <w:szCs w:val="20"/>
                <w:color w:val="auto"/>
              </w:rPr>
            </w:pPr>
            <w:r>
              <w:rPr>
                <w:rFonts w:ascii="Arial" w:cs="Arial" w:eastAsia="Arial" w:hAnsi="Arial"/>
                <w:sz w:val="16"/>
                <w:szCs w:val="16"/>
                <w:color w:val="auto"/>
              </w:rPr>
              <w:t>2,438</w:t>
            </w: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5,090</w:t>
            </w:r>
          </w:p>
        </w:tc>
      </w:tr>
      <w:tr>
        <w:trPr>
          <w:trHeight w:val="213"/>
        </w:trPr>
        <w:tc>
          <w:tcPr>
            <w:tcW w:w="6700" w:type="dxa"/>
            <w:vAlign w:val="bottom"/>
            <w:tcBorders>
              <w:bottom w:val="single" w:sz="8" w:color="CCFFCC"/>
            </w:tcBorders>
          </w:tcPr>
          <w:p>
            <w:pPr>
              <w:ind w:left="20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w:t>
            </w:r>
          </w:p>
        </w:tc>
        <w:tc>
          <w:tcPr>
            <w:tcW w:w="10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w:t>
            </w:r>
          </w:p>
        </w:tc>
      </w:tr>
      <w:tr>
        <w:trPr>
          <w:trHeight w:val="238"/>
        </w:trPr>
        <w:tc>
          <w:tcPr>
            <w:tcW w:w="6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Balance, End of period</w:t>
            </w: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4,914</w:t>
            </w:r>
          </w:p>
        </w:tc>
        <w:tc>
          <w:tcPr>
            <w:tcW w:w="10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4,732</w:t>
            </w:r>
          </w:p>
        </w:tc>
      </w:tr>
      <w:tr>
        <w:trPr>
          <w:trHeight w:val="20"/>
        </w:trPr>
        <w:tc>
          <w:tcPr>
            <w:tcW w:w="67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9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CCFFCC"/>
              <w:bottom w:val="single" w:sz="8" w:color="auto"/>
            </w:tcBorders>
          </w:tcPr>
          <w:p>
            <w:pPr>
              <w:spacing w:after="0" w:line="20" w:lineRule="exact"/>
              <w:rPr>
                <w:sz w:val="1"/>
                <w:szCs w:val="1"/>
                <w:color w:val="auto"/>
              </w:rPr>
            </w:pPr>
          </w:p>
        </w:tc>
        <w:tc>
          <w:tcPr>
            <w:tcW w:w="1880" w:type="dxa"/>
            <w:vAlign w:val="bottom"/>
            <w:tcBorders>
              <w:top w:val="single" w:sz="8" w:color="CCFFCC"/>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three months ended March 31, 2021 (amounts in thousands):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March 31,</w:t>
            </w:r>
          </w:p>
        </w:tc>
        <w:tc>
          <w:tcPr>
            <w:tcW w:w="1580" w:type="dxa"/>
            <w:vAlign w:val="bottom"/>
            <w:tcBorders>
              <w:bottom w:val="single" w:sz="8" w:color="auto"/>
            </w:tcBorders>
          </w:tcPr>
          <w:p>
            <w:pPr>
              <w:spacing w:after="0"/>
              <w:rPr>
                <w:sz w:val="16"/>
                <w:szCs w:val="16"/>
                <w:color w:val="auto"/>
              </w:rPr>
            </w:pPr>
          </w:p>
        </w:tc>
      </w:tr>
      <w:tr>
        <w:trPr>
          <w:trHeight w:val="186"/>
        </w:trPr>
        <w:tc>
          <w:tcPr>
            <w:tcW w:w="6700" w:type="dxa"/>
            <w:vAlign w:val="bottom"/>
          </w:tcPr>
          <w:p>
            <w:pPr>
              <w:spacing w:after="0"/>
              <w:rPr>
                <w:sz w:val="16"/>
                <w:szCs w:val="16"/>
                <w:color w:val="auto"/>
              </w:rPr>
            </w:pPr>
          </w:p>
        </w:tc>
        <w:tc>
          <w:tcPr>
            <w:tcW w:w="15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60"/>
              <w:spacing w:after="0"/>
              <w:rPr>
                <w:sz w:val="20"/>
                <w:szCs w:val="20"/>
                <w:color w:val="auto"/>
              </w:rPr>
            </w:pPr>
            <w:r>
              <w:rPr>
                <w:rFonts w:ascii="Arial" w:cs="Arial" w:eastAsia="Arial" w:hAnsi="Arial"/>
                <w:sz w:val="14"/>
                <w:szCs w:val="14"/>
                <w:b w:val="1"/>
                <w:bCs w:val="1"/>
                <w:color w:val="auto"/>
              </w:rPr>
              <w:t>2020</w:t>
            </w: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Lease restructuring costs:</w:t>
            </w:r>
          </w:p>
        </w:tc>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9"/>
        </w:trPr>
        <w:tc>
          <w:tcPr>
            <w:tcW w:w="67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ROU assets write down</w:t>
            </w:r>
          </w:p>
        </w:tc>
        <w:tc>
          <w:tcPr>
            <w:tcW w:w="1500" w:type="dxa"/>
            <w:vAlign w:val="bottom"/>
            <w:shd w:val="clear" w:color="auto" w:fill="CCFFCC"/>
          </w:tcPr>
          <w:p>
            <w:pPr>
              <w:jc w:val="right"/>
              <w:ind w:right="1321"/>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FFCC"/>
          </w:tcPr>
          <w:p>
            <w:pPr>
              <w:jc w:val="right"/>
              <w:ind w:right="4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ind w:left="200"/>
              <w:spacing w:after="0"/>
              <w:rPr>
                <w:sz w:val="20"/>
                <w:szCs w:val="20"/>
                <w:color w:val="auto"/>
              </w:rPr>
            </w:pPr>
            <w:r>
              <w:rPr>
                <w:rFonts w:ascii="Arial" w:cs="Arial" w:eastAsia="Arial" w:hAnsi="Arial"/>
                <w:sz w:val="16"/>
                <w:szCs w:val="16"/>
                <w:color w:val="auto"/>
              </w:rPr>
              <w:t>Abandonment of property and equipment</w:t>
            </w:r>
          </w:p>
        </w:tc>
        <w:tc>
          <w:tcPr>
            <w:tcW w:w="15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Other lease restructuring costs</w:t>
            </w:r>
          </w:p>
        </w:tc>
        <w:tc>
          <w:tcPr>
            <w:tcW w:w="15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FFCC"/>
          </w:tcPr>
          <w:p>
            <w:pPr>
              <w:spacing w:after="0"/>
              <w:rPr>
                <w:sz w:val="19"/>
                <w:szCs w:val="19"/>
                <w:color w:val="auto"/>
              </w:rPr>
            </w:pPr>
          </w:p>
        </w:tc>
        <w:tc>
          <w:tcPr>
            <w:tcW w:w="600" w:type="dxa"/>
            <w:vAlign w:val="bottom"/>
            <w:tcBorders>
              <w:bottom w:val="single" w:sz="8" w:color="auto"/>
            </w:tcBorders>
            <w:shd w:val="clear" w:color="auto" w:fill="CCFFCC"/>
          </w:tcPr>
          <w:p>
            <w:pPr>
              <w:spacing w:after="0"/>
              <w:rPr>
                <w:sz w:val="19"/>
                <w:szCs w:val="19"/>
                <w:color w:val="auto"/>
              </w:rPr>
            </w:pPr>
          </w:p>
        </w:tc>
        <w:tc>
          <w:tcPr>
            <w:tcW w:w="1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Total Lease restructuring costs</w:t>
            </w:r>
          </w:p>
        </w:tc>
        <w:tc>
          <w:tcPr>
            <w:tcW w:w="1500" w:type="dxa"/>
            <w:vAlign w:val="bottom"/>
          </w:tcPr>
          <w:p>
            <w:pPr>
              <w:jc w:val="right"/>
              <w:ind w:right="132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6700" w:type="dxa"/>
            <w:vAlign w:val="bottom"/>
            <w:shd w:val="clear" w:color="auto" w:fill="CCFFCC"/>
          </w:tcPr>
          <w:p>
            <w:pPr>
              <w:spacing w:after="0"/>
              <w:rPr>
                <w:sz w:val="23"/>
                <w:szCs w:val="23"/>
                <w:color w:val="auto"/>
              </w:rPr>
            </w:pPr>
          </w:p>
        </w:tc>
        <w:tc>
          <w:tcPr>
            <w:tcW w:w="150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00" w:type="dxa"/>
            <w:vAlign w:val="bottom"/>
            <w:shd w:val="clear" w:color="auto" w:fill="CCFFCC"/>
          </w:tcPr>
          <w:p>
            <w:pPr>
              <w:spacing w:after="0"/>
              <w:rPr>
                <w:sz w:val="23"/>
                <w:szCs w:val="23"/>
                <w:color w:val="auto"/>
              </w:rPr>
            </w:pPr>
          </w:p>
        </w:tc>
        <w:tc>
          <w:tcPr>
            <w:tcW w:w="1580" w:type="dxa"/>
            <w:vAlign w:val="bottom"/>
            <w:shd w:val="clear" w:color="auto" w:fill="CCFFCC"/>
          </w:tcPr>
          <w:p>
            <w:pPr>
              <w:spacing w:after="0"/>
              <w:rPr>
                <w:sz w:val="23"/>
                <w:szCs w:val="23"/>
                <w:color w:val="auto"/>
              </w:rPr>
            </w:pPr>
          </w:p>
        </w:tc>
      </w:tr>
      <w:tr>
        <w:trPr>
          <w:trHeight w:val="213"/>
        </w:trPr>
        <w:tc>
          <w:tcPr>
            <w:tcW w:w="6700" w:type="dxa"/>
            <w:vAlign w:val="bottom"/>
            <w:tcBorders>
              <w:bottom w:val="single" w:sz="8" w:color="CCFFCC"/>
            </w:tcBorders>
          </w:tcPr>
          <w:p>
            <w:pPr>
              <w:spacing w:after="0"/>
              <w:rPr>
                <w:sz w:val="20"/>
                <w:szCs w:val="20"/>
                <w:color w:val="auto"/>
              </w:rPr>
            </w:pPr>
            <w:r>
              <w:rPr>
                <w:rFonts w:ascii="Arial" w:cs="Arial" w:eastAsia="Arial" w:hAnsi="Arial"/>
                <w:sz w:val="16"/>
                <w:szCs w:val="16"/>
                <w:color w:val="auto"/>
              </w:rPr>
              <w:t>Severance and other compensation associated costs</w:t>
            </w:r>
          </w:p>
        </w:tc>
        <w:tc>
          <w:tcPr>
            <w:tcW w:w="1500" w:type="dxa"/>
            <w:vAlign w:val="bottom"/>
            <w:tcBorders>
              <w:bottom w:val="single" w:sz="8" w:color="auto"/>
            </w:tcBorders>
          </w:tcPr>
          <w:p>
            <w:pPr>
              <w:jc w:val="right"/>
              <w:ind w:right="132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w:t>
            </w:r>
          </w:p>
        </w:tc>
        <w:tc>
          <w:tcPr>
            <w:tcW w:w="100" w:type="dxa"/>
            <w:vAlign w:val="bottom"/>
            <w:tcBorders>
              <w:bottom w:val="single" w:sz="8" w:color="CCFFCC"/>
            </w:tcBorders>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w:t>
            </w:r>
          </w:p>
        </w:tc>
      </w:tr>
      <w:tr>
        <w:trPr>
          <w:trHeight w:val="238"/>
        </w:trPr>
        <w:tc>
          <w:tcPr>
            <w:tcW w:w="6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Total restructuring costs</w:t>
            </w:r>
          </w:p>
        </w:tc>
        <w:tc>
          <w:tcPr>
            <w:tcW w:w="1500" w:type="dxa"/>
            <w:vAlign w:val="bottom"/>
            <w:tcBorders>
              <w:bottom w:val="single" w:sz="8" w:color="auto"/>
            </w:tcBorders>
            <w:shd w:val="clear" w:color="auto" w:fill="CCFFCC"/>
          </w:tcPr>
          <w:p>
            <w:pPr>
              <w:jc w:val="right"/>
              <w:ind w:right="132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2,732</w:t>
            </w:r>
          </w:p>
        </w:tc>
        <w:tc>
          <w:tcPr>
            <w:tcW w:w="100" w:type="dxa"/>
            <w:vAlign w:val="bottom"/>
            <w:tcBorders>
              <w:bottom w:val="single" w:sz="8" w:color="CCFFCC"/>
            </w:tcBorders>
            <w:shd w:val="clear" w:color="auto" w:fill="CCFFCC"/>
          </w:tcPr>
          <w:p>
            <w:pPr>
              <w:spacing w:after="0"/>
              <w:rPr>
                <w:sz w:val="20"/>
                <w:szCs w:val="20"/>
                <w:color w:val="auto"/>
              </w:rPr>
            </w:pPr>
          </w:p>
        </w:tc>
        <w:tc>
          <w:tcPr>
            <w:tcW w:w="600" w:type="dxa"/>
            <w:vAlign w:val="bottom"/>
            <w:tcBorders>
              <w:bottom w:val="single" w:sz="8" w:color="auto"/>
            </w:tcBorders>
            <w:shd w:val="clear" w:color="auto" w:fill="CCFFCC"/>
          </w:tcPr>
          <w:p>
            <w:pPr>
              <w:jc w:val="right"/>
              <w:ind w:right="4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3,190</w:t>
            </w:r>
          </w:p>
        </w:tc>
      </w:tr>
      <w:tr>
        <w:trPr>
          <w:trHeight w:val="20"/>
        </w:trPr>
        <w:tc>
          <w:tcPr>
            <w:tcW w:w="6700" w:type="dxa"/>
            <w:vAlign w:val="bottom"/>
            <w:tcBorders>
              <w:top w:val="single" w:sz="8" w:color="CCFFCC"/>
            </w:tcBorders>
          </w:tcPr>
          <w:p>
            <w:pPr>
              <w:spacing w:after="0" w:line="20" w:lineRule="exact"/>
              <w:rPr>
                <w:sz w:val="1"/>
                <w:szCs w:val="1"/>
                <w:color w:val="auto"/>
              </w:rPr>
            </w:pPr>
          </w:p>
        </w:tc>
        <w:tc>
          <w:tcPr>
            <w:tcW w:w="1500" w:type="dxa"/>
            <w:vAlign w:val="bottom"/>
            <w:tcBorders>
              <w:top w:val="single" w:sz="8" w:color="CCFFCC"/>
              <w:bottom w:val="single" w:sz="8" w:color="auto"/>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CCFFCC"/>
              <w:bottom w:val="single" w:sz="8" w:color="auto"/>
            </w:tcBorders>
          </w:tcPr>
          <w:p>
            <w:pPr>
              <w:spacing w:after="0" w:line="20" w:lineRule="exact"/>
              <w:rPr>
                <w:sz w:val="1"/>
                <w:szCs w:val="1"/>
                <w:color w:val="auto"/>
              </w:rPr>
            </w:pPr>
          </w:p>
        </w:tc>
        <w:tc>
          <w:tcPr>
            <w:tcW w:w="158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Matters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Trial for the Company’s intellectual property and other claims asserted against [24]7 is set for May 24, 2021. Trial for [24]7’s patent infringement claims has been vacated, to be reset after the trial on the Company’s claims. The Company believes the claims filed by [24]7 are entirely without merit and intends to defend them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4" w:name="page35"/>
    <w:bookmarkEnd w:id="34"/>
    <w:p>
      <w:pPr>
        <w:jc w:val="both"/>
        <w:ind w:firstLine="324"/>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1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on a jurisdiction by jurisdiction basis, the Company believes that the deferred tax assets related to LivePerson Australia, LivePerson UK, Kasamba Israel, LivePerson Japan and LivePerson Ltd. Israel are more likely than not to be realized as these jurisdictions have positive cumulative pre-tax book income after adjusting for permanent and one-time items. During the year ended December 31, 2020, there was an increase in the valuation recorded of $6.9 million. For the quarter ended March 31, 2021, the Company recorded a tax benefit of $0.9 million. This amount consisted of a tax provision for the period of $0.6 million on operating earnings for the period, and a tax benefit of $1.5 million related to the revision of estimates for uncertain tax benefits related to Kasamba Israel and Liveperson Ltd. Israel deferred tax assets.</w:t>
      </w:r>
    </w:p>
    <w:p>
      <w:pPr>
        <w:spacing w:after="0" w:line="32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The Company had a valuation allowance on certain deferred tax assets for the years ended December 31, 2019 and December 31, 2020 of $48.5 million and $55.4 million, respectively. Inherent in the Company’s 2021 annual effective tax rate is an estimated increase in the valuation allowance of $20.7 million, all of which will be recorded as an expense. During 2020, an increase in the valuation allowance in the amount of $35.1 million was recorded as an expense and a decrease of $28.2 million related to convertible notes was charged to equity. In 2019, an increase in the valuation allowance in the amount of $25.0 million was recorded as an expense and a decrease of $6.7 million related to the issuance of convertible notes was charged to equity.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5" w:name="page36"/>
    <w:bookmarkEnd w:id="35"/>
    <w:p>
      <w:pPr>
        <w:jc w:val="both"/>
        <w:ind w:firstLine="324"/>
        <w:spacing w:after="0" w:line="279" w:lineRule="auto"/>
        <w:rPr>
          <w:sz w:val="20"/>
          <w:szCs w:val="20"/>
          <w:color w:val="auto"/>
        </w:rPr>
      </w:pPr>
      <w:r>
        <w:rPr>
          <w:rFonts w:ascii="Arial" w:cs="Arial" w:eastAsia="Arial" w:hAnsi="Arial"/>
          <w:sz w:val="17"/>
          <w:szCs w:val="17"/>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As a result of the CARES Act, the Company filed refund claims relating to prior years totaling $0.6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Arial" w:cs="Arial" w:eastAsia="Arial" w:hAnsi="Arial"/>
          <w:sz w:val="16"/>
          <w:szCs w:val="16"/>
          <w:i w:val="1"/>
          <w:iCs w:val="1"/>
          <w:color w:val="212529"/>
        </w:rPr>
        <w:t>In addition, our actual results could differ from our estimates and assumptions based</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212529"/>
        </w:rPr>
        <w:t>upon impacts on our business and general economic conditions due to the current COVID-19 pandemic.</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LivePerson, Inc. (“LivePerson”, the “Company”, “we” or “us”) makes life easier for people and brands everywhere through trusted Conversational AI.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short message service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your reference:</w:t>
      </w:r>
    </w:p>
    <w:p>
      <w:pPr>
        <w:spacing w:after="0" w:line="117"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Conversational AI: Conversational AI allows humans and machines to interact using natural language, including speech or text.</w:t>
      </w:r>
    </w:p>
    <w:p>
      <w:pPr>
        <w:spacing w:after="0" w:line="128" w:lineRule="exact"/>
        <w:rPr>
          <w:rFonts w:ascii="Arial" w:cs="Arial" w:eastAsia="Arial" w:hAnsi="Arial"/>
          <w:sz w:val="17"/>
          <w:szCs w:val="17"/>
          <w:color w:val="auto"/>
        </w:rPr>
      </w:pPr>
    </w:p>
    <w:p>
      <w:pPr>
        <w:jc w:val="both"/>
        <w:ind w:left="1300" w:hanging="320"/>
        <w:spacing w:after="0" w:line="311" w:lineRule="auto"/>
        <w:tabs>
          <w:tab w:leader="none" w:pos="12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Conversational Space: In the Conversational Space, consumers message with brands on their own schedule, using natural language, to resolve their intents - all on their preferred messaging service. The core capabilities of the Conversational Space are voice and text-based interfaces, powered by AI and humans working together. Conversational Space is the simplest, most intuitive interface of all.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ind w:left="1300" w:hanging="320"/>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Conversational Cloud: LivePerson’s enterprise-class, AI-powered Conversational Cloud platform empowers consumers to message their favorite brands, just as they do with friends and family.</w:t>
      </w:r>
    </w:p>
    <w:p>
      <w:pPr>
        <w:spacing w:after="0" w:line="3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Certain of our customers have achieved the following advantages from our offerings:</w:t>
      </w:r>
    </w:p>
    <w:p>
      <w:pPr>
        <w:spacing w:after="0" w:line="80" w:lineRule="exact"/>
        <w:rPr>
          <w:sz w:val="20"/>
          <w:szCs w:val="20"/>
          <w:color w:val="auto"/>
        </w:rPr>
      </w:pPr>
    </w:p>
    <w:p>
      <w:pPr>
        <w:ind w:left="1300" w:hanging="320"/>
        <w:spacing w:after="0" w:line="291" w:lineRule="auto"/>
        <w:tabs>
          <w:tab w:leader="none" w:pos="12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score increases of up to 20 percentage points, and enhancing retention and loyalty;</w:t>
      </w:r>
    </w:p>
    <w:p>
      <w:pPr>
        <w:ind w:left="1300" w:hanging="320"/>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9" w:lineRule="exact"/>
        <w:rPr>
          <w:rFonts w:ascii="Arial" w:cs="Arial" w:eastAsia="Arial" w:hAnsi="Arial"/>
          <w:sz w:val="18"/>
          <w:szCs w:val="18"/>
          <w:color w:val="auto"/>
        </w:rPr>
      </w:pPr>
    </w:p>
    <w:p>
      <w:pPr>
        <w:ind w:left="1300" w:hanging="320"/>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valued connection with consumers via mobile devices, either through native applications, websites, text messages, or third-party messaging platforms;</w:t>
      </w: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of spending that drives visitor traffic by increasing visitor conversions;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refinement and improvement of performance by understanding which initiatives deliver the highest rate of return; and</w:t>
      </w:r>
    </w:p>
    <w:p>
      <w:pPr>
        <w:spacing w:after="0" w:line="9" w:lineRule="exact"/>
        <w:rPr>
          <w:rFonts w:ascii="Arial" w:cs="Arial" w:eastAsia="Arial" w:hAnsi="Arial"/>
          <w:sz w:val="18"/>
          <w:szCs w:val="18"/>
          <w:color w:val="auto"/>
        </w:rPr>
      </w:pPr>
    </w:p>
    <w:p>
      <w:pPr>
        <w:ind w:left="1300" w:hanging="320"/>
        <w:spacing w:after="0" w:line="26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lead generation through a single platform that engages consumers through advertisements and listings on branded and third-party websites.</w:t>
      </w:r>
    </w:p>
    <w:p>
      <w:pPr>
        <w:spacing w:after="0" w:line="2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further enhance our platform, in September 2020 we signed a partnership with Infosys, a leader in next-generation digital services and consulting.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are working with Infosys to transform our technology infrastructure on the public cloud, to build integrated solutions and a global practice around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Conversational Cloud to sell into their channels and global enterprise customer base, and to redefine how the world’s top brands communicate.</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Build awareness and drive adoption of the Conversational Space. </w:t>
      </w:r>
      <w:r>
        <w:rPr>
          <w:rFonts w:ascii="Arial" w:cs="Arial" w:eastAsia="Arial" w:hAnsi="Arial"/>
          <w:sz w:val="18"/>
          <w:szCs w:val="18"/>
          <w:color w:val="auto"/>
        </w:rPr>
        <w:t>LivePerson brought our first customer live on messaging in June 2016. Since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key component of our industry awareness marketing strategy has been to hold multiple global customer summits each year (events in 2020 were held virtually in light of the COVID-19 pandemic) that target executives from enterprise customers and prospects, and feature a key theme within the Conversational Space, such as Apple Business Chat, Google Rich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jc w:val="both"/>
        <w:spacing w:after="0" w:line="293" w:lineRule="auto"/>
        <w:rPr>
          <w:sz w:val="20"/>
          <w:szCs w:val="20"/>
          <w:color w:val="auto"/>
        </w:rPr>
      </w:pPr>
      <w:r>
        <w:rPr>
          <w:rFonts w:ascii="Arial" w:cs="Arial" w:eastAsia="Arial" w:hAnsi="Arial"/>
          <w:sz w:val="16"/>
          <w:szCs w:val="16"/>
          <w:color w:val="auto"/>
        </w:rPr>
        <w:t>Messenger, IVR deflection or AI. LivePerson customers are the centerpoint of these summits, presenting why they chose LivePerson for conversational experiences, how they achieved success, and what type of ROI they have realized. Each attendee then receives a blueprint for how they can pursue similar outcomes. We have found this strategy to drive strong results for LivePerson, as we have seen a greater than 40% conversion rate on opportunities that were created or advanced as part of the customer summits. By year-end 2020, we had brought approximately 400 customers live on messaging and increased adoption within our enterprise customers to 66%. In addition, nearly 70% of messaging conversations had automation attached. We continue to focus on building awareness for the Conversational Space and driving adoption of messaging and AI across our customer base.</w:t>
      </w:r>
    </w:p>
    <w:p>
      <w:pPr>
        <w:spacing w:after="0" w:line="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7"/>
          <w:szCs w:val="17"/>
          <w:color w:val="auto"/>
        </w:rPr>
        <w:t>Our strategy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drive higher 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6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spacing w:after="0" w:line="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Each channel and use case added opens the door to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 In 2020, one of the largest telcos in Australia fully virtualized their contact centers, a leading U.S. quick-serve restaurant launched on Facebook Messenger to help customers order meals, one of the biggest banks in the world launched an Apple Business Chat channel to provide a secure way to perform day-to-day banking, and one of the world’s largest jewelry retailers used the Conversational Cloud and QR codes to sell millions of dollars of product.</w:t>
      </w:r>
    </w:p>
    <w:p>
      <w:pPr>
        <w:spacing w:after="0" w:line="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LivePerson is leading the structural shift to Conversational AI.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Our Conversational AI leadership and the increase in adoption have influenced LivePerson’s enterprise and mid-market revenue retention rate, (the trailing-twelve-month change in total revenue from existing customers after upsells, downsells and attrition) which exceeded the high end of our target range of 105% to 115% for 2020. The benefit can also be seen in LivePerson's average revenue per enterprise and midmarket customers, which increased approximately 35% in 2020 to $465,000 from approximately $345,000 in 2019. We believe these ARPU trends are a clear indication of how LivePerson’s strategy to drive messaging adoption has successfully influenced our revenue growth by taking share from legacy communication channels. Average annual revenue per enterprise and mid-market customer increased approximately 34% to $490,000 for the trailing-twelve-months ended March 31, 2021.</w:t>
      </w:r>
    </w:p>
    <w:p>
      <w:pPr>
        <w:spacing w:after="0" w:line="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Attract the industry’s best AI, machine learning and conversational talent. </w:t>
      </w:r>
      <w:r>
        <w:rPr>
          <w:rFonts w:ascii="Arial" w:cs="Arial" w:eastAsia="Arial" w:hAnsi="Arial"/>
          <w:sz w:val="18"/>
          <w:szCs w:val="18"/>
          <w:color w:val="auto"/>
        </w:rPr>
        <w:t>We believe that AI and machine learning are critical to successfully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scaling in the Conversational Space, and that in order to develop the industry’s leading technology, we need to attract the industry's best talent. In 2018, LivePerson recruited Alex Spinelli, key architect of the Alexa Operating System at Amazon.com, as our Global CTO. Under Mr. Spinelli’s leadership, LivePerson hired more than 280 of the industry’s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spacing w:after="0" w:line="286" w:lineRule="auto"/>
        <w:rPr>
          <w:sz w:val="20"/>
          <w:szCs w:val="20"/>
          <w:color w:val="auto"/>
        </w:rPr>
      </w:pPr>
      <w:r>
        <w:rPr>
          <w:rFonts w:ascii="Arial" w:cs="Arial" w:eastAsia="Arial" w:hAnsi="Arial"/>
          <w:sz w:val="17"/>
          <w:szCs w:val="17"/>
          <w:color w:val="auto"/>
        </w:rPr>
        <w:t>brightest data scientists, machine learning engineers and automation engineers, many from firms such as Nike, Amazon.com, Microsoft and Target, who are working exclusively on applying AI to the Conversational Space. LivePerson also expanded its development talent base in Germany, and added key development talent through the acquisitions of BotCentral in Mountain View, California and Conversable in Austin, Texas.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Bring to market best-in-class AI and machine learning technologies designed for the Conversational Space. </w:t>
      </w:r>
      <w:r>
        <w:rPr>
          <w:rFonts w:ascii="Arial" w:cs="Arial" w:eastAsia="Arial" w:hAnsi="Arial"/>
          <w:sz w:val="17"/>
          <w:szCs w:val="17"/>
          <w:color w:val="auto"/>
        </w:rPr>
        <w:t>We believe that in the last decade many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vendors introduced AI and bot offerings that created frustrating experiences for consumers and businesses alike, which in turn has eroded trust in automation. Many of these solutions have proven difficult to build and scale, and have been limited by stand-alone implementations that lacked the measurement, reporting and human oversight of conversational platforms such as the Conversational Cloud. In December 2018, LivePerson announced its patent pending AI engine that is designed to overcome these shortcomings and help brands rapidly bring to market conversational AI that can scale to millions of interactions, while increasing customer satisfaction and conversion rates.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Unlike alternative solutions designed solely for IT departments, LivePerson’s Conversational AI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Some of the key innovations behind LivePerson’s Conversational AI include:</w:t>
      </w:r>
    </w:p>
    <w:p>
      <w:pPr>
        <w:spacing w:after="0" w:line="117" w:lineRule="exact"/>
        <w:rPr>
          <w:sz w:val="20"/>
          <w:szCs w:val="20"/>
          <w:color w:val="auto"/>
        </w:rPr>
      </w:pPr>
    </w:p>
    <w:p>
      <w:pPr>
        <w:jc w:val="both"/>
        <w:ind w:left="1060" w:hanging="323"/>
        <w:spacing w:after="0" w:line="255" w:lineRule="auto"/>
        <w:tabs>
          <w:tab w:leader="none" w:pos="10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spacing w:after="0" w:line="2" w:lineRule="exact"/>
        <w:rPr>
          <w:rFonts w:ascii="Arial" w:cs="Arial" w:eastAsia="Arial" w:hAnsi="Arial"/>
          <w:sz w:val="18"/>
          <w:szCs w:val="18"/>
          <w:color w:val="auto"/>
        </w:rPr>
      </w:pPr>
    </w:p>
    <w:p>
      <w:pPr>
        <w:ind w:left="1060" w:hanging="323"/>
        <w:spacing w:after="0" w:line="250" w:lineRule="auto"/>
        <w:tabs>
          <w:tab w:leader="none" w:pos="10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jc w:val="both"/>
        <w:ind w:left="1060" w:hanging="323"/>
        <w:spacing w:after="0" w:line="250" w:lineRule="auto"/>
        <w:tabs>
          <w:tab w:leader="none" w:pos="10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leveraging data moat from hundreds of millions of conversations to feed the machine learning that rapidly and accurately detects consumer sentiment and intents in real-time. Customers of LivePerson can use intent understanding for advanced routing, next-best actions, and to fully contain conversations with automation;</w:t>
      </w:r>
    </w:p>
    <w:p>
      <w:pPr>
        <w:spacing w:after="0" w:line="1" w:lineRule="exact"/>
        <w:rPr>
          <w:rFonts w:ascii="Arial" w:cs="Arial" w:eastAsia="Arial" w:hAnsi="Arial"/>
          <w:sz w:val="18"/>
          <w:szCs w:val="18"/>
          <w:color w:val="auto"/>
        </w:rPr>
      </w:pPr>
    </w:p>
    <w:p>
      <w:pPr>
        <w:ind w:left="1060" w:right="20" w:hanging="323"/>
        <w:spacing w:after="0" w:line="250" w:lineRule="auto"/>
        <w:tabs>
          <w:tab w:leader="none" w:pos="10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ind w:left="1060" w:hanging="323"/>
        <w:spacing w:after="0" w:line="250" w:lineRule="auto"/>
        <w:tabs>
          <w:tab w:leader="none" w:pos="10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AI natural language understanding (NLU) integration, so customers aren’t boxed into one vendor; and</w:t>
      </w:r>
    </w:p>
    <w:p>
      <w:pPr>
        <w:spacing w:after="0" w:line="9" w:lineRule="exact"/>
        <w:rPr>
          <w:rFonts w:ascii="Arial" w:cs="Arial" w:eastAsia="Arial" w:hAnsi="Arial"/>
          <w:sz w:val="18"/>
          <w:szCs w:val="18"/>
          <w:color w:val="auto"/>
        </w:rPr>
      </w:pPr>
    </w:p>
    <w:p>
      <w:pPr>
        <w:ind w:left="1060" w:right="20" w:hanging="323"/>
        <w:spacing w:after="0" w:line="260" w:lineRule="auto"/>
        <w:tabs>
          <w:tab w:leader="none" w:pos="10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AI analytics and reporting tailored to the Conversational Space, providing brands with immediate, actionable insights about their businesses and contact center operations.</w:t>
      </w: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strategy is to continue to enhance the Conversational AI engine and related products, by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7"/>
          <w:szCs w:val="17"/>
          <w:color w:val="auto"/>
        </w:rPr>
        <w:t>We believe that most contact center technology vendors incorrectly view messaging as a feature. They are content with building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integrations to a messaging endpoint and offering messaging as just another product in their suite. LivePerson holds the perspective that messaging and AI are the foundation for transforming conversational experiences, disrupting how agents operate and how brands engage with consumers.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LivePerson is uniquely positioned to deliver this transformation due to our technology and expertise:</w:t>
      </w:r>
    </w:p>
    <w:p>
      <w:pPr>
        <w:spacing w:after="0" w:line="117" w:lineRule="exact"/>
        <w:rPr>
          <w:sz w:val="20"/>
          <w:szCs w:val="20"/>
          <w:color w:val="auto"/>
        </w:rPr>
      </w:pPr>
    </w:p>
    <w:p>
      <w:pPr>
        <w:jc w:val="both"/>
        <w:ind w:left="1060" w:hanging="323"/>
        <w:spacing w:after="0" w:line="301" w:lineRule="auto"/>
        <w:tabs>
          <w:tab w:leader="none" w:pos="10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ind w:left="1060" w:right="20"/>
        <w:spacing w:after="0" w:line="258" w:lineRule="auto"/>
        <w:rPr>
          <w:sz w:val="20"/>
          <w:szCs w:val="20"/>
          <w:color w:val="auto"/>
        </w:rPr>
      </w:pPr>
      <w:r>
        <w:rPr>
          <w:rFonts w:ascii="Arial" w:cs="Arial" w:eastAsia="Arial" w:hAnsi="Arial"/>
          <w:sz w:val="18"/>
          <w:szCs w:val="18"/>
          <w:color w:val="auto"/>
        </w:rPr>
        <w:t>measurement. Additionally, the Conversational Cloud is an open platform with pre-built, enterprise-grade integrations into back-end systems as well as the ability to work across NLU providers.</w:t>
      </w:r>
    </w:p>
    <w:p>
      <w:pPr>
        <w:spacing w:after="0" w:line="1" w:lineRule="exact"/>
        <w:rPr>
          <w:sz w:val="20"/>
          <w:szCs w:val="20"/>
          <w:color w:val="auto"/>
        </w:rPr>
      </w:pPr>
    </w:p>
    <w:p>
      <w:pPr>
        <w:ind w:left="1060" w:hanging="323"/>
        <w:spacing w:after="0" w:line="250" w:lineRule="auto"/>
        <w:tabs>
          <w:tab w:leader="none" w:pos="10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a data moat built on hundreds of millions of conversations across industries, geographies and use cases that is feeding the machine learning engines that power intent understanding.</w:t>
      </w:r>
    </w:p>
    <w:p>
      <w:pPr>
        <w:ind w:left="1060" w:hanging="323"/>
        <w:spacing w:after="0" w:line="250" w:lineRule="auto"/>
        <w:tabs>
          <w:tab w:leader="none" w:pos="10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jc w:val="both"/>
        <w:ind w:left="1060" w:hanging="323"/>
        <w:spacing w:after="0" w:line="250" w:lineRule="auto"/>
        <w:tabs>
          <w:tab w:leader="none" w:pos="10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w:t>
      </w:r>
    </w:p>
    <w:p>
      <w:pPr>
        <w:spacing w:after="0" w:line="1" w:lineRule="exact"/>
        <w:rPr>
          <w:rFonts w:ascii="Arial" w:cs="Arial" w:eastAsia="Arial" w:hAnsi="Arial"/>
          <w:sz w:val="18"/>
          <w:szCs w:val="18"/>
          <w:color w:val="auto"/>
        </w:rPr>
      </w:pPr>
    </w:p>
    <w:p>
      <w:pPr>
        <w:jc w:val="both"/>
        <w:ind w:left="1060" w:hanging="323"/>
        <w:spacing w:after="0" w:line="266" w:lineRule="auto"/>
        <w:tabs>
          <w:tab w:leader="none" w:pos="1048" w:val="left"/>
        </w:tabs>
        <w:numPr>
          <w:ilvl w:val="0"/>
          <w:numId w:val="18"/>
        </w:numPr>
        <w:rPr>
          <w:rFonts w:ascii="Arial" w:cs="Arial" w:eastAsia="Arial" w:hAnsi="Arial"/>
          <w:sz w:val="19"/>
          <w:szCs w:val="19"/>
          <w:color w:val="auto"/>
        </w:rPr>
      </w:pPr>
      <w:r>
        <w:rPr>
          <w:rFonts w:ascii="Arial" w:cs="Arial" w:eastAsia="Arial" w:hAnsi="Arial"/>
          <w:sz w:val="17"/>
          <w:szCs w:val="17"/>
          <w:color w:val="auto"/>
        </w:rPr>
        <w:t>The Company has developed Gainshare - a Transformation Model that is introduced to existing and prospective customers to help guide them on their journeys from legacy and often-times inefficient legacy voice, email and chat solutions to modern conversational ones powered by messaging and AI. Gainshare is a fully managed solution where LivePerson not only provides the messaging and AI automation technology, but also the labor, automation, and end-to-end program management, leveraging the Company’s expertise with Conversational AI and messaging operations. Gainshare is an option for brands that want to accelerate a transformation to Conversational AI, or that want a worry-free solution where LivePerson manages the entire operation, from staffing to automation building and optimization, to conversation design and consumer experience. Gainshare pricing is bespoke, and is typically structured around a brand's desired goals, whether driving incremental revenue or reducing operational costs.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score of up to 20 percentage points and increases in sales conversions of up to 20%, while enhancing average order value, customer retention and loyalty.</w:t>
      </w:r>
    </w:p>
    <w:p>
      <w:pPr>
        <w:spacing w:after="0" w:line="2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Strengthen our position in both existing and new industries. </w:t>
      </w:r>
      <w:r>
        <w:rPr>
          <w:rFonts w:ascii="Arial" w:cs="Arial" w:eastAsia="Arial" w:hAnsi="Arial"/>
          <w:sz w:val="17"/>
          <w:szCs w:val="17"/>
          <w:color w:val="auto"/>
        </w:rPr>
        <w:t>We plan to continue to develop our market position by increasing our customer base,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expanding within our installed base. We continue to focus primarily on key target markets: consumer/retail, telecommunications, financial services, travel/hospitality, technology and automotive within both our enterprise and mid-market sectors, as well as the small business (SMB) sector. In 2019, we made strong inroads into new verticals with key wins in the airline, food service and healthcare industries. In 2020, we strengthened our presence in key markets including travel/hospitality and retail, and opened new verticals like healthcare and government. We are experimenting with new conversational businesses, including some that are in regulated industries, like online banking. We are increasingly structuring our field organization to emphasize our domain expertise and strengthen customer relationships across target industries.</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Continue to build our international presence. </w:t>
      </w:r>
      <w:r>
        <w:rPr>
          <w:rFonts w:ascii="Arial" w:cs="Arial" w:eastAsia="Arial" w:hAnsi="Arial"/>
          <w:sz w:val="18"/>
          <w:szCs w:val="18"/>
          <w:color w:val="auto"/>
        </w:rPr>
        <w:t>We are focused on building our international presence and expanding our international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which accounted for 38% and 41% of total revenue in 2020 and 2019, respectively. International revenue contribution for the three months ended March 31, 2021 accounted for 36% of total revenue. We are generating positive results from our recent investments in the Asia Pacific, Europe and Latin America regions.</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Leverage our open architecture to support partners and developers. </w:t>
      </w:r>
      <w:r>
        <w:rPr>
          <w:rFonts w:ascii="Arial" w:cs="Arial" w:eastAsia="Arial" w:hAnsi="Arial"/>
          <w:sz w:val="17"/>
          <w:szCs w:val="17"/>
          <w:color w:val="auto"/>
        </w:rPr>
        <w:t>In addition to developing our own applications, we continue to cultivate a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Function as a Service (FaaS) integration which enables brands to develop custom behaviors within LivePerson’s conversational platform to easily and rapidly tailor conversation flows to their specific needs.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Expand sales partnerships to broaden our presence and accelerate sales cycles. </w:t>
      </w:r>
      <w:r>
        <w:rPr>
          <w:rFonts w:ascii="Arial" w:cs="Arial" w:eastAsia="Arial" w:hAnsi="Arial"/>
          <w:sz w:val="16"/>
          <w:szCs w:val="16"/>
          <w:color w:val="auto"/>
        </w:rPr>
        <w:t>We are focused on broadening our market reach and accelerating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In 2020, Infosys joined LivePerson’s network with a first-of-its-kind 360-degree partnership focusing not only on capturing the global rising demand for conversational commerce and building a personalized experience for customers, but also driving the transformation for internal corporate messaging and the employee experience through Conversational AI. LivePerson increased the number of partners focused on SMBs to more than 300 at year-end 2020 and 2019, from over 150 at year-end 2018, and approximately 40 at the end of 2017. Approximately one quarter of all opportunities were influenced by partners in 2020, and we are focused on driving that contribution toward 50% longer term.</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Maintain Market Leadership in Technology and Security Expertise. </w:t>
      </w:r>
      <w:r>
        <w:rPr>
          <w:rFonts w:ascii="Arial" w:cs="Arial" w:eastAsia="Arial" w:hAnsi="Arial"/>
          <w:sz w:val="18"/>
          <w:szCs w:val="18"/>
          <w:color w:val="auto"/>
        </w:rPr>
        <w:t>As described above, we are devoting significant resources to creating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Evaluate Strategic Alliances and Acquisitions When Appropriate. </w:t>
      </w:r>
      <w:r>
        <w:rPr>
          <w:rFonts w:ascii="Arial" w:cs="Arial" w:eastAsia="Arial" w:hAnsi="Arial"/>
          <w:sz w:val="16"/>
          <w:szCs w:val="16"/>
          <w:color w:val="auto"/>
        </w:rPr>
        <w:t>We have successfully integrated several acquisitions over the past decade.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 the past, and may from time to time in the future, engage in discussions regarding acquisitions or strategic transactions designed to accelerate our growth or broaden our product offerings, we currently have no binding commitments with respect to any future acquisitions or strategic transactions.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March 31, 2021 compared to the three months ended March 31, 2020:</w:t>
      </w:r>
    </w:p>
    <w:p>
      <w:pPr>
        <w:spacing w:after="0" w:line="117" w:lineRule="exact"/>
        <w:rPr>
          <w:sz w:val="20"/>
          <w:szCs w:val="20"/>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revenue increased 38% to $107.9 million from $78.1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from our Business segment increased 38% to $98.9 million from $71.8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profit margin decreased to 69% from 71%.</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and expenses increased 9% to $121.5 million from $111.3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loss decreased to $21.2 million from $37.0 million.</w:t>
      </w:r>
    </w:p>
    <w:p>
      <w:pPr>
        <w:spacing w:after="0" w:line="63"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increased approximately 34% to $490,000 for the trailing-twelve-months ended March 31, 2021, as compared to $365,000 for the trailing-twelve-months ended March 31, 2020.</w:t>
      </w:r>
    </w:p>
    <w:p>
      <w:pPr>
        <w:spacing w:after="0" w:line="8" w:lineRule="exact"/>
        <w:rPr>
          <w:rFonts w:ascii="Arial" w:cs="Arial" w:eastAsia="Arial" w:hAnsi="Arial"/>
          <w:sz w:val="18"/>
          <w:szCs w:val="18"/>
          <w:color w:val="auto"/>
        </w:rPr>
      </w:pPr>
    </w:p>
    <w:p>
      <w:pPr>
        <w:jc w:val="both"/>
        <w:ind w:left="1140" w:hanging="322"/>
        <w:spacing w:after="0" w:line="25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target for enterprise and mid-market revenue retention in 2021 matches 2020, and is a range of 105% to 115%. Revenue retention rate for enterprise and mid-market customers on the Conversation Cloud in the first quarter of 2021 exceeded the high end of our target range of 105% to 115%, and was within our target range of 105% to 115% in the first quarter of 2020. Revenue retention rate measures the percentage of revenue retained at quarter end, from full service customers that were on the Conversational Cloud at the same period a year ago.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 and Adjusted Operating Income (Loss)</w:t>
      </w:r>
    </w:p>
    <w:p>
      <w:pPr>
        <w:spacing w:after="0" w:line="25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included adjusted EBITDA and adjusted operating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Accordingly, we believe that adjusted EBITDA and adjusted operating income provide useful information to investors and others in understanding and evaluating our operating results in the same manner as our management and board of directors.</w:t>
      </w:r>
    </w:p>
    <w:p>
      <w:pPr>
        <w:spacing w:after="0" w:line="197"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1" w:lineRule="exact"/>
        <w:rPr>
          <w:sz w:val="20"/>
          <w:szCs w:val="20"/>
          <w:color w:val="auto"/>
        </w:rPr>
      </w:pPr>
    </w:p>
    <w:p>
      <w:pPr>
        <w:jc w:val="both"/>
        <w:ind w:left="1140" w:hanging="322"/>
        <w:spacing w:after="0" w:line="250" w:lineRule="auto"/>
        <w:tabs>
          <w:tab w:leader="none" w:pos="11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 w:lineRule="exact"/>
        <w:rPr>
          <w:rFonts w:ascii="Arial" w:cs="Arial" w:eastAsia="Arial" w:hAnsi="Arial"/>
          <w:sz w:val="18"/>
          <w:szCs w:val="18"/>
          <w:color w:val="auto"/>
        </w:rPr>
      </w:pPr>
    </w:p>
    <w:p>
      <w:pPr>
        <w:ind w:left="1060" w:hanging="242"/>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costs;</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costs;</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 w:lineRule="exact"/>
        <w:rPr>
          <w:rFonts w:ascii="Arial" w:cs="Arial" w:eastAsia="Arial" w:hAnsi="Arial"/>
          <w:sz w:val="18"/>
          <w:szCs w:val="18"/>
          <w:color w:val="auto"/>
        </w:rPr>
      </w:pPr>
    </w:p>
    <w:p>
      <w:pPr>
        <w:ind w:left="1140" w:hanging="322"/>
        <w:spacing w:after="0" w:line="260"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284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Adjusted EBITDA</w:t>
            </w: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5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GAAP net loss</w:t>
            </w:r>
          </w:p>
        </w:tc>
        <w:tc>
          <w:tcPr>
            <w:tcW w:w="880" w:type="dxa"/>
            <w:vAlign w:val="bottom"/>
            <w:tcBorders>
              <w:bottom w:val="single" w:sz="8" w:color="CCFFCC"/>
            </w:tcBorders>
            <w:shd w:val="clear" w:color="auto" w:fill="CCFFCC"/>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95"/>
              </w:rPr>
              <w:t>(21,195)</w:t>
            </w:r>
          </w:p>
        </w:tc>
        <w:tc>
          <w:tcPr>
            <w:tcW w:w="1420" w:type="dxa"/>
            <w:vAlign w:val="bottom"/>
            <w:tcBorders>
              <w:bottom w:val="single" w:sz="8" w:color="CCFFCC"/>
            </w:tcBorders>
            <w:gridSpan w:val="2"/>
            <w:shd w:val="clear" w:color="auto" w:fill="CCFFCC"/>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95"/>
              </w:rPr>
              <w:t>(37,001)</w:t>
            </w:r>
          </w:p>
        </w:tc>
        <w:tc>
          <w:tcPr>
            <w:tcW w:w="34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520" w:type="dxa"/>
            <w:vAlign w:val="bottom"/>
          </w:tcPr>
          <w:p>
            <w:pPr>
              <w:ind w:left="220"/>
              <w:spacing w:after="0"/>
              <w:rPr>
                <w:sz w:val="20"/>
                <w:szCs w:val="20"/>
                <w:color w:val="auto"/>
              </w:rPr>
            </w:pPr>
            <w:r>
              <w:rPr>
                <w:rFonts w:ascii="Arial" w:cs="Arial" w:eastAsia="Arial" w:hAnsi="Arial"/>
                <w:sz w:val="14"/>
                <w:szCs w:val="14"/>
                <w:color w:val="auto"/>
              </w:rPr>
              <w:t>Amortization of purchased intangibles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1,550</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689</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Stock-based compensation</w:t>
            </w: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14,611</w:t>
            </w:r>
          </w:p>
        </w:tc>
        <w:tc>
          <w:tcPr>
            <w:tcW w:w="54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14,695</w:t>
            </w:r>
          </w:p>
        </w:tc>
        <w:tc>
          <w:tcPr>
            <w:tcW w:w="34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520" w:type="dxa"/>
            <w:vAlign w:val="bottom"/>
          </w:tcPr>
          <w:p>
            <w:pPr>
              <w:ind w:left="220"/>
              <w:spacing w:after="0"/>
              <w:rPr>
                <w:sz w:val="20"/>
                <w:szCs w:val="20"/>
                <w:color w:val="auto"/>
              </w:rPr>
            </w:pPr>
            <w:r>
              <w:rPr>
                <w:rFonts w:ascii="Arial" w:cs="Arial" w:eastAsia="Arial" w:hAnsi="Arial"/>
                <w:sz w:val="14"/>
                <w:szCs w:val="14"/>
                <w:color w:val="auto"/>
              </w:rPr>
              <w:t>Contingent earn-out adjustments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132</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Restructuring costs</w:t>
            </w: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2,732</w:t>
            </w:r>
          </w:p>
        </w:tc>
        <w:tc>
          <w:tcPr>
            <w:tcW w:w="540" w:type="dxa"/>
            <w:vAlign w:val="bottom"/>
            <w:tcBorders>
              <w:bottom w:val="single" w:sz="8" w:color="CCFFCC"/>
            </w:tcBorders>
            <w:shd w:val="clear" w:color="auto" w:fill="CCFFCC"/>
          </w:tcPr>
          <w:p>
            <w:pPr>
              <w:jc w:val="right"/>
              <w:ind w:right="268"/>
              <w:spacing w:after="0"/>
              <w:rPr>
                <w:sz w:val="20"/>
                <w:szCs w:val="20"/>
                <w:color w:val="auto"/>
              </w:rPr>
            </w:pPr>
            <w:r>
              <w:rPr>
                <w:rFonts w:ascii="Arial" w:cs="Arial" w:eastAsia="Arial" w:hAnsi="Arial"/>
                <w:sz w:val="14"/>
                <w:szCs w:val="14"/>
                <w:color w:val="auto"/>
              </w:rPr>
              <w:t>(1)</w:t>
            </w: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3,190</w:t>
            </w:r>
          </w:p>
        </w:tc>
        <w:tc>
          <w:tcPr>
            <w:tcW w:w="340" w:type="dxa"/>
            <w:vAlign w:val="bottom"/>
            <w:tcBorders>
              <w:bottom w:val="single" w:sz="8" w:color="CCFFCC"/>
            </w:tcBorders>
            <w:shd w:val="clear" w:color="auto" w:fill="CCFFCC"/>
          </w:tcPr>
          <w:p>
            <w:pPr>
              <w:jc w:val="right"/>
              <w:ind w:right="88"/>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0"/>
        </w:trPr>
        <w:tc>
          <w:tcPr>
            <w:tcW w:w="752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6,605</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5,537</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Other litigation and consulting costs</w:t>
            </w: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1,347</w:t>
            </w:r>
          </w:p>
        </w:tc>
        <w:tc>
          <w:tcPr>
            <w:tcW w:w="540" w:type="dxa"/>
            <w:vAlign w:val="bottom"/>
            <w:tcBorders>
              <w:bottom w:val="single" w:sz="8" w:color="CCFFCC"/>
            </w:tcBorders>
            <w:shd w:val="clear" w:color="auto" w:fill="CCFFCC"/>
          </w:tcPr>
          <w:p>
            <w:pPr>
              <w:jc w:val="right"/>
              <w:ind w:right="268"/>
              <w:spacing w:after="0"/>
              <w:rPr>
                <w:sz w:val="20"/>
                <w:szCs w:val="20"/>
                <w:color w:val="auto"/>
              </w:rPr>
            </w:pPr>
            <w:r>
              <w:rPr>
                <w:rFonts w:ascii="Arial" w:cs="Arial" w:eastAsia="Arial" w:hAnsi="Arial"/>
                <w:sz w:val="14"/>
                <w:szCs w:val="14"/>
                <w:color w:val="auto"/>
              </w:rPr>
              <w:t>(2)</w:t>
            </w: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4,708</w:t>
            </w:r>
          </w:p>
        </w:tc>
        <w:tc>
          <w:tcPr>
            <w:tcW w:w="340" w:type="dxa"/>
            <w:vAlign w:val="bottom"/>
            <w:tcBorders>
              <w:bottom w:val="single" w:sz="8" w:color="CCFFCC"/>
            </w:tcBorders>
            <w:shd w:val="clear" w:color="auto" w:fill="CCFFCC"/>
          </w:tcPr>
          <w:p>
            <w:pPr>
              <w:jc w:val="right"/>
              <w:ind w:right="88"/>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90"/>
        </w:trPr>
        <w:tc>
          <w:tcPr>
            <w:tcW w:w="7520" w:type="dxa"/>
            <w:vAlign w:val="bottom"/>
          </w:tcPr>
          <w:p>
            <w:pPr>
              <w:ind w:left="220"/>
              <w:spacing w:after="0"/>
              <w:rPr>
                <w:sz w:val="20"/>
                <w:szCs w:val="20"/>
                <w:color w:val="auto"/>
              </w:rPr>
            </w:pPr>
            <w:r>
              <w:rPr>
                <w:rFonts w:ascii="Arial" w:cs="Arial" w:eastAsia="Arial" w:hAnsi="Arial"/>
                <w:sz w:val="14"/>
                <w:szCs w:val="14"/>
                <w:color w:val="auto"/>
              </w:rPr>
              <w:t>(Benefit from) Provision for income taxes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(851)</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Interest expense, net</w:t>
            </w: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9,129</w:t>
            </w:r>
          </w:p>
        </w:tc>
        <w:tc>
          <w:tcPr>
            <w:tcW w:w="54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2,791</w:t>
            </w:r>
          </w:p>
        </w:tc>
        <w:tc>
          <w:tcPr>
            <w:tcW w:w="34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880" w:type="dxa"/>
            <w:vAlign w:val="bottom"/>
          </w:tcPr>
          <w:p>
            <w:pPr>
              <w:spacing w:after="0"/>
              <w:rPr>
                <w:sz w:val="18"/>
                <w:szCs w:val="18"/>
                <w:color w:val="auto"/>
              </w:rPr>
            </w:pPr>
          </w:p>
        </w:tc>
        <w:tc>
          <w:tcPr>
            <w:tcW w:w="1080" w:type="dxa"/>
            <w:vAlign w:val="bottom"/>
            <w:gridSpan w:val="2"/>
          </w:tcPr>
          <w:p>
            <w:pPr>
              <w:jc w:val="right"/>
              <w:ind w:right="268"/>
              <w:spacing w:after="0"/>
              <w:rPr>
                <w:sz w:val="20"/>
                <w:szCs w:val="20"/>
                <w:color w:val="auto"/>
              </w:rPr>
            </w:pPr>
            <w:r>
              <w:rPr>
                <w:rFonts w:ascii="Arial" w:cs="Arial" w:eastAsia="Arial" w:hAnsi="Arial"/>
                <w:sz w:val="14"/>
                <w:szCs w:val="14"/>
                <w:color w:val="auto"/>
              </w:rPr>
              <w:t>(712) (3)</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240"/>
        </w:trPr>
        <w:tc>
          <w:tcPr>
            <w:tcW w:w="75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Adjusted EBITDA (loss)</w:t>
            </w:r>
          </w:p>
        </w:tc>
        <w:tc>
          <w:tcPr>
            <w:tcW w:w="880" w:type="dxa"/>
            <w:vAlign w:val="bottom"/>
            <w:tcBorders>
              <w:top w:val="single" w:sz="8" w:color="auto"/>
              <w:bottom w:val="single" w:sz="8" w:color="auto"/>
            </w:tcBorders>
            <w:shd w:val="clear" w:color="auto" w:fill="CCFFCC"/>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13,348</w:t>
            </w:r>
          </w:p>
        </w:tc>
        <w:tc>
          <w:tcPr>
            <w:tcW w:w="540" w:type="dxa"/>
            <w:vAlign w:val="bottom"/>
            <w:tcBorders>
              <w:top w:val="single" w:sz="8" w:color="CCFFCC"/>
              <w:bottom w:val="single" w:sz="8" w:color="CCFFCC"/>
            </w:tcBorders>
            <w:shd w:val="clear" w:color="auto" w:fill="CCFFCC"/>
          </w:tcPr>
          <w:p>
            <w:pPr>
              <w:spacing w:after="0"/>
              <w:rPr>
                <w:sz w:val="20"/>
                <w:szCs w:val="20"/>
                <w:color w:val="auto"/>
              </w:rPr>
            </w:pPr>
          </w:p>
        </w:tc>
        <w:tc>
          <w:tcPr>
            <w:tcW w:w="880" w:type="dxa"/>
            <w:vAlign w:val="bottom"/>
            <w:tcBorders>
              <w:top w:val="single" w:sz="8" w:color="auto"/>
              <w:bottom w:val="single" w:sz="8" w:color="auto"/>
            </w:tcBorders>
            <w:shd w:val="clear" w:color="auto" w:fill="CCFFCC"/>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(4,635)</w:t>
            </w:r>
          </w:p>
        </w:tc>
        <w:tc>
          <w:tcPr>
            <w:tcW w:w="340" w:type="dxa"/>
            <w:vAlign w:val="bottom"/>
            <w:tcBorders>
              <w:top w:val="single" w:sz="8" w:color="CCFFCC"/>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CCFFCC"/>
              <w:bottom w:val="single" w:sz="8" w:color="auto"/>
            </w:tcBorders>
          </w:tcPr>
          <w:p>
            <w:pPr>
              <w:spacing w:after="0" w:line="20" w:lineRule="exact"/>
              <w:rPr>
                <w:sz w:val="1"/>
                <w:szCs w:val="1"/>
                <w:color w:val="auto"/>
              </w:rPr>
            </w:pPr>
          </w:p>
        </w:tc>
        <w:tc>
          <w:tcPr>
            <w:tcW w:w="540" w:type="dxa"/>
            <w:vAlign w:val="bottom"/>
            <w:tcBorders>
              <w:top w:val="single" w:sz="8" w:color="CCFFCC"/>
              <w:bottom w:val="single" w:sz="8" w:color="auto"/>
            </w:tcBorders>
          </w:tcPr>
          <w:p>
            <w:pPr>
              <w:spacing w:after="0" w:line="20" w:lineRule="exact"/>
              <w:rPr>
                <w:sz w:val="1"/>
                <w:szCs w:val="1"/>
                <w:color w:val="auto"/>
              </w:rPr>
            </w:pPr>
          </w:p>
        </w:tc>
        <w:tc>
          <w:tcPr>
            <w:tcW w:w="54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CCFFCC"/>
              <w:bottom w:val="single" w:sz="8" w:color="auto"/>
            </w:tcBorders>
          </w:tcPr>
          <w:p>
            <w:pPr>
              <w:spacing w:after="0" w:line="20" w:lineRule="exact"/>
              <w:rPr>
                <w:sz w:val="1"/>
                <w:szCs w:val="1"/>
                <w:color w:val="auto"/>
              </w:rPr>
            </w:pPr>
          </w:p>
        </w:tc>
        <w:tc>
          <w:tcPr>
            <w:tcW w:w="540" w:type="dxa"/>
            <w:vAlign w:val="bottom"/>
            <w:tcBorders>
              <w:top w:val="single" w:sz="8" w:color="CCFFCC"/>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18" w:lineRule="exact"/>
        <w:rPr>
          <w:sz w:val="20"/>
          <w:szCs w:val="20"/>
          <w:color w:val="auto"/>
        </w:rPr>
      </w:pPr>
    </w:p>
    <w:p>
      <w:pPr>
        <w:ind w:left="20" w:right="380" w:firstLine="6"/>
        <w:spacing w:after="0" w:line="273" w:lineRule="auto"/>
        <w:tabs>
          <w:tab w:leader="none" w:pos="2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severance costs of $2.4 million and other lease restructuring costs of $0.3 million for the three months ended March 31, 2021. Includes severance costs and other compensation related costs of $3.2 million for the three months ended March 31, 2020.</w:t>
      </w:r>
    </w:p>
    <w:p>
      <w:pPr>
        <w:spacing w:after="0" w:line="11" w:lineRule="exact"/>
        <w:rPr>
          <w:rFonts w:ascii="Arial" w:cs="Arial" w:eastAsia="Arial" w:hAnsi="Arial"/>
          <w:sz w:val="14"/>
          <w:szCs w:val="14"/>
          <w:color w:val="auto"/>
        </w:rPr>
      </w:pPr>
    </w:p>
    <w:p>
      <w:pPr>
        <w:ind w:left="20" w:right="300" w:firstLine="6"/>
        <w:spacing w:after="0" w:line="273" w:lineRule="auto"/>
        <w:tabs>
          <w:tab w:leader="none" w:pos="2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litigation costs of $1.2 million and consulting costs of $0.1 million for the three months ended March 31, 2021. Includes sales tax liability of $2.3 million, litigation costs of $1.2 million, employee benefit cost of $0.8 million and consulting costs of $0.4 million for the three months ended March 31, 2020.</w:t>
      </w:r>
    </w:p>
    <w:p>
      <w:pPr>
        <w:spacing w:after="0" w:line="11" w:lineRule="exact"/>
        <w:rPr>
          <w:rFonts w:ascii="Arial" w:cs="Arial" w:eastAsia="Arial" w:hAnsi="Arial"/>
          <w:sz w:val="14"/>
          <w:szCs w:val="14"/>
          <w:color w:val="auto"/>
        </w:rPr>
      </w:pPr>
    </w:p>
    <w:p>
      <w:pPr>
        <w:ind w:left="220" w:hanging="194"/>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financial income (expense) which is attributable primarily to currency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 w:firstLine="324"/>
        <w:spacing w:after="0" w:line="258" w:lineRule="auto"/>
        <w:rPr>
          <w:sz w:val="20"/>
          <w:szCs w:val="20"/>
          <w:color w:val="auto"/>
        </w:rPr>
      </w:pPr>
      <w:r>
        <w:rPr>
          <w:rFonts w:ascii="Arial" w:cs="Arial" w:eastAsia="Arial" w:hAnsi="Arial"/>
          <w:sz w:val="18"/>
          <w:szCs w:val="18"/>
          <w:color w:val="auto"/>
        </w:rPr>
        <w:t>Our use of adjusted operating income has limitations as an analytical tool, and you should not consider it in isolation or as a substitute for analysis of our results as reported under GAAP. Some of these limitations are:</w:t>
      </w:r>
    </w:p>
    <w:p>
      <w:pPr>
        <w:spacing w:after="0" w:line="1" w:lineRule="exact"/>
        <w:rPr>
          <w:sz w:val="20"/>
          <w:szCs w:val="20"/>
          <w:color w:val="auto"/>
        </w:rPr>
      </w:pPr>
    </w:p>
    <w:p>
      <w:pPr>
        <w:ind w:left="1140" w:hanging="322"/>
        <w:spacing w:after="0" w:line="265" w:lineRule="auto"/>
        <w:tabs>
          <w:tab w:leader="none" w:pos="107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ind w:left="1060" w:hanging="242"/>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acquisition costs;</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restructuring costs;</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other costs;</w:t>
      </w:r>
    </w:p>
    <w:p>
      <w:pPr>
        <w:spacing w:after="0" w:line="9" w:lineRule="exact"/>
        <w:rPr>
          <w:rFonts w:ascii="Arial" w:cs="Arial" w:eastAsia="Arial" w:hAnsi="Arial"/>
          <w:sz w:val="18"/>
          <w:szCs w:val="18"/>
          <w:color w:val="auto"/>
        </w:rPr>
      </w:pPr>
    </w:p>
    <w:p>
      <w:pPr>
        <w:ind w:left="1140" w:right="40" w:hanging="322"/>
        <w:spacing w:after="0" w:line="260" w:lineRule="auto"/>
        <w:tabs>
          <w:tab w:leader="none" w:pos="10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operating income differently, which reduces its usefulness as a comparative measure.</w:t>
      </w: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these limitations, you should consider adjusted operating income alongside other financial performance measures, including various pre-tax GAAP loss and our other GAAP results. The following table presents a reconciliation of adjusted operating income for each of the periods indicated (amounts in thousands):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Adjusted Operating Income (Loss)</w:t>
            </w: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7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Loss before provision for income taxes</w:t>
            </w:r>
          </w:p>
        </w:tc>
        <w:tc>
          <w:tcPr>
            <w:tcW w:w="880" w:type="dxa"/>
            <w:vAlign w:val="bottom"/>
            <w:tcBorders>
              <w:bottom w:val="single" w:sz="8" w:color="CCFFCC"/>
            </w:tcBorders>
            <w:shd w:val="clear" w:color="auto" w:fill="CCFFCC"/>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95"/>
              </w:rPr>
              <w:t>(22,046)</w:t>
            </w:r>
          </w:p>
        </w:tc>
        <w:tc>
          <w:tcPr>
            <w:tcW w:w="1200" w:type="dxa"/>
            <w:vAlign w:val="bottom"/>
            <w:tcBorders>
              <w:bottom w:val="single" w:sz="8" w:color="CCFFCC"/>
            </w:tcBorders>
            <w:gridSpan w:val="2"/>
            <w:shd w:val="clear" w:color="auto" w:fill="CCFFCC"/>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95"/>
              </w:rPr>
              <w:t>(36,649)</w:t>
            </w:r>
          </w:p>
        </w:tc>
        <w:tc>
          <w:tcPr>
            <w:tcW w:w="3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20" w:type="dxa"/>
            <w:vAlign w:val="bottom"/>
          </w:tcPr>
          <w:p>
            <w:pPr>
              <w:ind w:left="220"/>
              <w:spacing w:after="0"/>
              <w:rPr>
                <w:sz w:val="20"/>
                <w:szCs w:val="20"/>
                <w:color w:val="auto"/>
              </w:rPr>
            </w:pPr>
            <w:r>
              <w:rPr>
                <w:rFonts w:ascii="Arial" w:cs="Arial" w:eastAsia="Arial" w:hAnsi="Arial"/>
                <w:sz w:val="14"/>
                <w:szCs w:val="14"/>
                <w:color w:val="auto"/>
              </w:rPr>
              <w:t>Amortization of purchased intangibles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1,550</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Stock-based compensation</w:t>
            </w: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14,611</w:t>
            </w:r>
          </w:p>
        </w:tc>
        <w:tc>
          <w:tcPr>
            <w:tcW w:w="32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14,695</w:t>
            </w:r>
          </w:p>
        </w:tc>
        <w:tc>
          <w:tcPr>
            <w:tcW w:w="3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20" w:type="dxa"/>
            <w:vAlign w:val="bottom"/>
          </w:tcPr>
          <w:p>
            <w:pPr>
              <w:ind w:left="220"/>
              <w:spacing w:after="0"/>
              <w:rPr>
                <w:sz w:val="20"/>
                <w:szCs w:val="20"/>
                <w:color w:val="auto"/>
              </w:rPr>
            </w:pPr>
            <w:r>
              <w:rPr>
                <w:rFonts w:ascii="Arial" w:cs="Arial" w:eastAsia="Arial" w:hAnsi="Arial"/>
                <w:sz w:val="14"/>
                <w:szCs w:val="14"/>
                <w:color w:val="auto"/>
              </w:rPr>
              <w:t>Restructuring costs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2,732</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3,190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Other litigation and consulting costs</w:t>
            </w: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1,347</w:t>
            </w:r>
          </w:p>
        </w:tc>
        <w:tc>
          <w:tcPr>
            <w:tcW w:w="320" w:type="dxa"/>
            <w:vAlign w:val="bottom"/>
            <w:tcBorders>
              <w:bottom w:val="single" w:sz="8" w:color="CCFFCC"/>
            </w:tcBorders>
            <w:shd w:val="clear" w:color="auto" w:fill="CCFFCC"/>
          </w:tcPr>
          <w:p>
            <w:pPr>
              <w:jc w:val="right"/>
              <w:ind w:right="48"/>
              <w:spacing w:after="0"/>
              <w:rPr>
                <w:sz w:val="20"/>
                <w:szCs w:val="20"/>
                <w:color w:val="auto"/>
              </w:rPr>
            </w:pPr>
            <w:r>
              <w:rPr>
                <w:rFonts w:ascii="Arial" w:cs="Arial" w:eastAsia="Arial" w:hAnsi="Arial"/>
                <w:sz w:val="14"/>
                <w:szCs w:val="14"/>
                <w:color w:val="auto"/>
              </w:rPr>
              <w:t>(2)</w:t>
            </w: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4,708</w:t>
            </w:r>
          </w:p>
        </w:tc>
        <w:tc>
          <w:tcPr>
            <w:tcW w:w="360" w:type="dxa"/>
            <w:vAlign w:val="bottom"/>
            <w:tcBorders>
              <w:bottom w:val="single" w:sz="8" w:color="CCFFCC"/>
            </w:tcBorders>
            <w:shd w:val="clear" w:color="auto" w:fill="CCFFCC"/>
          </w:tcPr>
          <w:p>
            <w:pPr>
              <w:jc w:val="right"/>
              <w:ind w:right="8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7720" w:type="dxa"/>
            <w:vAlign w:val="bottom"/>
          </w:tcPr>
          <w:p>
            <w:pPr>
              <w:ind w:left="220"/>
              <w:spacing w:after="0"/>
              <w:rPr>
                <w:sz w:val="20"/>
                <w:szCs w:val="20"/>
                <w:color w:val="auto"/>
              </w:rPr>
            </w:pPr>
            <w:r>
              <w:rPr>
                <w:rFonts w:ascii="Arial" w:cs="Arial" w:eastAsia="Arial" w:hAnsi="Arial"/>
                <w:sz w:val="14"/>
                <w:szCs w:val="14"/>
                <w:color w:val="auto"/>
              </w:rPr>
              <w:t>Contingent earn-out adjustments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132</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Interest expense, net</w:t>
            </w: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9,129</w:t>
            </w:r>
          </w:p>
        </w:tc>
        <w:tc>
          <w:tcPr>
            <w:tcW w:w="32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2,791</w:t>
            </w:r>
          </w:p>
        </w:tc>
        <w:tc>
          <w:tcPr>
            <w:tcW w:w="3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880" w:type="dxa"/>
            <w:vAlign w:val="bottom"/>
          </w:tcPr>
          <w:p>
            <w:pPr>
              <w:spacing w:after="0"/>
              <w:rPr>
                <w:sz w:val="18"/>
                <w:szCs w:val="18"/>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4"/>
                <w:szCs w:val="14"/>
                <w:color w:val="auto"/>
              </w:rPr>
              <w:t>(712) (3)</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667</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3"/>
        </w:trPr>
        <w:tc>
          <w:tcPr>
            <w:tcW w:w="7720" w:type="dxa"/>
            <w:vAlign w:val="bottom"/>
            <w:tcBorders>
              <w:top w:val="single" w:sz="8" w:color="CCFFCC"/>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Adjusted operating income (loss)</w:t>
            </w:r>
          </w:p>
        </w:tc>
        <w:tc>
          <w:tcPr>
            <w:tcW w:w="880" w:type="dxa"/>
            <w:vAlign w:val="bottom"/>
            <w:tcBorders>
              <w:top w:val="single" w:sz="8" w:color="auto"/>
              <w:bottom w:val="single" w:sz="8" w:color="auto"/>
            </w:tcBorders>
            <w:shd w:val="clear" w:color="auto" w:fill="CCFFCC"/>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6,743</w:t>
            </w:r>
          </w:p>
        </w:tc>
        <w:tc>
          <w:tcPr>
            <w:tcW w:w="320" w:type="dxa"/>
            <w:vAlign w:val="bottom"/>
            <w:tcBorders>
              <w:top w:val="single" w:sz="8" w:color="CDFFCC"/>
              <w:bottom w:val="single" w:sz="8" w:color="CDFFCC"/>
            </w:tcBorders>
            <w:shd w:val="clear" w:color="auto" w:fill="CD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5"/>
              </w:rPr>
              <w:t>(10,172)</w:t>
            </w:r>
          </w:p>
        </w:tc>
        <w:tc>
          <w:tcPr>
            <w:tcW w:w="36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CCFFCC"/>
              <w:bottom w:val="single" w:sz="8" w:color="auto"/>
            </w:tcBorders>
          </w:tcPr>
          <w:p>
            <w:pPr>
              <w:spacing w:after="0" w:line="20" w:lineRule="exact"/>
              <w:rPr>
                <w:sz w:val="1"/>
                <w:szCs w:val="1"/>
                <w:color w:val="auto"/>
              </w:rPr>
            </w:pPr>
          </w:p>
        </w:tc>
        <w:tc>
          <w:tcPr>
            <w:tcW w:w="540" w:type="dxa"/>
            <w:vAlign w:val="bottom"/>
            <w:tcBorders>
              <w:top w:val="single" w:sz="8" w:color="CCFFCC"/>
              <w:bottom w:val="single" w:sz="8" w:color="auto"/>
            </w:tcBorders>
          </w:tcPr>
          <w:p>
            <w:pPr>
              <w:spacing w:after="0" w:line="20" w:lineRule="exact"/>
              <w:rPr>
                <w:sz w:val="1"/>
                <w:szCs w:val="1"/>
                <w:color w:val="auto"/>
              </w:rPr>
            </w:pPr>
          </w:p>
        </w:tc>
        <w:tc>
          <w:tcPr>
            <w:tcW w:w="320" w:type="dxa"/>
            <w:vAlign w:val="bottom"/>
            <w:tcBorders>
              <w:top w:val="single" w:sz="8" w:color="CDFFCC"/>
            </w:tcBorders>
          </w:tcPr>
          <w:p>
            <w:pPr>
              <w:spacing w:after="0" w:line="20" w:lineRule="exact"/>
              <w:rPr>
                <w:sz w:val="1"/>
                <w:szCs w:val="1"/>
                <w:color w:val="auto"/>
              </w:rPr>
            </w:pPr>
          </w:p>
        </w:tc>
        <w:tc>
          <w:tcPr>
            <w:tcW w:w="880" w:type="dxa"/>
            <w:vAlign w:val="bottom"/>
            <w:tcBorders>
              <w:top w:val="single" w:sz="8" w:color="CCFFCC"/>
              <w:bottom w:val="single" w:sz="8" w:color="auto"/>
            </w:tcBorders>
          </w:tcPr>
          <w:p>
            <w:pPr>
              <w:spacing w:after="0" w:line="20" w:lineRule="exact"/>
              <w:rPr>
                <w:sz w:val="1"/>
                <w:szCs w:val="1"/>
                <w:color w:val="auto"/>
              </w:rPr>
            </w:pPr>
          </w:p>
        </w:tc>
        <w:tc>
          <w:tcPr>
            <w:tcW w:w="540" w:type="dxa"/>
            <w:vAlign w:val="bottom"/>
            <w:tcBorders>
              <w:top w:val="single" w:sz="8" w:color="CCFFCC"/>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31" w:lineRule="exact"/>
        <w:rPr>
          <w:sz w:val="20"/>
          <w:szCs w:val="20"/>
          <w:color w:val="auto"/>
        </w:rPr>
      </w:pPr>
    </w:p>
    <w:p>
      <w:pPr>
        <w:ind w:left="20" w:right="380" w:firstLine="6"/>
        <w:spacing w:after="0" w:line="273" w:lineRule="auto"/>
        <w:tabs>
          <w:tab w:leader="none" w:pos="224"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severance costs of $2.4 million and other lease restructuring costs of $0.3 million for the three months ended March 31, 2021. Includes severance costs and other compensation related costs of $3.2 million for the three months ended March 31, 2020.</w:t>
      </w:r>
    </w:p>
    <w:p>
      <w:pPr>
        <w:spacing w:after="0" w:line="11" w:lineRule="exact"/>
        <w:rPr>
          <w:rFonts w:ascii="Arial" w:cs="Arial" w:eastAsia="Arial" w:hAnsi="Arial"/>
          <w:sz w:val="14"/>
          <w:szCs w:val="14"/>
          <w:color w:val="auto"/>
        </w:rPr>
      </w:pPr>
    </w:p>
    <w:p>
      <w:pPr>
        <w:ind w:left="20" w:right="300" w:firstLine="6"/>
        <w:spacing w:after="0" w:line="273" w:lineRule="auto"/>
        <w:tabs>
          <w:tab w:leader="none" w:pos="224"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litigation costs of $1.2 million and consulting costs of $0.1 million for the three months ended March 31, 2021. Includes sales tax liability of $2.3 million, litigation costs of $1.2 million, employee benefit cost of $0.8 million and consulting costs of $0.4 million for the three months ended March 31, 2020.</w:t>
      </w:r>
    </w:p>
    <w:p>
      <w:pPr>
        <w:spacing w:after="0" w:line="11" w:lineRule="exact"/>
        <w:rPr>
          <w:rFonts w:ascii="Arial" w:cs="Arial" w:eastAsia="Arial" w:hAnsi="Arial"/>
          <w:sz w:val="14"/>
          <w:szCs w:val="14"/>
          <w:color w:val="auto"/>
        </w:rPr>
      </w:pPr>
    </w:p>
    <w:p>
      <w:pPr>
        <w:ind w:left="220" w:hanging="194"/>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financial income (expense) which is attributable primarily to currency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4" w:name="page45"/>
    <w:bookmarkEnd w:id="44"/>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our services. Revenues are recognized when control of these services is transferred to our customers, in an amount that reflects the consideration we expect to be entitled to in exchange for those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300" w:hanging="15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 of $107.9 million and $78.1 million was recognized for the three months ended March 31, 2021 and 2020, respectively.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Topic 606, we defer all incremental commission costs to obtain the contract (contract acquisition costs). The contract acquisition costs consist of prepaid sales commissions and have balances as of March 31, 2021 and December 31, 2020 of $40.9 million and $41.0 million, respectively. We amortize these costs over the related period of benefit using the expected life of the customer contract, which we determine to be three to five years, consistent with the transfer to the customer of the services to which the asset relates. We classify contract acquisition costs as long-term unless they have an original amortization period of one year or less.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both"/>
        <w:ind w:firstLine="324"/>
        <w:spacing w:after="0" w:line="269" w:lineRule="auto"/>
        <w:rPr>
          <w:sz w:val="20"/>
          <w:szCs w:val="20"/>
          <w:color w:val="auto"/>
        </w:rPr>
      </w:pPr>
      <w:r>
        <w:rPr>
          <w:rFonts w:ascii="Arial" w:cs="Arial" w:eastAsia="Arial" w:hAnsi="Arial"/>
          <w:sz w:val="17"/>
          <w:szCs w:val="17"/>
          <w:color w:val="auto"/>
        </w:rPr>
        <w:t>Hosted Services Business revenue is reported at the amount that reflects the ultimate consideration expected to be received and primarily consist of fees that provide customers access to the Conversational Cloud,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(formerly “Pay for Performance”) arrangements in accordance with ASC-606, “Principal Agent Considerations,” we act as a principal in a transaction if we control the specified goods or services before they are transferred to the customer.</w:t>
      </w:r>
    </w:p>
    <w:p>
      <w:pPr>
        <w:spacing w:after="0" w:line="20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attributable to our monthly hosted Business services accounted for 78% of total revenue for the three months ended March 31, 2021 and 2020.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Professional Services Revenues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attributable to professional services accounted for 14% of total revenue for the three months ended March 31,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revenue from our Consumer segment generated from online transactions between Experts and Users, revenue is recognized at an amount net of Expert fees in accordance with ASC 606, “Principal Agent Considerations,” primarily because the Expert is the primary obligor.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our Consumer segment accounted for approximately 8% of total revenue for the three months ended March 31, 2021 and 2020,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March 31, 2021, the aggregate amount of the total transaction price allocated in contracts with original duration of greater than one year to the remaining performance obligations was $330.6 million. Approximately 90%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We have elected the optional exemption, which allows for the exclusion of the amounts for remaining performance obligations that are part of</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contracts with an original expected duration of one year or less. Such remaining performance obligations represent unsatisfied or partially unsatisfied performance obligations pursuant to ASC 606.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The increase of $19.7 million in deferred revenue balance for the quarter ended March 31, 2021 from the deferred revenue balance of $89.3 million for the year ended December 31, 2020 is primarily driven by cash payments received or due in advance of our performance obligations, partially offset by $46.7 million revenues recognized that were included in the deferred revenue balance as of December 31, 2020.</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months ended March 31, 2021 and 2020, we accrued approximately $5.3 million and $3.7 million in cash awards respectively, to be settled in shares of our stock and recorded a corresponding expense, which is included as a component of stock-based compensation expense in the accompanying condensed consolidated financial statements for the three months ended March 31, 2021 and 2020, respectively.</w:t>
      </w:r>
    </w:p>
    <w:p>
      <w:pPr>
        <w:spacing w:after="0" w:line="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the three months ended March 31, 2021 and in the comparable period in 2020, there was approximately $17.6 million and $18.1 million, respectively, of total unrecognized compensation cost related to nonvested share-based compensation arrangements. That cost is expected to be recognized over a weighted average period of approximately 2.5 years. As of March 31, 2021 and as of March 31, 2020, there was approximately $65.7 million and $79.7 million, respectively, of total unrecognized compensation cost related to nonvested restricted stock units. That cost is expected to be recognized over the remaining weighted average period of approximately 2.5 years and 3.2 years,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in the three months ended March 31, 2021 and in the comparable period of 2020. No single customer accounted for or exceeded 10% of our total accounts receivable as of March 31, 2021. No customer accounted for or exceeded 10% of our total accounts receivable in 2020. During the three months ended March 31, 2021, we increased our allowance for doubtful accounts from $5.3 million as of December 31, 2020 to approximately $5.4 million. A large proportion of receivables are due from larger corporate customers that typically have longer payment cycles. Accounts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receivable is presented net of an allowance for doubtful accounts and sales reserve of $5.4 million and $2.7 million as of March 31, 2021, respectively, and $5.3 million and $3.4 million as of December 31, 2020, respectively.</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We have determined that the Company operates as two reporting units and have selected September 30 as the date to perform our annual impairment test. In the valuation of goodwill, management must make assumptions regarding estimated future cash flows to be derived from our business. If these estimates or their related assumptions change in the future, we may be required to record impairment for these assets.</w:t>
      </w:r>
    </w:p>
    <w:p>
      <w:pPr>
        <w:spacing w:after="0" w:line="29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the option to first perform a qualitative assessment to determine if it is more likely than not that the fair value of a reporting unit is less than its carrying amount. However, we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goodwill impairment charges have been recorded for any period presented.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 There was a loss on disposal of approximately $5.1 million in October 2020. Accelerated depreciation was recognized for fixed assets that were determined to no longer be of future economic benefit based on the decision to vacate certain leased office space.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on a jurisdiction by jurisdiction basis, we believe that the deferred tax assets related to LivePerson Australia, LivePerson UK, Kasamba Israel, LivePerson Japan and LivePerson Ltd. Israel are more likely than not to be realized as these jurisdictions have positive cumulative pre-tax book income after adjusting for permanent and one-time items. During the year ended December 31, 2020, there was an increase in the valuation recorded of $6.9 million. For the quarter ended March 31, 2021, the Company recorded a tax benefit of $0.9 million. This amount consisted of a tax provision for the period of $0.6 million on operating earnings for the period, and a tax benefit of $1.5 million related to revision of estimates for uncertain tax benefits related to Kasamba Israel and Liveperson Ltd. Israel deferred tax assets.</w:t>
      </w:r>
    </w:p>
    <w:p>
      <w:pPr>
        <w:spacing w:after="0" w:line="32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The Company had a valuation allowance on certain deferred tax assets for the years ended December 31, 2019 and December 31, 2020 of $48.5 million and $55.4 million, respectively. Inherent in the Company’s 2021 annual effective tax rate is an estimated increase in the valuation allowance of $20.7 million, all of which will be recorded as an expense. During 2020, an increase in the valuation allowance in the amount of $35.1 million was recorded as an expense and a decrease of $28.2 million related to convertible notes was charged to equity. In 2019, an increase in the valuation allowance in the amount of $25.0 million was recorded as an expense and a decrease of $6.7 million related to the issuance of convertible notes was charged to equity.</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As a result of the CARES Act, the Company filed refund claims relating to prior years totaling $0.6 million.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14, “Legal Matters”, in the Notes to the Condensed Consolidated Financial Statements under Item 8 of this Quarterly Report on Form 10-Q for additional information on our legal proceedings and litigation.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 “Description of Business and Basis of Presentation” in the Notes to the Condensed Consolidated Financial Statements for a full description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1, “Description of Business and Basis of Presentation” in the Notes to the Condensed Consolidated Financial Statements for a full description of recently adopted accounting pronouncements.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Compensation Expense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non-cash compensation amounts are as follows:</w:t>
      </w:r>
    </w:p>
    <w:p>
      <w:pPr>
        <w:spacing w:after="0" w:line="149"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23495</wp:posOffset>
            </wp:positionV>
            <wp:extent cx="18173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2" w:lineRule="exact"/>
        <w:rPr>
          <w:sz w:val="20"/>
          <w:szCs w:val="20"/>
          <w:color w:val="auto"/>
        </w:rPr>
      </w:pPr>
    </w:p>
    <w:p>
      <w:pPr>
        <w:ind w:left="8620"/>
        <w:spacing w:after="0"/>
        <w:tabs>
          <w:tab w:leader="none" w:pos="100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23495</wp:posOffset>
            </wp:positionV>
            <wp:extent cx="18173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2"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5485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8040" w:val="left"/>
          <w:tab w:leader="none" w:pos="8940" w:val="left"/>
          <w:tab w:leader="none" w:pos="1036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14,611 $</w:t>
      </w:r>
      <w:r>
        <w:rPr>
          <w:sz w:val="20"/>
          <w:szCs w:val="20"/>
          <w:color w:val="auto"/>
        </w:rPr>
        <w:tab/>
      </w:r>
      <w:r>
        <w:rPr>
          <w:rFonts w:ascii="Arial" w:cs="Arial" w:eastAsia="Arial" w:hAnsi="Arial"/>
          <w:sz w:val="15"/>
          <w:szCs w:val="15"/>
          <w:color w:val="auto"/>
        </w:rPr>
        <w:t>14,695</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22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Comparison of the Three Months Ended March 31, 2021 and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980"/>
              <w:spacing w:after="0"/>
              <w:rPr>
                <w:sz w:val="20"/>
                <w:szCs w:val="20"/>
                <w:color w:val="auto"/>
              </w:rPr>
            </w:pPr>
            <w:r>
              <w:rPr>
                <w:rFonts w:ascii="Arial" w:cs="Arial" w:eastAsia="Arial" w:hAnsi="Arial"/>
                <w:sz w:val="14"/>
                <w:szCs w:val="14"/>
                <w:b w:val="1"/>
                <w:bCs w:val="1"/>
                <w:color w:val="auto"/>
                <w:w w:val="99"/>
              </w:rPr>
              <w:t>Three Months Ended March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81"/>
        </w:trPr>
        <w:tc>
          <w:tcPr>
            <w:tcW w:w="6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520" w:type="dxa"/>
            <w:vAlign w:val="bottom"/>
          </w:tcPr>
          <w:p>
            <w:pPr>
              <w:ind w:left="20"/>
              <w:spacing w:after="0"/>
              <w:rPr>
                <w:sz w:val="20"/>
                <w:szCs w:val="20"/>
                <w:color w:val="auto"/>
              </w:rPr>
            </w:pPr>
            <w:r>
              <w:rPr>
                <w:rFonts w:ascii="Arial" w:cs="Arial" w:eastAsia="Arial" w:hAnsi="Arial"/>
                <w:sz w:val="16"/>
                <w:szCs w:val="16"/>
                <w:color w:val="auto"/>
              </w:rPr>
              <w:t>Revenue by Segment:</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520" w:type="dxa"/>
            <w:vAlign w:val="bottom"/>
            <w:shd w:val="clear" w:color="auto" w:fill="CDFFCC"/>
          </w:tcPr>
          <w:p>
            <w:pPr>
              <w:ind w:left="220"/>
              <w:spacing w:after="0"/>
              <w:rPr>
                <w:sz w:val="20"/>
                <w:szCs w:val="20"/>
                <w:color w:val="auto"/>
              </w:rPr>
            </w:pPr>
            <w:r>
              <w:rPr>
                <w:rFonts w:ascii="Arial" w:cs="Arial" w:eastAsia="Arial" w:hAnsi="Arial"/>
                <w:sz w:val="16"/>
                <w:szCs w:val="16"/>
                <w:color w:val="auto"/>
              </w:rPr>
              <w:t>Business</w:t>
            </w:r>
          </w:p>
        </w:tc>
        <w:tc>
          <w:tcPr>
            <w:tcW w:w="340" w:type="dxa"/>
            <w:vAlign w:val="bottom"/>
            <w:shd w:val="clear" w:color="auto" w:fill="CDFFCC"/>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DFFCC"/>
          </w:tcPr>
          <w:p>
            <w:pPr>
              <w:jc w:val="right"/>
              <w:spacing w:after="0"/>
              <w:rPr>
                <w:sz w:val="20"/>
                <w:szCs w:val="20"/>
                <w:color w:val="auto"/>
              </w:rPr>
            </w:pPr>
            <w:r>
              <w:rPr>
                <w:rFonts w:ascii="Arial" w:cs="Arial" w:eastAsia="Arial" w:hAnsi="Arial"/>
                <w:sz w:val="16"/>
                <w:szCs w:val="16"/>
                <w:color w:val="auto"/>
              </w:rPr>
              <w:t>98,880</w:t>
            </w:r>
          </w:p>
        </w:tc>
        <w:tc>
          <w:tcPr>
            <w:tcW w:w="120" w:type="dxa"/>
            <w:vAlign w:val="bottom"/>
            <w:shd w:val="clear" w:color="auto" w:fill="CDFFCC"/>
          </w:tcPr>
          <w:p>
            <w:pPr>
              <w:spacing w:after="0"/>
              <w:rPr>
                <w:sz w:val="19"/>
                <w:szCs w:val="19"/>
                <w:color w:val="auto"/>
              </w:rPr>
            </w:pPr>
          </w:p>
        </w:tc>
        <w:tc>
          <w:tcPr>
            <w:tcW w:w="460" w:type="dxa"/>
            <w:vAlign w:val="bottom"/>
            <w:shd w:val="clear" w:color="auto" w:fill="CDFFCC"/>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DFFCC"/>
          </w:tcPr>
          <w:p>
            <w:pPr>
              <w:jc w:val="right"/>
              <w:ind w:right="1"/>
              <w:spacing w:after="0"/>
              <w:rPr>
                <w:sz w:val="20"/>
                <w:szCs w:val="20"/>
                <w:color w:val="auto"/>
              </w:rPr>
            </w:pPr>
            <w:r>
              <w:rPr>
                <w:rFonts w:ascii="Arial" w:cs="Arial" w:eastAsia="Arial" w:hAnsi="Arial"/>
                <w:sz w:val="16"/>
                <w:szCs w:val="16"/>
                <w:color w:val="auto"/>
              </w:rPr>
              <w:t>71,848</w:t>
            </w: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2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DFFCC"/>
          </w:tcPr>
          <w:p>
            <w:pPr>
              <w:spacing w:after="0"/>
              <w:rPr>
                <w:sz w:val="19"/>
                <w:szCs w:val="19"/>
                <w:color w:val="auto"/>
              </w:rPr>
            </w:pPr>
          </w:p>
        </w:tc>
      </w:tr>
      <w:tr>
        <w:trPr>
          <w:trHeight w:val="213"/>
        </w:trPr>
        <w:tc>
          <w:tcPr>
            <w:tcW w:w="6520" w:type="dxa"/>
            <w:vAlign w:val="bottom"/>
            <w:tcBorders>
              <w:bottom w:val="single" w:sz="8" w:color="CDFFCC"/>
            </w:tcBorders>
          </w:tcPr>
          <w:p>
            <w:pPr>
              <w:ind w:left="220"/>
              <w:spacing w:after="0"/>
              <w:rPr>
                <w:sz w:val="20"/>
                <w:szCs w:val="20"/>
                <w:color w:val="auto"/>
              </w:rPr>
            </w:pPr>
            <w:r>
              <w:rPr>
                <w:rFonts w:ascii="Arial" w:cs="Arial" w:eastAsia="Arial" w:hAnsi="Arial"/>
                <w:sz w:val="16"/>
                <w:szCs w:val="16"/>
                <w:color w:val="auto"/>
              </w:rPr>
              <w:t>Consumer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9,011</w:t>
            </w:r>
          </w:p>
        </w:tc>
        <w:tc>
          <w:tcPr>
            <w:tcW w:w="120" w:type="dxa"/>
            <w:vAlign w:val="bottom"/>
            <w:tcBorders>
              <w:bottom w:val="single" w:sz="8" w:color="CDFFC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D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Borders>
              <w:bottom w:val="single" w:sz="8" w:color="CDFFCC"/>
            </w:tcBorders>
          </w:tcPr>
          <w:p>
            <w:pPr>
              <w:spacing w:after="0"/>
              <w:rPr>
                <w:sz w:val="18"/>
                <w:szCs w:val="18"/>
                <w:color w:val="auto"/>
              </w:rPr>
            </w:pPr>
          </w:p>
        </w:tc>
      </w:tr>
      <w:tr>
        <w:trPr>
          <w:trHeight w:val="238"/>
        </w:trPr>
        <w:tc>
          <w:tcPr>
            <w:tcW w:w="6520" w:type="dxa"/>
            <w:vAlign w:val="bottom"/>
            <w:tcBorders>
              <w:bottom w:val="single" w:sz="8" w:color="CDFFCC"/>
            </w:tcBorders>
            <w:shd w:val="clear" w:color="auto" w:fill="CDFFCC"/>
          </w:tcPr>
          <w:p>
            <w:pPr>
              <w:ind w:left="36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DFFCC"/>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107,891</w:t>
            </w:r>
          </w:p>
        </w:tc>
        <w:tc>
          <w:tcPr>
            <w:tcW w:w="120" w:type="dxa"/>
            <w:vAlign w:val="bottom"/>
            <w:tcBorders>
              <w:bottom w:val="single" w:sz="8" w:color="CDFFCC"/>
            </w:tcBorders>
            <w:shd w:val="clear" w:color="auto" w:fill="CDFFCC"/>
          </w:tcPr>
          <w:p>
            <w:pPr>
              <w:spacing w:after="0"/>
              <w:rPr>
                <w:sz w:val="20"/>
                <w:szCs w:val="20"/>
                <w:color w:val="auto"/>
              </w:rPr>
            </w:pPr>
          </w:p>
        </w:tc>
        <w:tc>
          <w:tcPr>
            <w:tcW w:w="460" w:type="dxa"/>
            <w:vAlign w:val="bottom"/>
            <w:tcBorders>
              <w:bottom w:val="single" w:sz="8" w:color="auto"/>
            </w:tcBorders>
            <w:shd w:val="clear" w:color="auto" w:fill="CDFFCC"/>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DFFCC"/>
          </w:tcPr>
          <w:p>
            <w:pPr>
              <w:jc w:val="right"/>
              <w:ind w:right="1"/>
              <w:spacing w:after="0"/>
              <w:rPr>
                <w:sz w:val="20"/>
                <w:szCs w:val="20"/>
                <w:color w:val="auto"/>
              </w:rPr>
            </w:pPr>
            <w:r>
              <w:rPr>
                <w:rFonts w:ascii="Arial" w:cs="Arial" w:eastAsia="Arial" w:hAnsi="Arial"/>
                <w:sz w:val="16"/>
                <w:szCs w:val="16"/>
                <w:color w:val="auto"/>
              </w:rPr>
              <w:t>78,088</w:t>
            </w:r>
          </w:p>
        </w:tc>
        <w:tc>
          <w:tcPr>
            <w:tcW w:w="100" w:type="dxa"/>
            <w:vAlign w:val="bottom"/>
            <w:tcBorders>
              <w:bottom w:val="single" w:sz="8" w:color="CDFFCC"/>
            </w:tcBorders>
            <w:shd w:val="clear" w:color="auto" w:fill="CDFFCC"/>
          </w:tcPr>
          <w:p>
            <w:pPr>
              <w:spacing w:after="0"/>
              <w:rPr>
                <w:sz w:val="20"/>
                <w:szCs w:val="20"/>
                <w:color w:val="auto"/>
              </w:rPr>
            </w:pPr>
          </w:p>
        </w:tc>
        <w:tc>
          <w:tcPr>
            <w:tcW w:w="340" w:type="dxa"/>
            <w:vAlign w:val="bottom"/>
            <w:tcBorders>
              <w:bottom w:val="single" w:sz="8" w:color="auto"/>
            </w:tcBorders>
            <w:shd w:val="clear" w:color="auto" w:fill="CDFFCC"/>
          </w:tcPr>
          <w:p>
            <w:pPr>
              <w:spacing w:after="0"/>
              <w:rPr>
                <w:sz w:val="20"/>
                <w:szCs w:val="20"/>
                <w:color w:val="auto"/>
              </w:rPr>
            </w:pPr>
          </w:p>
        </w:tc>
        <w:tc>
          <w:tcPr>
            <w:tcW w:w="12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DFFCC"/>
            </w:tcBorders>
            <w:shd w:val="clear" w:color="auto" w:fill="CDFFCC"/>
          </w:tcPr>
          <w:p>
            <w:pPr>
              <w:spacing w:after="0"/>
              <w:rPr>
                <w:sz w:val="20"/>
                <w:szCs w:val="20"/>
                <w:color w:val="auto"/>
              </w:rPr>
            </w:pPr>
          </w:p>
        </w:tc>
      </w:tr>
      <w:tr>
        <w:trPr>
          <w:trHeight w:val="20"/>
        </w:trPr>
        <w:tc>
          <w:tcPr>
            <w:tcW w:w="652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08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460" w:type="dxa"/>
            <w:vAlign w:val="bottom"/>
            <w:tcBorders>
              <w:top w:val="single" w:sz="8" w:color="CDFFCC"/>
              <w:bottom w:val="single" w:sz="8" w:color="auto"/>
            </w:tcBorders>
          </w:tcPr>
          <w:p>
            <w:pPr>
              <w:spacing w:after="0" w:line="20" w:lineRule="exact"/>
              <w:rPr>
                <w:sz w:val="1"/>
                <w:szCs w:val="1"/>
                <w:color w:val="auto"/>
              </w:rPr>
            </w:pPr>
          </w:p>
        </w:tc>
        <w:tc>
          <w:tcPr>
            <w:tcW w:w="9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22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22222"/>
        </w:rPr>
        <w:t xml:space="preserve">Business revenue increased by 38% to $98.9 million in the three months ended </w:t>
      </w:r>
      <w:r>
        <w:rPr>
          <w:rFonts w:ascii="Arial" w:cs="Arial" w:eastAsia="Arial" w:hAnsi="Arial"/>
          <w:sz w:val="18"/>
          <w:szCs w:val="18"/>
          <w:color w:val="000000"/>
        </w:rPr>
        <w:t>March 31, 2021</w:t>
      </w:r>
      <w:r>
        <w:rPr>
          <w:rFonts w:ascii="Arial" w:cs="Arial" w:eastAsia="Arial" w:hAnsi="Arial"/>
          <w:sz w:val="18"/>
          <w:szCs w:val="18"/>
          <w:color w:val="222222"/>
        </w:rPr>
        <w:t xml:space="preserve"> from $71.8 million in the comparable periods in 2020. The increase in B2B revenue during the three months ended March 31, 2021 is driven mainly by year-over-year increase in hosted services of $21.9 million and in professional services of $5.1 million. Included in hosted services is an increase in revenue that is variable based on interaction and usage of approximately $7.1 million.</w:t>
      </w:r>
    </w:p>
    <w:p>
      <w:pPr>
        <w:spacing w:after="0" w:line="21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222222"/>
        </w:rPr>
        <w:t xml:space="preserve">The increase in Business revenue was driven in nearly equal parts by existing and new customers as LivePerson generated greater demand for its Conversational Commerce software and </w:t>
      </w:r>
      <w:r>
        <w:rPr>
          <w:rFonts w:ascii="Arial" w:cs="Arial" w:eastAsia="Arial" w:hAnsi="Arial"/>
          <w:sz w:val="16"/>
          <w:szCs w:val="16"/>
          <w:color w:val="000000"/>
        </w:rPr>
        <w:t>Gainshare (formerly “Pay for Performance”)</w:t>
      </w:r>
      <w:r>
        <w:rPr>
          <w:rFonts w:ascii="Arial" w:cs="Arial" w:eastAsia="Arial" w:hAnsi="Arial"/>
          <w:sz w:val="16"/>
          <w:szCs w:val="16"/>
          <w:color w:val="222222"/>
        </w:rPr>
        <w:t xml:space="preserve"> solutions.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As adoption increases, we are seeing higher revenue per customer. Our average annual revenue per enterprise and mid-market customer increased approximately 34% year over year to $490,000 in the trailing three months ended March 31, 2021, as compared to $365,000 for the trailing twelve months ended March 31, 2020. Similarly, we are seeing strong revenue retention rates. Revenue retention for our enterprise and mid-market customers on Conversational Cloud in the first quarter of 2021 exceeded the high end of our target range of 105% to 115%, and was within our target range of 105% to 115% in the first quarter of 2020.</w:t>
      </w:r>
    </w:p>
    <w:p>
      <w:pPr>
        <w:spacing w:after="0" w:line="1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Consumer revenue increased by 44% to $9.0 million in the three months ended March 31, 2021 from $6.2 million in the comparable period in 2020. This improvement was driven by an increasingly effective user value and higher demand by consumers to engage with experts and advisors through conversational messaging channels.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Revenue - Business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 business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81"/>
        </w:trPr>
        <w:tc>
          <w:tcPr>
            <w:tcW w:w="6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Cost of revenue - business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31,610</w:t>
            </w:r>
          </w:p>
        </w:tc>
        <w:tc>
          <w:tcPr>
            <w:tcW w:w="740" w:type="dxa"/>
            <w:vAlign w:val="bottom"/>
          </w:tcPr>
          <w:p>
            <w:pPr>
              <w:jc w:val="right"/>
              <w:ind w:right="364"/>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21,345</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8"/>
                <w:szCs w:val="18"/>
                <w:color w:val="auto"/>
              </w:rPr>
            </w:pPr>
          </w:p>
        </w:tc>
      </w:tr>
      <w:tr>
        <w:trPr>
          <w:trHeight w:val="219"/>
        </w:trPr>
        <w:tc>
          <w:tcPr>
            <w:tcW w:w="6440" w:type="dxa"/>
            <w:vAlign w:val="bottom"/>
            <w:shd w:val="clear" w:color="auto" w:fill="CCFFCC"/>
          </w:tcPr>
          <w:p>
            <w:pPr>
              <w:ind w:left="20"/>
              <w:spacing w:after="0"/>
              <w:rPr>
                <w:sz w:val="20"/>
                <w:szCs w:val="20"/>
                <w:color w:val="auto"/>
              </w:rPr>
            </w:pPr>
            <w:r>
              <w:rPr>
                <w:rFonts w:ascii="Arial" w:cs="Arial" w:eastAsia="Arial" w:hAnsi="Arial"/>
                <w:sz w:val="16"/>
                <w:szCs w:val="16"/>
                <w:color w:val="auto"/>
              </w:rPr>
              <w:t>Percentage of total revenue</w:t>
            </w:r>
          </w:p>
        </w:tc>
        <w:tc>
          <w:tcPr>
            <w:tcW w:w="360" w:type="dxa"/>
            <w:vAlign w:val="bottom"/>
            <w:shd w:val="clear" w:color="auto" w:fill="CCFFCC"/>
          </w:tcPr>
          <w:p>
            <w:pPr>
              <w:spacing w:after="0"/>
              <w:rPr>
                <w:sz w:val="19"/>
                <w:szCs w:val="19"/>
                <w:color w:val="auto"/>
              </w:rPr>
            </w:pPr>
          </w:p>
        </w:tc>
        <w:tc>
          <w:tcPr>
            <w:tcW w:w="1720" w:type="dxa"/>
            <w:vAlign w:val="bottom"/>
            <w:gridSpan w:val="2"/>
            <w:shd w:val="clear" w:color="auto" w:fill="CCFFCC"/>
          </w:tcPr>
          <w:p>
            <w:pPr>
              <w:jc w:val="right"/>
              <w:ind w:right="484"/>
              <w:spacing w:after="0"/>
              <w:rPr>
                <w:sz w:val="20"/>
                <w:szCs w:val="20"/>
                <w:color w:val="auto"/>
              </w:rPr>
            </w:pPr>
            <w:r>
              <w:rPr>
                <w:rFonts w:ascii="Arial" w:cs="Arial" w:eastAsia="Arial" w:hAnsi="Arial"/>
                <w:sz w:val="16"/>
                <w:szCs w:val="16"/>
                <w:color w:val="auto"/>
              </w:rPr>
              <w:t>29 %</w:t>
            </w:r>
          </w:p>
        </w:tc>
        <w:tc>
          <w:tcPr>
            <w:tcW w:w="9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27 %</w:t>
            </w:r>
          </w:p>
        </w:tc>
        <w:tc>
          <w:tcPr>
            <w:tcW w:w="40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Headcount (at period end):</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w:t>
            </w:r>
          </w:p>
        </w:tc>
        <w:tc>
          <w:tcPr>
            <w:tcW w:w="74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250</w:t>
            </w:r>
          </w:p>
        </w:tc>
        <w:tc>
          <w:tcPr>
            <w:tcW w:w="4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r>
    </w:tbl>
    <w:p>
      <w:pPr>
        <w:spacing w:after="0" w:line="19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revenue - business increased by 48% to $31.6 million in the three months ended March 31, 2021, from $21.3 million in the comparable period in 2020. This increase in expense is primarily attributable to business services and outsourced subcontracted labor of approximately $6.6 million driven by Health and Gainshare (formerly “Pay for Performance”) services, which power Conversational Commerce programs on behalf of customers. The Company also recognized an increase in expenses for backup server facilities of approximately $2.4 million, in amortization expense of approximately $0.3 million, an increase in salary and employee related expenses of approximately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i w:val="1"/>
          <w:iCs w:val="1"/>
          <w:color w:val="auto"/>
        </w:rPr>
        <w:t>Cost of Revenue - Consumer</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 consumer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2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81"/>
        </w:trPr>
        <w:tc>
          <w:tcPr>
            <w:tcW w:w="62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425"/>
              <w:spacing w:after="0"/>
              <w:rPr>
                <w:sz w:val="20"/>
                <w:szCs w:val="20"/>
                <w:color w:val="auto"/>
              </w:rPr>
            </w:pPr>
            <w:r>
              <w:rPr>
                <w:rFonts w:ascii="Arial" w:cs="Arial" w:eastAsia="Arial" w:hAnsi="Arial"/>
                <w:sz w:val="14"/>
                <w:szCs w:val="14"/>
                <w:b w:val="1"/>
                <w:bCs w:val="1"/>
                <w:color w:val="auto"/>
              </w:rPr>
              <w:t>($ in thousands)</w:t>
            </w:r>
          </w:p>
        </w:tc>
        <w:tc>
          <w:tcPr>
            <w:tcW w:w="6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color w:val="auto"/>
              </w:rPr>
              <w:t>Cost of revenue - consumer</w:t>
            </w: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1,909</w:t>
            </w:r>
          </w:p>
        </w:tc>
        <w:tc>
          <w:tcPr>
            <w:tcW w:w="1220" w:type="dxa"/>
            <w:vAlign w:val="bottom"/>
          </w:tcPr>
          <w:p>
            <w:pPr>
              <w:jc w:val="right"/>
              <w:ind w:right="765"/>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w w:val="89"/>
              </w:rPr>
              <w:t>1,475</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8"/>
                <w:szCs w:val="18"/>
                <w:color w:val="auto"/>
              </w:rPr>
            </w:pPr>
          </w:p>
        </w:tc>
      </w:tr>
      <w:tr>
        <w:trPr>
          <w:trHeight w:val="219"/>
        </w:trPr>
        <w:tc>
          <w:tcPr>
            <w:tcW w:w="6280" w:type="dxa"/>
            <w:vAlign w:val="bottom"/>
            <w:shd w:val="clear" w:color="auto" w:fill="CCFFCC"/>
          </w:tcPr>
          <w:p>
            <w:pPr>
              <w:ind w:left="20"/>
              <w:spacing w:after="0"/>
              <w:rPr>
                <w:sz w:val="20"/>
                <w:szCs w:val="20"/>
                <w:color w:val="auto"/>
              </w:rPr>
            </w:pPr>
            <w:r>
              <w:rPr>
                <w:rFonts w:ascii="Arial" w:cs="Arial" w:eastAsia="Arial" w:hAnsi="Arial"/>
                <w:sz w:val="16"/>
                <w:szCs w:val="16"/>
                <w:color w:val="auto"/>
              </w:rPr>
              <w:t>Percentage of total revenue</w:t>
            </w:r>
          </w:p>
        </w:tc>
        <w:tc>
          <w:tcPr>
            <w:tcW w:w="94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1005"/>
              <w:spacing w:after="0"/>
              <w:rPr>
                <w:sz w:val="20"/>
                <w:szCs w:val="20"/>
                <w:color w:val="auto"/>
              </w:rPr>
            </w:pPr>
            <w:r>
              <w:rPr>
                <w:rFonts w:ascii="Arial" w:cs="Arial" w:eastAsia="Arial" w:hAnsi="Arial"/>
                <w:sz w:val="16"/>
                <w:szCs w:val="16"/>
                <w:color w:val="auto"/>
              </w:rPr>
              <w:t>2 %</w:t>
            </w: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2 %</w:t>
            </w:r>
          </w:p>
        </w:tc>
        <w:tc>
          <w:tcPr>
            <w:tcW w:w="38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Headcount (at period end)</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c>
          <w:tcPr>
            <w:tcW w:w="122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8"/>
                <w:szCs w:val="18"/>
                <w:color w:val="auto"/>
              </w:rPr>
            </w:pPr>
          </w:p>
        </w:tc>
      </w:tr>
    </w:tbl>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 consumer increased by 29% to $1.9 million in the three months ended March 31, 2021 from $1.5 million in the comparable period in 2020. This increase in expense is primarily related to an increase in salary and employee related expenses of approximately $0.3 million and in credit card processing fees of approximately $0.2 million.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 Business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Sales and marketing - business expenses consist of compensation and related expenses for sales and marketing personnel, as well as advertising, marketing events, public relations, trade show exhibit expenses and allocated occupancy costs and related overhead.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83"/>
        </w:trPr>
        <w:tc>
          <w:tcPr>
            <w:tcW w:w="6280" w:type="dxa"/>
            <w:vAlign w:val="bottom"/>
            <w:tcBorders>
              <w:bottom w:val="single" w:sz="8" w:color="CDFFC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rPr>
              <w:t>($ in thousands)</w:t>
            </w:r>
          </w:p>
        </w:tc>
        <w:tc>
          <w:tcPr>
            <w:tcW w:w="1020" w:type="dxa"/>
            <w:vAlign w:val="bottom"/>
            <w:tcBorders>
              <w:bottom w:val="single" w:sz="8" w:color="auto"/>
            </w:tcBorders>
          </w:tcPr>
          <w:p>
            <w:pPr>
              <w:spacing w:after="0"/>
              <w:rPr>
                <w:sz w:val="15"/>
                <w:szCs w:val="15"/>
                <w:color w:val="auto"/>
              </w:rPr>
            </w:pPr>
          </w:p>
        </w:tc>
        <w:tc>
          <w:tcPr>
            <w:tcW w:w="380" w:type="dxa"/>
            <w:vAlign w:val="bottom"/>
            <w:tcBorders>
              <w:bottom w:val="single" w:sz="8" w:color="CDFFCC"/>
            </w:tcBorders>
          </w:tcPr>
          <w:p>
            <w:pPr>
              <w:spacing w:after="0"/>
              <w:rPr>
                <w:sz w:val="15"/>
                <w:szCs w:val="15"/>
                <w:color w:val="auto"/>
              </w:rPr>
            </w:pPr>
          </w:p>
        </w:tc>
        <w:tc>
          <w:tcPr>
            <w:tcW w:w="1280" w:type="dxa"/>
            <w:vAlign w:val="bottom"/>
            <w:tcBorders>
              <w:bottom w:val="single" w:sz="8" w:color="CDFFCC"/>
            </w:tcBorders>
          </w:tcPr>
          <w:p>
            <w:pPr>
              <w:spacing w:after="0"/>
              <w:rPr>
                <w:sz w:val="15"/>
                <w:szCs w:val="15"/>
                <w:color w:val="auto"/>
              </w:rPr>
            </w:pPr>
          </w:p>
        </w:tc>
        <w:tc>
          <w:tcPr>
            <w:tcW w:w="100" w:type="dxa"/>
            <w:vAlign w:val="bottom"/>
            <w:tcBorders>
              <w:bottom w:val="single" w:sz="8" w:color="CDFFCC"/>
            </w:tcBorders>
          </w:tcPr>
          <w:p>
            <w:pPr>
              <w:spacing w:after="0"/>
              <w:rPr>
                <w:sz w:val="15"/>
                <w:szCs w:val="15"/>
                <w:color w:val="auto"/>
              </w:rPr>
            </w:pPr>
          </w:p>
        </w:tc>
      </w:tr>
      <w:tr>
        <w:trPr>
          <w:trHeight w:val="211"/>
        </w:trPr>
        <w:tc>
          <w:tcPr>
            <w:tcW w:w="6280" w:type="dxa"/>
            <w:vAlign w:val="bottom"/>
            <w:shd w:val="clear" w:color="auto" w:fill="CDFFCC"/>
          </w:tcPr>
          <w:p>
            <w:pPr>
              <w:ind w:left="20"/>
              <w:spacing w:after="0"/>
              <w:rPr>
                <w:sz w:val="20"/>
                <w:szCs w:val="20"/>
                <w:color w:val="auto"/>
              </w:rPr>
            </w:pPr>
            <w:r>
              <w:rPr>
                <w:rFonts w:ascii="Arial" w:cs="Arial" w:eastAsia="Arial" w:hAnsi="Arial"/>
                <w:sz w:val="16"/>
                <w:szCs w:val="16"/>
                <w:color w:val="auto"/>
              </w:rPr>
              <w:t>Sales and marketing - business</w:t>
            </w:r>
          </w:p>
        </w:tc>
        <w:tc>
          <w:tcPr>
            <w:tcW w:w="360" w:type="dxa"/>
            <w:vAlign w:val="bottom"/>
            <w:shd w:val="clear" w:color="auto" w:fill="CDFFCC"/>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30,203</w:t>
            </w:r>
          </w:p>
        </w:tc>
        <w:tc>
          <w:tcPr>
            <w:tcW w:w="800" w:type="dxa"/>
            <w:vAlign w:val="bottom"/>
            <w:shd w:val="clear" w:color="auto" w:fill="CDFFCC"/>
          </w:tcPr>
          <w:p>
            <w:pPr>
              <w:jc w:val="right"/>
              <w:ind w:right="34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DFFCC"/>
          </w:tcPr>
          <w:p>
            <w:pPr>
              <w:jc w:val="right"/>
              <w:ind w:right="141"/>
              <w:spacing w:after="0"/>
              <w:rPr>
                <w:sz w:val="20"/>
                <w:szCs w:val="20"/>
                <w:color w:val="auto"/>
              </w:rPr>
            </w:pPr>
            <w:r>
              <w:rPr>
                <w:rFonts w:ascii="Arial" w:cs="Arial" w:eastAsia="Arial" w:hAnsi="Arial"/>
                <w:sz w:val="16"/>
                <w:szCs w:val="16"/>
                <w:color w:val="auto"/>
              </w:rPr>
              <w:t>37,469</w:t>
            </w:r>
          </w:p>
        </w:tc>
        <w:tc>
          <w:tcPr>
            <w:tcW w:w="380" w:type="dxa"/>
            <w:vAlign w:val="bottom"/>
            <w:shd w:val="clear" w:color="auto" w:fill="CDFFCC"/>
          </w:tcPr>
          <w:p>
            <w:pPr>
              <w:spacing w:after="0"/>
              <w:rPr>
                <w:sz w:val="18"/>
                <w:szCs w:val="18"/>
                <w:color w:val="auto"/>
              </w:rPr>
            </w:pPr>
          </w:p>
        </w:tc>
        <w:tc>
          <w:tcPr>
            <w:tcW w:w="128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DFFCC"/>
          </w:tcPr>
          <w:p>
            <w:pPr>
              <w:spacing w:after="0"/>
              <w:rPr>
                <w:sz w:val="18"/>
                <w:szCs w:val="18"/>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60" w:type="dxa"/>
            <w:vAlign w:val="bottom"/>
          </w:tcPr>
          <w:p>
            <w:pPr>
              <w:spacing w:after="0"/>
              <w:rPr>
                <w:sz w:val="18"/>
                <w:szCs w:val="18"/>
                <w:color w:val="auto"/>
              </w:rPr>
            </w:pPr>
          </w:p>
        </w:tc>
        <w:tc>
          <w:tcPr>
            <w:tcW w:w="1820" w:type="dxa"/>
            <w:vAlign w:val="bottom"/>
            <w:gridSpan w:val="2"/>
          </w:tcPr>
          <w:p>
            <w:pPr>
              <w:jc w:val="right"/>
              <w:ind w:right="584"/>
              <w:spacing w:after="0"/>
              <w:rPr>
                <w:sz w:val="20"/>
                <w:szCs w:val="20"/>
                <w:color w:val="auto"/>
              </w:rPr>
            </w:pPr>
            <w:r>
              <w:rPr>
                <w:rFonts w:ascii="Arial" w:cs="Arial" w:eastAsia="Arial" w:hAnsi="Arial"/>
                <w:sz w:val="16"/>
                <w:szCs w:val="16"/>
                <w:color w:val="auto"/>
              </w:rPr>
              <w:t>28 %</w:t>
            </w:r>
          </w:p>
        </w:tc>
        <w:tc>
          <w:tcPr>
            <w:tcW w:w="1020" w:type="dxa"/>
            <w:vAlign w:val="bottom"/>
          </w:tcPr>
          <w:p>
            <w:pPr>
              <w:jc w:val="right"/>
              <w:spacing w:after="0"/>
              <w:rPr>
                <w:sz w:val="20"/>
                <w:szCs w:val="20"/>
                <w:color w:val="auto"/>
              </w:rPr>
            </w:pPr>
            <w:r>
              <w:rPr>
                <w:rFonts w:ascii="Arial" w:cs="Arial" w:eastAsia="Arial" w:hAnsi="Arial"/>
                <w:sz w:val="16"/>
                <w:szCs w:val="16"/>
                <w:color w:val="auto"/>
              </w:rPr>
              <w:t>48 %</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280" w:type="dxa"/>
            <w:vAlign w:val="bottom"/>
            <w:shd w:val="clear" w:color="auto" w:fill="CDFFCC"/>
          </w:tcPr>
          <w:p>
            <w:pPr>
              <w:ind w:left="20"/>
              <w:spacing w:after="0"/>
              <w:rPr>
                <w:sz w:val="20"/>
                <w:szCs w:val="20"/>
                <w:color w:val="auto"/>
              </w:rPr>
            </w:pPr>
            <w:r>
              <w:rPr>
                <w:rFonts w:ascii="Arial" w:cs="Arial" w:eastAsia="Arial" w:hAnsi="Arial"/>
                <w:sz w:val="16"/>
                <w:szCs w:val="16"/>
                <w:color w:val="auto"/>
              </w:rPr>
              <w:t>Headcount (at period end):</w:t>
            </w:r>
          </w:p>
        </w:tc>
        <w:tc>
          <w:tcPr>
            <w:tcW w:w="36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312</w:t>
            </w:r>
          </w:p>
        </w:tc>
        <w:tc>
          <w:tcPr>
            <w:tcW w:w="800" w:type="dxa"/>
            <w:vAlign w:val="bottom"/>
            <w:shd w:val="clear" w:color="auto" w:fill="CDFFCC"/>
          </w:tcPr>
          <w:p>
            <w:pPr>
              <w:spacing w:after="0"/>
              <w:rPr>
                <w:sz w:val="19"/>
                <w:szCs w:val="19"/>
                <w:color w:val="auto"/>
              </w:rPr>
            </w:pPr>
          </w:p>
        </w:tc>
        <w:tc>
          <w:tcPr>
            <w:tcW w:w="1020" w:type="dxa"/>
            <w:vAlign w:val="bottom"/>
            <w:shd w:val="clear" w:color="auto" w:fill="CDFFCC"/>
          </w:tcPr>
          <w:p>
            <w:pPr>
              <w:jc w:val="right"/>
              <w:ind w:right="141"/>
              <w:spacing w:after="0"/>
              <w:rPr>
                <w:sz w:val="20"/>
                <w:szCs w:val="20"/>
                <w:color w:val="auto"/>
              </w:rPr>
            </w:pPr>
            <w:r>
              <w:rPr>
                <w:rFonts w:ascii="Arial" w:cs="Arial" w:eastAsia="Arial" w:hAnsi="Arial"/>
                <w:sz w:val="16"/>
                <w:szCs w:val="16"/>
                <w:color w:val="auto"/>
              </w:rPr>
              <w:t>357</w:t>
            </w:r>
          </w:p>
        </w:tc>
        <w:tc>
          <w:tcPr>
            <w:tcW w:w="380" w:type="dxa"/>
            <w:vAlign w:val="bottom"/>
            <w:shd w:val="clear" w:color="auto" w:fill="CDFFCC"/>
          </w:tcPr>
          <w:p>
            <w:pPr>
              <w:spacing w:after="0"/>
              <w:rPr>
                <w:sz w:val="19"/>
                <w:szCs w:val="19"/>
                <w:color w:val="auto"/>
              </w:rPr>
            </w:pPr>
          </w:p>
        </w:tc>
        <w:tc>
          <w:tcPr>
            <w:tcW w:w="128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DFFCC"/>
          </w:tcPr>
          <w:p>
            <w:pPr>
              <w:spacing w:after="0"/>
              <w:rPr>
                <w:sz w:val="19"/>
                <w:szCs w:val="19"/>
                <w:color w:val="auto"/>
              </w:rPr>
            </w:pPr>
          </w:p>
        </w:tc>
      </w:tr>
    </w:tbl>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Sales and marketing - business expenses decreased by 19% to $30.2 million in the three months ended March 31, 2021 from $37.5 million in the comparable period in 2020. This variance was primarily attributable to a decrease in salary and related employee expenses of approximately $3.9 million, a decrease in business services of approximately $2.2 million,, a decrease in marketing expense of approximately $0.8 million, a decrease in backup server facilities of approximately $0.3 million, and a decrease in depreciation expense of approximately $0.1 million. These decreases were partially offset in part by an increase in recruiting expenses of approximately $0.1 million.</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been able to adjust its marketing and hiring efforts to account for the impact of the COVID-19 pandemic. Additionally, we have adapted our marketing strategy to include targeted digital experiences that emphasize the unique positioning of our messaging and AI offerings to help brands succeed in this new environment. Our marketing message has shifted to include business continuity and virtualization of the contact center in addition to business improvement.</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 Consumer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 consumer expenses consist of compensation and related expenses for marketing personnel, as well as online promotion, public relations and allocated occupancy costs and related overhead.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3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83"/>
        </w:trPr>
        <w:tc>
          <w:tcPr>
            <w:tcW w:w="6320" w:type="dxa"/>
            <w:vAlign w:val="bottom"/>
            <w:tcBorders>
              <w:bottom w:val="single" w:sz="8" w:color="CDFFCC"/>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425"/>
              <w:spacing w:after="0"/>
              <w:rPr>
                <w:sz w:val="20"/>
                <w:szCs w:val="20"/>
                <w:color w:val="auto"/>
              </w:rPr>
            </w:pPr>
            <w:r>
              <w:rPr>
                <w:rFonts w:ascii="Arial" w:cs="Arial" w:eastAsia="Arial" w:hAnsi="Arial"/>
                <w:sz w:val="14"/>
                <w:szCs w:val="14"/>
                <w:b w:val="1"/>
                <w:bCs w:val="1"/>
                <w:color w:val="auto"/>
              </w:rPr>
              <w:t>($ in thousands)</w:t>
            </w: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CDFFCC"/>
            </w:tcBorders>
          </w:tcPr>
          <w:p>
            <w:pPr>
              <w:spacing w:after="0"/>
              <w:rPr>
                <w:sz w:val="15"/>
                <w:szCs w:val="15"/>
                <w:color w:val="auto"/>
              </w:rPr>
            </w:pPr>
          </w:p>
        </w:tc>
        <w:tc>
          <w:tcPr>
            <w:tcW w:w="1260" w:type="dxa"/>
            <w:vAlign w:val="bottom"/>
            <w:tcBorders>
              <w:bottom w:val="single" w:sz="8" w:color="CDFFCC"/>
            </w:tcBorders>
          </w:tcPr>
          <w:p>
            <w:pPr>
              <w:spacing w:after="0"/>
              <w:rPr>
                <w:sz w:val="15"/>
                <w:szCs w:val="15"/>
                <w:color w:val="auto"/>
              </w:rPr>
            </w:pPr>
          </w:p>
        </w:tc>
        <w:tc>
          <w:tcPr>
            <w:tcW w:w="100" w:type="dxa"/>
            <w:vAlign w:val="bottom"/>
            <w:tcBorders>
              <w:bottom w:val="single" w:sz="8" w:color="CDFFCC"/>
            </w:tcBorders>
          </w:tcPr>
          <w:p>
            <w:pPr>
              <w:spacing w:after="0"/>
              <w:rPr>
                <w:sz w:val="15"/>
                <w:szCs w:val="15"/>
                <w:color w:val="auto"/>
              </w:rPr>
            </w:pPr>
          </w:p>
        </w:tc>
      </w:tr>
      <w:tr>
        <w:trPr>
          <w:trHeight w:val="211"/>
        </w:trPr>
        <w:tc>
          <w:tcPr>
            <w:tcW w:w="6320" w:type="dxa"/>
            <w:vAlign w:val="bottom"/>
            <w:shd w:val="clear" w:color="auto" w:fill="CDFFCC"/>
          </w:tcPr>
          <w:p>
            <w:pPr>
              <w:ind w:left="20"/>
              <w:spacing w:after="0"/>
              <w:rPr>
                <w:sz w:val="20"/>
                <w:szCs w:val="20"/>
                <w:color w:val="auto"/>
              </w:rPr>
            </w:pPr>
            <w:r>
              <w:rPr>
                <w:rFonts w:ascii="Arial" w:cs="Arial" w:eastAsia="Arial" w:hAnsi="Arial"/>
                <w:sz w:val="16"/>
                <w:szCs w:val="16"/>
                <w:color w:val="auto"/>
              </w:rPr>
              <w:t>Sales and marketing - consumer</w:t>
            </w:r>
          </w:p>
        </w:tc>
        <w:tc>
          <w:tcPr>
            <w:tcW w:w="940" w:type="dxa"/>
            <w:vAlign w:val="bottom"/>
            <w:shd w:val="clear" w:color="auto" w:fill="CDFFCC"/>
          </w:tcPr>
          <w:p>
            <w:pPr>
              <w:jc w:val="right"/>
              <w:ind w:right="76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DFFCC"/>
          </w:tcPr>
          <w:p>
            <w:pPr>
              <w:jc w:val="right"/>
              <w:spacing w:after="0"/>
              <w:rPr>
                <w:sz w:val="20"/>
                <w:szCs w:val="20"/>
                <w:color w:val="auto"/>
              </w:rPr>
            </w:pPr>
            <w:r>
              <w:rPr>
                <w:rFonts w:ascii="Arial" w:cs="Arial" w:eastAsia="Arial" w:hAnsi="Arial"/>
                <w:sz w:val="16"/>
                <w:szCs w:val="16"/>
                <w:color w:val="auto"/>
                <w:w w:val="89"/>
              </w:rPr>
              <w:t>6,750</w:t>
            </w:r>
          </w:p>
        </w:tc>
        <w:tc>
          <w:tcPr>
            <w:tcW w:w="1200" w:type="dxa"/>
            <w:vAlign w:val="bottom"/>
            <w:shd w:val="clear" w:color="auto" w:fill="CDFFCC"/>
          </w:tcPr>
          <w:p>
            <w:pPr>
              <w:jc w:val="right"/>
              <w:ind w:right="765"/>
              <w:spacing w:after="0"/>
              <w:rPr>
                <w:sz w:val="20"/>
                <w:szCs w:val="20"/>
                <w:color w:val="auto"/>
              </w:rPr>
            </w:pPr>
            <w:r>
              <w:rPr>
                <w:rFonts w:ascii="Arial" w:cs="Arial" w:eastAsia="Arial" w:hAnsi="Arial"/>
                <w:sz w:val="16"/>
                <w:szCs w:val="16"/>
                <w:color w:val="auto"/>
              </w:rPr>
              <w:t>$</w:t>
            </w:r>
          </w:p>
        </w:tc>
        <w:tc>
          <w:tcPr>
            <w:tcW w:w="580" w:type="dxa"/>
            <w:vAlign w:val="bottom"/>
            <w:shd w:val="clear" w:color="auto" w:fill="CDFFCC"/>
          </w:tcPr>
          <w:p>
            <w:pPr>
              <w:jc w:val="right"/>
              <w:ind w:right="119"/>
              <w:spacing w:after="0"/>
              <w:rPr>
                <w:sz w:val="20"/>
                <w:szCs w:val="20"/>
                <w:color w:val="auto"/>
              </w:rPr>
            </w:pPr>
            <w:r>
              <w:rPr>
                <w:rFonts w:ascii="Arial" w:cs="Arial" w:eastAsia="Arial" w:hAnsi="Arial"/>
                <w:sz w:val="16"/>
                <w:szCs w:val="16"/>
                <w:color w:val="auto"/>
                <w:w w:val="89"/>
              </w:rPr>
              <w:t>5,211</w:t>
            </w:r>
          </w:p>
        </w:tc>
        <w:tc>
          <w:tcPr>
            <w:tcW w:w="400" w:type="dxa"/>
            <w:vAlign w:val="bottom"/>
            <w:shd w:val="clear" w:color="auto" w:fill="CDFFCC"/>
          </w:tcPr>
          <w:p>
            <w:pPr>
              <w:spacing w:after="0"/>
              <w:rPr>
                <w:sz w:val="18"/>
                <w:szCs w:val="18"/>
                <w:color w:val="auto"/>
              </w:rPr>
            </w:pPr>
          </w:p>
        </w:tc>
        <w:tc>
          <w:tcPr>
            <w:tcW w:w="12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DFFCC"/>
          </w:tcPr>
          <w:p>
            <w:pPr>
              <w:spacing w:after="0"/>
              <w:rPr>
                <w:sz w:val="18"/>
                <w:szCs w:val="18"/>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940" w:type="dxa"/>
            <w:vAlign w:val="bottom"/>
          </w:tcPr>
          <w:p>
            <w:pPr>
              <w:spacing w:after="0"/>
              <w:rPr>
                <w:sz w:val="18"/>
                <w:szCs w:val="18"/>
                <w:color w:val="auto"/>
              </w:rPr>
            </w:pPr>
          </w:p>
        </w:tc>
        <w:tc>
          <w:tcPr>
            <w:tcW w:w="1640" w:type="dxa"/>
            <w:vAlign w:val="bottom"/>
            <w:gridSpan w:val="2"/>
          </w:tcPr>
          <w:p>
            <w:pPr>
              <w:jc w:val="right"/>
              <w:ind w:right="985"/>
              <w:spacing w:after="0"/>
              <w:rPr>
                <w:sz w:val="20"/>
                <w:szCs w:val="20"/>
                <w:color w:val="auto"/>
              </w:rPr>
            </w:pPr>
            <w:r>
              <w:rPr>
                <w:rFonts w:ascii="Arial" w:cs="Arial" w:eastAsia="Arial" w:hAnsi="Arial"/>
                <w:sz w:val="16"/>
                <w:szCs w:val="16"/>
                <w:color w:val="auto"/>
              </w:rPr>
              <w:t>6 %</w:t>
            </w:r>
          </w:p>
        </w:tc>
        <w:tc>
          <w:tcPr>
            <w:tcW w:w="580" w:type="dxa"/>
            <w:vAlign w:val="bottom"/>
          </w:tcPr>
          <w:p>
            <w:pPr>
              <w:jc w:val="right"/>
              <w:spacing w:after="0"/>
              <w:rPr>
                <w:sz w:val="20"/>
                <w:szCs w:val="20"/>
                <w:color w:val="auto"/>
              </w:rPr>
            </w:pPr>
            <w:r>
              <w:rPr>
                <w:rFonts w:ascii="Arial" w:cs="Arial" w:eastAsia="Arial" w:hAnsi="Arial"/>
                <w:sz w:val="16"/>
                <w:szCs w:val="16"/>
                <w:color w:val="auto"/>
              </w:rPr>
              <w:t>7 %</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320" w:type="dxa"/>
            <w:vAlign w:val="bottom"/>
            <w:shd w:val="clear" w:color="auto" w:fill="CDFFCC"/>
          </w:tcPr>
          <w:p>
            <w:pPr>
              <w:ind w:left="20"/>
              <w:spacing w:after="0"/>
              <w:rPr>
                <w:sz w:val="20"/>
                <w:szCs w:val="20"/>
                <w:color w:val="auto"/>
              </w:rPr>
            </w:pPr>
            <w:r>
              <w:rPr>
                <w:rFonts w:ascii="Arial" w:cs="Arial" w:eastAsia="Arial" w:hAnsi="Arial"/>
                <w:sz w:val="16"/>
                <w:szCs w:val="16"/>
                <w:color w:val="auto"/>
              </w:rPr>
              <w:t>Headcount (at period end):</w:t>
            </w:r>
          </w:p>
        </w:tc>
        <w:tc>
          <w:tcPr>
            <w:tcW w:w="940" w:type="dxa"/>
            <w:vAlign w:val="bottom"/>
            <w:shd w:val="clear" w:color="auto" w:fill="CDFFCC"/>
          </w:tcPr>
          <w:p>
            <w:pPr>
              <w:spacing w:after="0"/>
              <w:rPr>
                <w:sz w:val="19"/>
                <w:szCs w:val="19"/>
                <w:color w:val="auto"/>
              </w:rPr>
            </w:pPr>
          </w:p>
        </w:tc>
        <w:tc>
          <w:tcPr>
            <w:tcW w:w="44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19</w:t>
            </w:r>
          </w:p>
        </w:tc>
        <w:tc>
          <w:tcPr>
            <w:tcW w:w="1200" w:type="dxa"/>
            <w:vAlign w:val="bottom"/>
            <w:shd w:val="clear" w:color="auto" w:fill="CDFFCC"/>
          </w:tcPr>
          <w:p>
            <w:pPr>
              <w:spacing w:after="0"/>
              <w:rPr>
                <w:sz w:val="19"/>
                <w:szCs w:val="19"/>
                <w:color w:val="auto"/>
              </w:rPr>
            </w:pPr>
          </w:p>
        </w:tc>
        <w:tc>
          <w:tcPr>
            <w:tcW w:w="580" w:type="dxa"/>
            <w:vAlign w:val="bottom"/>
            <w:shd w:val="clear" w:color="auto" w:fill="CDFFCC"/>
          </w:tcPr>
          <w:p>
            <w:pPr>
              <w:jc w:val="right"/>
              <w:ind w:right="119"/>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DFFCC"/>
          </w:tcPr>
          <w:p>
            <w:pPr>
              <w:spacing w:after="0"/>
              <w:rPr>
                <w:sz w:val="19"/>
                <w:szCs w:val="19"/>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 consumer expenses increased by 30% to $6.8 million in the three months ended March 31, 2021 from $5.2 million in the comparable period in 2020. This increase is primarily attributable to an increase in marketing expense of approximately $1.1 million and in business services expense of approximately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83"/>
        </w:trPr>
        <w:tc>
          <w:tcPr>
            <w:tcW w:w="6340" w:type="dxa"/>
            <w:vAlign w:val="bottom"/>
            <w:tcBorders>
              <w:bottom w:val="single" w:sz="8" w:color="CDFFC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rPr>
              <w:t>($ in thousands)</w:t>
            </w: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CDFFCC"/>
            </w:tcBorders>
          </w:tcPr>
          <w:p>
            <w:pPr>
              <w:spacing w:after="0"/>
              <w:rPr>
                <w:sz w:val="15"/>
                <w:szCs w:val="15"/>
                <w:color w:val="auto"/>
              </w:rPr>
            </w:pPr>
          </w:p>
        </w:tc>
        <w:tc>
          <w:tcPr>
            <w:tcW w:w="1260" w:type="dxa"/>
            <w:vAlign w:val="bottom"/>
            <w:tcBorders>
              <w:bottom w:val="single" w:sz="8" w:color="CDFFCC"/>
            </w:tcBorders>
          </w:tcPr>
          <w:p>
            <w:pPr>
              <w:spacing w:after="0"/>
              <w:rPr>
                <w:sz w:val="15"/>
                <w:szCs w:val="15"/>
                <w:color w:val="auto"/>
              </w:rPr>
            </w:pPr>
          </w:p>
        </w:tc>
        <w:tc>
          <w:tcPr>
            <w:tcW w:w="100" w:type="dxa"/>
            <w:vAlign w:val="bottom"/>
            <w:tcBorders>
              <w:bottom w:val="single" w:sz="8" w:color="CDFFCC"/>
            </w:tcBorders>
          </w:tcPr>
          <w:p>
            <w:pPr>
              <w:spacing w:after="0"/>
              <w:rPr>
                <w:sz w:val="15"/>
                <w:szCs w:val="15"/>
                <w:color w:val="auto"/>
              </w:rPr>
            </w:pPr>
          </w:p>
        </w:tc>
      </w:tr>
      <w:tr>
        <w:trPr>
          <w:trHeight w:val="211"/>
        </w:trPr>
        <w:tc>
          <w:tcPr>
            <w:tcW w:w="6340" w:type="dxa"/>
            <w:vAlign w:val="bottom"/>
            <w:shd w:val="clear" w:color="auto" w:fill="CDFFCC"/>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DFFCC"/>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14,486</w:t>
            </w:r>
          </w:p>
        </w:tc>
        <w:tc>
          <w:tcPr>
            <w:tcW w:w="800" w:type="dxa"/>
            <w:vAlign w:val="bottom"/>
            <w:shd w:val="clear" w:color="auto" w:fill="CDFFCC"/>
          </w:tcPr>
          <w:p>
            <w:pPr>
              <w:jc w:val="right"/>
              <w:ind w:right="34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DFFCC"/>
          </w:tcPr>
          <w:p>
            <w:pPr>
              <w:jc w:val="right"/>
              <w:ind w:right="121"/>
              <w:spacing w:after="0"/>
              <w:rPr>
                <w:sz w:val="20"/>
                <w:szCs w:val="20"/>
                <w:color w:val="auto"/>
              </w:rPr>
            </w:pPr>
            <w:r>
              <w:rPr>
                <w:rFonts w:ascii="Arial" w:cs="Arial" w:eastAsia="Arial" w:hAnsi="Arial"/>
                <w:sz w:val="16"/>
                <w:szCs w:val="16"/>
                <w:color w:val="auto"/>
              </w:rPr>
              <w:t>16,469</w:t>
            </w:r>
          </w:p>
        </w:tc>
        <w:tc>
          <w:tcPr>
            <w:tcW w:w="380" w:type="dxa"/>
            <w:vAlign w:val="bottom"/>
            <w:shd w:val="clear" w:color="auto" w:fill="CDFFCC"/>
          </w:tcPr>
          <w:p>
            <w:pPr>
              <w:spacing w:after="0"/>
              <w:rPr>
                <w:sz w:val="18"/>
                <w:szCs w:val="18"/>
                <w:color w:val="auto"/>
              </w:rPr>
            </w:pPr>
          </w:p>
        </w:tc>
        <w:tc>
          <w:tcPr>
            <w:tcW w:w="12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DFFCC"/>
          </w:tcPr>
          <w:p>
            <w:pPr>
              <w:spacing w:after="0"/>
              <w:rPr>
                <w:sz w:val="18"/>
                <w:szCs w:val="18"/>
                <w:color w:val="auto"/>
              </w:rPr>
            </w:pP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60" w:type="dxa"/>
            <w:vAlign w:val="bottom"/>
          </w:tcPr>
          <w:p>
            <w:pPr>
              <w:spacing w:after="0"/>
              <w:rPr>
                <w:sz w:val="18"/>
                <w:szCs w:val="18"/>
                <w:color w:val="auto"/>
              </w:rPr>
            </w:pPr>
          </w:p>
        </w:tc>
        <w:tc>
          <w:tcPr>
            <w:tcW w:w="1800" w:type="dxa"/>
            <w:vAlign w:val="bottom"/>
            <w:gridSpan w:val="2"/>
          </w:tcPr>
          <w:p>
            <w:pPr>
              <w:jc w:val="right"/>
              <w:ind w:right="584"/>
              <w:spacing w:after="0"/>
              <w:rPr>
                <w:sz w:val="20"/>
                <w:szCs w:val="20"/>
                <w:color w:val="auto"/>
              </w:rPr>
            </w:pPr>
            <w:r>
              <w:rPr>
                <w:rFonts w:ascii="Arial" w:cs="Arial" w:eastAsia="Arial" w:hAnsi="Arial"/>
                <w:sz w:val="16"/>
                <w:szCs w:val="16"/>
                <w:color w:val="auto"/>
              </w:rPr>
              <w:t>13 %</w:t>
            </w:r>
          </w:p>
        </w:tc>
        <w:tc>
          <w:tcPr>
            <w:tcW w:w="1000" w:type="dxa"/>
            <w:vAlign w:val="bottom"/>
          </w:tcPr>
          <w:p>
            <w:pPr>
              <w:jc w:val="right"/>
              <w:spacing w:after="0"/>
              <w:rPr>
                <w:sz w:val="20"/>
                <w:szCs w:val="20"/>
                <w:color w:val="auto"/>
              </w:rPr>
            </w:pPr>
            <w:r>
              <w:rPr>
                <w:rFonts w:ascii="Arial" w:cs="Arial" w:eastAsia="Arial" w:hAnsi="Arial"/>
                <w:sz w:val="16"/>
                <w:szCs w:val="16"/>
                <w:color w:val="auto"/>
              </w:rPr>
              <w:t>21 %</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340" w:type="dxa"/>
            <w:vAlign w:val="bottom"/>
            <w:shd w:val="clear" w:color="auto" w:fill="CDFFCC"/>
          </w:tcPr>
          <w:p>
            <w:pPr>
              <w:ind w:left="20"/>
              <w:spacing w:after="0"/>
              <w:rPr>
                <w:sz w:val="20"/>
                <w:szCs w:val="20"/>
                <w:color w:val="auto"/>
              </w:rPr>
            </w:pPr>
            <w:r>
              <w:rPr>
                <w:rFonts w:ascii="Arial" w:cs="Arial" w:eastAsia="Arial" w:hAnsi="Arial"/>
                <w:sz w:val="16"/>
                <w:szCs w:val="16"/>
                <w:color w:val="auto"/>
              </w:rPr>
              <w:t>Headcount (at period end):</w:t>
            </w:r>
          </w:p>
        </w:tc>
        <w:tc>
          <w:tcPr>
            <w:tcW w:w="360" w:type="dxa"/>
            <w:vAlign w:val="bottom"/>
            <w:shd w:val="clear" w:color="auto" w:fill="CDFFCC"/>
          </w:tcPr>
          <w:p>
            <w:pPr>
              <w:spacing w:after="0"/>
              <w:rPr>
                <w:sz w:val="19"/>
                <w:szCs w:val="19"/>
                <w:color w:val="auto"/>
              </w:rPr>
            </w:pPr>
          </w:p>
        </w:tc>
        <w:tc>
          <w:tcPr>
            <w:tcW w:w="100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111</w:t>
            </w:r>
          </w:p>
        </w:tc>
        <w:tc>
          <w:tcPr>
            <w:tcW w:w="800" w:type="dxa"/>
            <w:vAlign w:val="bottom"/>
            <w:shd w:val="clear" w:color="auto" w:fill="CDFFCC"/>
          </w:tcPr>
          <w:p>
            <w:pPr>
              <w:spacing w:after="0"/>
              <w:rPr>
                <w:sz w:val="19"/>
                <w:szCs w:val="19"/>
                <w:color w:val="auto"/>
              </w:rPr>
            </w:pPr>
          </w:p>
        </w:tc>
        <w:tc>
          <w:tcPr>
            <w:tcW w:w="1000" w:type="dxa"/>
            <w:vAlign w:val="bottom"/>
            <w:shd w:val="clear" w:color="auto" w:fill="CDFFCC"/>
          </w:tcPr>
          <w:p>
            <w:pPr>
              <w:jc w:val="right"/>
              <w:ind w:right="121"/>
              <w:spacing w:after="0"/>
              <w:rPr>
                <w:sz w:val="20"/>
                <w:szCs w:val="20"/>
                <w:color w:val="auto"/>
              </w:rPr>
            </w:pPr>
            <w:r>
              <w:rPr>
                <w:rFonts w:ascii="Arial" w:cs="Arial" w:eastAsia="Arial" w:hAnsi="Arial"/>
                <w:sz w:val="16"/>
                <w:szCs w:val="16"/>
                <w:color w:val="auto"/>
              </w:rPr>
              <w:t>146</w:t>
            </w:r>
          </w:p>
        </w:tc>
        <w:tc>
          <w:tcPr>
            <w:tcW w:w="38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DFFCC"/>
          </w:tcPr>
          <w:p>
            <w:pPr>
              <w:spacing w:after="0"/>
              <w:rPr>
                <w:sz w:val="19"/>
                <w:szCs w:val="19"/>
                <w:color w:val="auto"/>
              </w:rPr>
            </w:pPr>
          </w:p>
        </w:tc>
      </w:tr>
    </w:tbl>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decreased by 12% to $14.5 million in the three months ended March 31, 2021 from $16.5 million in the comparable period in 2020. This is primarily related to a decrease in facilities of approximately $2.6 million and in salary and employee related expenses of approximately $1.7 million. These decreases were offset in part by an increase in business services and outsourced labor of approximately $1.7 million, an increase in taxes of $0.4 million, and an increase in insurance expense of $0.2 million.</w:t>
      </w:r>
    </w:p>
    <w:p>
      <w:pPr>
        <w:spacing w:after="0" w:line="79" w:lineRule="exact"/>
        <w:rPr>
          <w:sz w:val="20"/>
          <w:szCs w:val="20"/>
          <w:color w:val="auto"/>
        </w:rPr>
      </w:pPr>
    </w:p>
    <w:p>
      <w:pPr>
        <w:ind w:right="400" w:firstLine="324"/>
        <w:spacing w:after="0" w:line="311" w:lineRule="auto"/>
        <w:rPr>
          <w:sz w:val="20"/>
          <w:szCs w:val="20"/>
          <w:color w:val="auto"/>
        </w:rPr>
      </w:pPr>
      <w:r>
        <w:rPr>
          <w:rFonts w:ascii="Arial" w:cs="Arial" w:eastAsia="Arial" w:hAnsi="Arial"/>
          <w:sz w:val="16"/>
          <w:szCs w:val="16"/>
          <w:color w:val="auto"/>
        </w:rPr>
        <w:t>General and administrative expense as a percentage of revenue has decreased primarily as a result our continued deferral of hiring, outside of core growth areas, as our internal automation initiatives have enhanced employee productivity. Additionally, the reduction in rent expense after officially transitioning to a “work from home” model in the three month period ended March 31, 2021, also contributed to the decrease.</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Development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83"/>
        </w:trPr>
        <w:tc>
          <w:tcPr>
            <w:tcW w:w="6240" w:type="dxa"/>
            <w:vAlign w:val="bottom"/>
            <w:tcBorders>
              <w:bottom w:val="single" w:sz="8" w:color="CDFFC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 in thousands)</w:t>
            </w: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CDFFCC"/>
            </w:tcBorders>
          </w:tcPr>
          <w:p>
            <w:pPr>
              <w:spacing w:after="0"/>
              <w:rPr>
                <w:sz w:val="15"/>
                <w:szCs w:val="15"/>
                <w:color w:val="auto"/>
              </w:rPr>
            </w:pPr>
          </w:p>
        </w:tc>
        <w:tc>
          <w:tcPr>
            <w:tcW w:w="1260" w:type="dxa"/>
            <w:vAlign w:val="bottom"/>
            <w:tcBorders>
              <w:bottom w:val="single" w:sz="8" w:color="CDFFCC"/>
            </w:tcBorders>
          </w:tcPr>
          <w:p>
            <w:pPr>
              <w:spacing w:after="0"/>
              <w:rPr>
                <w:sz w:val="15"/>
                <w:szCs w:val="15"/>
                <w:color w:val="auto"/>
              </w:rPr>
            </w:pPr>
          </w:p>
        </w:tc>
        <w:tc>
          <w:tcPr>
            <w:tcW w:w="100" w:type="dxa"/>
            <w:vAlign w:val="bottom"/>
            <w:tcBorders>
              <w:bottom w:val="single" w:sz="8" w:color="CDFFCC"/>
            </w:tcBorders>
          </w:tcPr>
          <w:p>
            <w:pPr>
              <w:spacing w:after="0"/>
              <w:rPr>
                <w:sz w:val="15"/>
                <w:szCs w:val="15"/>
                <w:color w:val="auto"/>
              </w:rPr>
            </w:pPr>
          </w:p>
        </w:tc>
      </w:tr>
      <w:tr>
        <w:trPr>
          <w:trHeight w:val="211"/>
        </w:trPr>
        <w:tc>
          <w:tcPr>
            <w:tcW w:w="6240" w:type="dxa"/>
            <w:vAlign w:val="bottom"/>
            <w:shd w:val="clear" w:color="auto" w:fill="CDFFCC"/>
          </w:tcPr>
          <w:p>
            <w:pPr>
              <w:ind w:left="20"/>
              <w:spacing w:after="0"/>
              <w:rPr>
                <w:sz w:val="20"/>
                <w:szCs w:val="20"/>
                <w:color w:val="auto"/>
              </w:rPr>
            </w:pPr>
            <w:r>
              <w:rPr>
                <w:rFonts w:ascii="Arial" w:cs="Arial" w:eastAsia="Arial" w:hAnsi="Arial"/>
                <w:sz w:val="16"/>
                <w:szCs w:val="16"/>
                <w:color w:val="auto"/>
              </w:rPr>
              <w:t>Product development</w:t>
            </w:r>
          </w:p>
        </w:tc>
        <w:tc>
          <w:tcPr>
            <w:tcW w:w="360" w:type="dxa"/>
            <w:vAlign w:val="bottom"/>
            <w:shd w:val="clear" w:color="auto" w:fill="CDFFCC"/>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DFFCC"/>
          </w:tcPr>
          <w:p>
            <w:pPr>
              <w:jc w:val="right"/>
              <w:spacing w:after="0"/>
              <w:rPr>
                <w:sz w:val="20"/>
                <w:szCs w:val="20"/>
                <w:color w:val="auto"/>
              </w:rPr>
            </w:pPr>
            <w:r>
              <w:rPr>
                <w:rFonts w:ascii="Arial" w:cs="Arial" w:eastAsia="Arial" w:hAnsi="Arial"/>
                <w:sz w:val="16"/>
                <w:szCs w:val="16"/>
                <w:color w:val="auto"/>
              </w:rPr>
              <w:t>33,455</w:t>
            </w:r>
          </w:p>
        </w:tc>
        <w:tc>
          <w:tcPr>
            <w:tcW w:w="800" w:type="dxa"/>
            <w:vAlign w:val="bottom"/>
            <w:shd w:val="clear" w:color="auto" w:fill="CDFFCC"/>
          </w:tcPr>
          <w:p>
            <w:pPr>
              <w:jc w:val="right"/>
              <w:ind w:right="36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DFFCC"/>
          </w:tcPr>
          <w:p>
            <w:pPr>
              <w:jc w:val="right"/>
              <w:ind w:right="141"/>
              <w:spacing w:after="0"/>
              <w:rPr>
                <w:sz w:val="20"/>
                <w:szCs w:val="20"/>
                <w:color w:val="auto"/>
              </w:rPr>
            </w:pPr>
            <w:r>
              <w:rPr>
                <w:rFonts w:ascii="Arial" w:cs="Arial" w:eastAsia="Arial" w:hAnsi="Arial"/>
                <w:sz w:val="16"/>
                <w:szCs w:val="16"/>
                <w:color w:val="auto"/>
              </w:rPr>
              <w:t>25,716</w:t>
            </w:r>
          </w:p>
        </w:tc>
        <w:tc>
          <w:tcPr>
            <w:tcW w:w="380" w:type="dxa"/>
            <w:vAlign w:val="bottom"/>
            <w:shd w:val="clear" w:color="auto" w:fill="CDFFCC"/>
          </w:tcPr>
          <w:p>
            <w:pPr>
              <w:spacing w:after="0"/>
              <w:rPr>
                <w:sz w:val="18"/>
                <w:szCs w:val="18"/>
                <w:color w:val="auto"/>
              </w:rPr>
            </w:pPr>
          </w:p>
        </w:tc>
        <w:tc>
          <w:tcPr>
            <w:tcW w:w="12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DFFCC"/>
          </w:tcPr>
          <w:p>
            <w:pPr>
              <w:spacing w:after="0"/>
              <w:rPr>
                <w:sz w:val="18"/>
                <w:szCs w:val="18"/>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60" w:type="dxa"/>
            <w:vAlign w:val="bottom"/>
          </w:tcPr>
          <w:p>
            <w:pPr>
              <w:spacing w:after="0"/>
              <w:rPr>
                <w:sz w:val="18"/>
                <w:szCs w:val="18"/>
                <w:color w:val="auto"/>
              </w:rPr>
            </w:pPr>
          </w:p>
        </w:tc>
        <w:tc>
          <w:tcPr>
            <w:tcW w:w="1800" w:type="dxa"/>
            <w:vAlign w:val="bottom"/>
            <w:gridSpan w:val="2"/>
          </w:tcPr>
          <w:p>
            <w:pPr>
              <w:jc w:val="right"/>
              <w:ind w:right="584"/>
              <w:spacing w:after="0"/>
              <w:rPr>
                <w:sz w:val="20"/>
                <w:szCs w:val="20"/>
                <w:color w:val="auto"/>
              </w:rPr>
            </w:pPr>
            <w:r>
              <w:rPr>
                <w:rFonts w:ascii="Arial" w:cs="Arial" w:eastAsia="Arial" w:hAnsi="Arial"/>
                <w:sz w:val="16"/>
                <w:szCs w:val="16"/>
                <w:color w:val="auto"/>
              </w:rPr>
              <w:t>31 %</w:t>
            </w:r>
          </w:p>
        </w:tc>
        <w:tc>
          <w:tcPr>
            <w:tcW w:w="1000" w:type="dxa"/>
            <w:vAlign w:val="bottom"/>
          </w:tcPr>
          <w:p>
            <w:pPr>
              <w:jc w:val="right"/>
              <w:spacing w:after="0"/>
              <w:rPr>
                <w:sz w:val="20"/>
                <w:szCs w:val="20"/>
                <w:color w:val="auto"/>
              </w:rPr>
            </w:pPr>
            <w:r>
              <w:rPr>
                <w:rFonts w:ascii="Arial" w:cs="Arial" w:eastAsia="Arial" w:hAnsi="Arial"/>
                <w:sz w:val="16"/>
                <w:szCs w:val="16"/>
                <w:color w:val="auto"/>
              </w:rPr>
              <w:t>33 %</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240" w:type="dxa"/>
            <w:vAlign w:val="bottom"/>
            <w:shd w:val="clear" w:color="auto" w:fill="CDFFCC"/>
          </w:tcPr>
          <w:p>
            <w:pPr>
              <w:ind w:left="20"/>
              <w:spacing w:after="0"/>
              <w:rPr>
                <w:sz w:val="20"/>
                <w:szCs w:val="20"/>
                <w:color w:val="auto"/>
              </w:rPr>
            </w:pPr>
            <w:r>
              <w:rPr>
                <w:rFonts w:ascii="Arial" w:cs="Arial" w:eastAsia="Arial" w:hAnsi="Arial"/>
                <w:sz w:val="16"/>
                <w:szCs w:val="16"/>
                <w:color w:val="auto"/>
              </w:rPr>
              <w:t>Headcount (at period end):</w:t>
            </w:r>
          </w:p>
        </w:tc>
        <w:tc>
          <w:tcPr>
            <w:tcW w:w="360" w:type="dxa"/>
            <w:vAlign w:val="bottom"/>
            <w:shd w:val="clear" w:color="auto" w:fill="CDFFCC"/>
          </w:tcPr>
          <w:p>
            <w:pPr>
              <w:spacing w:after="0"/>
              <w:rPr>
                <w:sz w:val="19"/>
                <w:szCs w:val="19"/>
                <w:color w:val="auto"/>
              </w:rPr>
            </w:pPr>
          </w:p>
        </w:tc>
        <w:tc>
          <w:tcPr>
            <w:tcW w:w="1000" w:type="dxa"/>
            <w:vAlign w:val="bottom"/>
            <w:shd w:val="clear" w:color="auto" w:fill="CDFFCC"/>
          </w:tcPr>
          <w:p>
            <w:pPr>
              <w:jc w:val="right"/>
              <w:spacing w:after="0"/>
              <w:rPr>
                <w:sz w:val="20"/>
                <w:szCs w:val="20"/>
                <w:color w:val="auto"/>
              </w:rPr>
            </w:pPr>
            <w:r>
              <w:rPr>
                <w:rFonts w:ascii="Arial" w:cs="Arial" w:eastAsia="Arial" w:hAnsi="Arial"/>
                <w:sz w:val="16"/>
                <w:szCs w:val="16"/>
                <w:color w:val="auto"/>
              </w:rPr>
              <w:t>501</w:t>
            </w:r>
          </w:p>
        </w:tc>
        <w:tc>
          <w:tcPr>
            <w:tcW w:w="800" w:type="dxa"/>
            <w:vAlign w:val="bottom"/>
            <w:shd w:val="clear" w:color="auto" w:fill="CDFFCC"/>
          </w:tcPr>
          <w:p>
            <w:pPr>
              <w:spacing w:after="0"/>
              <w:rPr>
                <w:sz w:val="19"/>
                <w:szCs w:val="19"/>
                <w:color w:val="auto"/>
              </w:rPr>
            </w:pPr>
          </w:p>
        </w:tc>
        <w:tc>
          <w:tcPr>
            <w:tcW w:w="1000" w:type="dxa"/>
            <w:vAlign w:val="bottom"/>
            <w:shd w:val="clear" w:color="auto" w:fill="CDFFCC"/>
          </w:tcPr>
          <w:p>
            <w:pPr>
              <w:jc w:val="right"/>
              <w:ind w:right="141"/>
              <w:spacing w:after="0"/>
              <w:rPr>
                <w:sz w:val="20"/>
                <w:szCs w:val="20"/>
                <w:color w:val="auto"/>
              </w:rPr>
            </w:pPr>
            <w:r>
              <w:rPr>
                <w:rFonts w:ascii="Arial" w:cs="Arial" w:eastAsia="Arial" w:hAnsi="Arial"/>
                <w:sz w:val="16"/>
                <w:szCs w:val="16"/>
                <w:color w:val="auto"/>
              </w:rPr>
              <w:t>445</w:t>
            </w:r>
          </w:p>
        </w:tc>
        <w:tc>
          <w:tcPr>
            <w:tcW w:w="38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DFFCC"/>
          </w:tcPr>
          <w:p>
            <w:pPr>
              <w:spacing w:after="0"/>
              <w:rPr>
                <w:sz w:val="19"/>
                <w:szCs w:val="19"/>
                <w:color w:val="auto"/>
              </w:rPr>
            </w:pPr>
          </w:p>
        </w:tc>
      </w:tr>
    </w:tbl>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Product development costs increased by 30% to $33.5 million in the three months ended March 31, 2021 from $25.7 million in the comparable period in 2020. This is primarily related to an increase in salaries and employee related expenses of approximately $5.6 million, in business services and outsourcing subcontracted labor of approximately $1.8 million, in depreciation expense of approximately $1.0 million, and in credit card processing and bank fees of $0.2 million. This was partially offset by a decrease of approximately $0.8 million in facilities expenses. We made investments in public cloud migration, and in enhancing and expanding new features of the Conversational Cloud. Also, we invested in hiring more data scientists and machine learning engineers to focus on Conversational AI.</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invest in new product development efforts to expand the capability of Conversational Cloud. In accordance with ASC 350-40 - “Internal-Use Software,” as new projects are initiated that provide functionality to the Conversational Cloud platform, the associated development and employee costs will be capitalized. Upon completion, the project costs will be depreciated over five years. In the three months ended March 31, 2021, $8.2 million was capitalized, compared to $7.6 million in the comparable periods in 2020.</w:t>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Restructuring costs consist of reprioritizing and reallocating resources to focus on areas believed to show high growth potential.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83"/>
        </w:trPr>
        <w:tc>
          <w:tcPr>
            <w:tcW w:w="6360" w:type="dxa"/>
            <w:vAlign w:val="bottom"/>
            <w:tcBorders>
              <w:bottom w:val="single" w:sz="8" w:color="CDFFCC"/>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4"/>
                <w:szCs w:val="14"/>
                <w:b w:val="1"/>
                <w:bCs w:val="1"/>
                <w:color w:val="auto"/>
              </w:rPr>
              <w:t>($ in thousands)</w:t>
            </w:r>
          </w:p>
        </w:tc>
        <w:tc>
          <w:tcPr>
            <w:tcW w:w="600" w:type="dxa"/>
            <w:vAlign w:val="bottom"/>
            <w:tcBorders>
              <w:bottom w:val="single" w:sz="8" w:color="auto"/>
            </w:tcBorders>
          </w:tcPr>
          <w:p>
            <w:pPr>
              <w:spacing w:after="0"/>
              <w:rPr>
                <w:sz w:val="15"/>
                <w:szCs w:val="15"/>
                <w:color w:val="auto"/>
              </w:rPr>
            </w:pPr>
          </w:p>
        </w:tc>
        <w:tc>
          <w:tcPr>
            <w:tcW w:w="380" w:type="dxa"/>
            <w:vAlign w:val="bottom"/>
            <w:tcBorders>
              <w:bottom w:val="single" w:sz="8" w:color="CDFFCC"/>
            </w:tcBorders>
          </w:tcPr>
          <w:p>
            <w:pPr>
              <w:spacing w:after="0"/>
              <w:rPr>
                <w:sz w:val="15"/>
                <w:szCs w:val="15"/>
                <w:color w:val="auto"/>
              </w:rPr>
            </w:pPr>
          </w:p>
        </w:tc>
        <w:tc>
          <w:tcPr>
            <w:tcW w:w="1260" w:type="dxa"/>
            <w:vAlign w:val="bottom"/>
            <w:tcBorders>
              <w:bottom w:val="single" w:sz="8" w:color="CDFFCC"/>
            </w:tcBorders>
          </w:tcPr>
          <w:p>
            <w:pPr>
              <w:spacing w:after="0"/>
              <w:rPr>
                <w:sz w:val="15"/>
                <w:szCs w:val="15"/>
                <w:color w:val="auto"/>
              </w:rPr>
            </w:pPr>
          </w:p>
        </w:tc>
        <w:tc>
          <w:tcPr>
            <w:tcW w:w="100" w:type="dxa"/>
            <w:vAlign w:val="bottom"/>
            <w:tcBorders>
              <w:bottom w:val="single" w:sz="8" w:color="CDFFCC"/>
            </w:tcBorders>
          </w:tcPr>
          <w:p>
            <w:pPr>
              <w:spacing w:after="0"/>
              <w:rPr>
                <w:sz w:val="15"/>
                <w:szCs w:val="15"/>
                <w:color w:val="auto"/>
              </w:rPr>
            </w:pPr>
          </w:p>
        </w:tc>
      </w:tr>
      <w:tr>
        <w:trPr>
          <w:trHeight w:val="211"/>
        </w:trPr>
        <w:tc>
          <w:tcPr>
            <w:tcW w:w="6360" w:type="dxa"/>
            <w:vAlign w:val="bottom"/>
            <w:shd w:val="clear" w:color="auto" w:fill="CDFFCC"/>
          </w:tcPr>
          <w:p>
            <w:pPr>
              <w:ind w:left="20"/>
              <w:spacing w:after="0"/>
              <w:rPr>
                <w:sz w:val="20"/>
                <w:szCs w:val="20"/>
                <w:color w:val="auto"/>
              </w:rPr>
            </w:pPr>
            <w:r>
              <w:rPr>
                <w:rFonts w:ascii="Arial" w:cs="Arial" w:eastAsia="Arial" w:hAnsi="Arial"/>
                <w:sz w:val="16"/>
                <w:szCs w:val="16"/>
                <w:color w:val="auto"/>
              </w:rPr>
              <w:t>Restructuring costs</w:t>
            </w:r>
          </w:p>
        </w:tc>
        <w:tc>
          <w:tcPr>
            <w:tcW w:w="920" w:type="dxa"/>
            <w:vAlign w:val="bottom"/>
            <w:shd w:val="clear" w:color="auto" w:fill="CDFFCC"/>
          </w:tcPr>
          <w:p>
            <w:pPr>
              <w:jc w:val="right"/>
              <w:ind w:right="74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DFFCC"/>
          </w:tcPr>
          <w:p>
            <w:pPr>
              <w:jc w:val="right"/>
              <w:spacing w:after="0"/>
              <w:rPr>
                <w:sz w:val="20"/>
                <w:szCs w:val="20"/>
                <w:color w:val="auto"/>
              </w:rPr>
            </w:pPr>
            <w:r>
              <w:rPr>
                <w:rFonts w:ascii="Arial" w:cs="Arial" w:eastAsia="Arial" w:hAnsi="Arial"/>
                <w:sz w:val="16"/>
                <w:szCs w:val="16"/>
                <w:color w:val="auto"/>
                <w:w w:val="94"/>
              </w:rPr>
              <w:t>2,732</w:t>
            </w:r>
          </w:p>
        </w:tc>
        <w:tc>
          <w:tcPr>
            <w:tcW w:w="1180" w:type="dxa"/>
            <w:vAlign w:val="bottom"/>
            <w:shd w:val="clear" w:color="auto" w:fill="CDFFCC"/>
          </w:tcPr>
          <w:p>
            <w:pPr>
              <w:jc w:val="right"/>
              <w:ind w:right="745"/>
              <w:spacing w:after="0"/>
              <w:rPr>
                <w:sz w:val="20"/>
                <w:szCs w:val="20"/>
                <w:color w:val="auto"/>
              </w:rPr>
            </w:pPr>
            <w:r>
              <w:rPr>
                <w:rFonts w:ascii="Arial" w:cs="Arial" w:eastAsia="Arial" w:hAnsi="Arial"/>
                <w:sz w:val="16"/>
                <w:szCs w:val="16"/>
                <w:color w:val="auto"/>
              </w:rPr>
              <w:t>$</w:t>
            </w:r>
          </w:p>
        </w:tc>
        <w:tc>
          <w:tcPr>
            <w:tcW w:w="600" w:type="dxa"/>
            <w:vAlign w:val="bottom"/>
            <w:shd w:val="clear" w:color="auto" w:fill="CDFFCC"/>
          </w:tcPr>
          <w:p>
            <w:pPr>
              <w:jc w:val="right"/>
              <w:ind w:right="119"/>
              <w:spacing w:after="0"/>
              <w:rPr>
                <w:sz w:val="20"/>
                <w:szCs w:val="20"/>
                <w:color w:val="auto"/>
              </w:rPr>
            </w:pPr>
            <w:r>
              <w:rPr>
                <w:rFonts w:ascii="Arial" w:cs="Arial" w:eastAsia="Arial" w:hAnsi="Arial"/>
                <w:sz w:val="16"/>
                <w:szCs w:val="16"/>
                <w:color w:val="auto"/>
                <w:w w:val="94"/>
              </w:rPr>
              <w:t>3,190</w:t>
            </w:r>
          </w:p>
        </w:tc>
        <w:tc>
          <w:tcPr>
            <w:tcW w:w="380" w:type="dxa"/>
            <w:vAlign w:val="bottom"/>
            <w:shd w:val="clear" w:color="auto" w:fill="CDFFCC"/>
          </w:tcPr>
          <w:p>
            <w:pPr>
              <w:spacing w:after="0"/>
              <w:rPr>
                <w:sz w:val="18"/>
                <w:szCs w:val="18"/>
                <w:color w:val="auto"/>
              </w:rPr>
            </w:pPr>
          </w:p>
        </w:tc>
        <w:tc>
          <w:tcPr>
            <w:tcW w:w="12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DFFCC"/>
          </w:tcPr>
          <w:p>
            <w:pPr>
              <w:spacing w:after="0"/>
              <w:rPr>
                <w:sz w:val="18"/>
                <w:szCs w:val="18"/>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920" w:type="dxa"/>
            <w:vAlign w:val="bottom"/>
          </w:tcPr>
          <w:p>
            <w:pPr>
              <w:spacing w:after="0"/>
              <w:rPr>
                <w:sz w:val="18"/>
                <w:szCs w:val="18"/>
                <w:color w:val="auto"/>
              </w:rPr>
            </w:pPr>
          </w:p>
        </w:tc>
        <w:tc>
          <w:tcPr>
            <w:tcW w:w="1620" w:type="dxa"/>
            <w:vAlign w:val="bottom"/>
            <w:gridSpan w:val="2"/>
          </w:tcPr>
          <w:p>
            <w:pPr>
              <w:jc w:val="right"/>
              <w:ind w:right="965"/>
              <w:spacing w:after="0"/>
              <w:rPr>
                <w:sz w:val="20"/>
                <w:szCs w:val="20"/>
                <w:color w:val="auto"/>
              </w:rPr>
            </w:pPr>
            <w:r>
              <w:rPr>
                <w:rFonts w:ascii="Arial" w:cs="Arial" w:eastAsia="Arial" w:hAnsi="Arial"/>
                <w:sz w:val="16"/>
                <w:szCs w:val="16"/>
                <w:color w:val="auto"/>
              </w:rPr>
              <w:t>3 %</w:t>
            </w:r>
          </w:p>
        </w:tc>
        <w:tc>
          <w:tcPr>
            <w:tcW w:w="600" w:type="dxa"/>
            <w:vAlign w:val="bottom"/>
          </w:tcPr>
          <w:p>
            <w:pPr>
              <w:jc w:val="right"/>
              <w:spacing w:after="0"/>
              <w:rPr>
                <w:sz w:val="20"/>
                <w:szCs w:val="20"/>
                <w:color w:val="auto"/>
              </w:rPr>
            </w:pPr>
            <w:r>
              <w:rPr>
                <w:rFonts w:ascii="Arial" w:cs="Arial" w:eastAsia="Arial" w:hAnsi="Arial"/>
                <w:sz w:val="16"/>
                <w:szCs w:val="16"/>
                <w:color w:val="auto"/>
              </w:rPr>
              <w:t>4 %</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Restructuring costs decreased by 14% to approximately $2.7 million during the three months ended March 31, 2021 from $3.2 million in the comparable period in 2020. The restructuring cost for the three months ended March 31, 2021 was a result of our partnership with Infosys to transform our technology infrastructure on the public cloud, to build integrated solutions and a global practice around our Conversational Cloud, and to redefine how brands communicate. This variance was primarily attributable to an increase in restructuring costs related to lease abandonment, along with severance and other compensation costs. The restructuring cost for three months ended March 31, 2020 was attributed to severance and associated costs associated with re-prioritizing and reallocating resources on areas believed to show high growth potential.</w:t>
      </w:r>
    </w:p>
    <w:p>
      <w:pPr>
        <w:spacing w:after="0" w:line="200" w:lineRule="exact"/>
        <w:rPr>
          <w:sz w:val="20"/>
          <w:szCs w:val="20"/>
          <w:color w:val="auto"/>
        </w:rPr>
      </w:pP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 March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83"/>
        </w:trPr>
        <w:tc>
          <w:tcPr>
            <w:tcW w:w="6360" w:type="dxa"/>
            <w:vAlign w:val="bottom"/>
            <w:tcBorders>
              <w:bottom w:val="single" w:sz="8" w:color="CCFFCC"/>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in thousands)</w:t>
            </w: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CCFFCC"/>
            </w:tcBorders>
          </w:tcPr>
          <w:p>
            <w:pPr>
              <w:spacing w:after="0"/>
              <w:rPr>
                <w:sz w:val="15"/>
                <w:szCs w:val="15"/>
                <w:color w:val="auto"/>
              </w:rPr>
            </w:pPr>
          </w:p>
        </w:tc>
        <w:tc>
          <w:tcPr>
            <w:tcW w:w="1260" w:type="dxa"/>
            <w:vAlign w:val="bottom"/>
            <w:tcBorders>
              <w:bottom w:val="single" w:sz="8" w:color="CCFFCC"/>
            </w:tcBorders>
          </w:tcPr>
          <w:p>
            <w:pPr>
              <w:spacing w:after="0"/>
              <w:rPr>
                <w:sz w:val="15"/>
                <w:szCs w:val="15"/>
                <w:color w:val="auto"/>
              </w:rPr>
            </w:pPr>
          </w:p>
        </w:tc>
        <w:tc>
          <w:tcPr>
            <w:tcW w:w="100" w:type="dxa"/>
            <w:vAlign w:val="bottom"/>
            <w:tcBorders>
              <w:bottom w:val="single" w:sz="8" w:color="CCFFCC"/>
            </w:tcBorders>
          </w:tcPr>
          <w:p>
            <w:pPr>
              <w:spacing w:after="0"/>
              <w:rPr>
                <w:sz w:val="15"/>
                <w:szCs w:val="15"/>
                <w:color w:val="auto"/>
              </w:rPr>
            </w:pPr>
          </w:p>
        </w:tc>
      </w:tr>
      <w:tr>
        <w:trPr>
          <w:trHeight w:val="211"/>
        </w:trPr>
        <w:tc>
          <w:tcPr>
            <w:tcW w:w="6360" w:type="dxa"/>
            <w:vAlign w:val="bottom"/>
            <w:shd w:val="clear" w:color="auto" w:fill="CCFFCC"/>
          </w:tcPr>
          <w:p>
            <w:pPr>
              <w:ind w:left="20"/>
              <w:spacing w:after="0"/>
              <w:rPr>
                <w:sz w:val="20"/>
                <w:szCs w:val="20"/>
                <w:color w:val="auto"/>
              </w:rPr>
            </w:pPr>
            <w:r>
              <w:rPr>
                <w:rFonts w:ascii="Arial" w:cs="Arial" w:eastAsia="Arial" w:hAnsi="Arial"/>
                <w:sz w:val="16"/>
                <w:szCs w:val="16"/>
                <w:color w:val="auto"/>
              </w:rPr>
              <w:t>Amortization of purchased intangibles</w:t>
            </w:r>
          </w:p>
        </w:tc>
        <w:tc>
          <w:tcPr>
            <w:tcW w:w="980" w:type="dxa"/>
            <w:vAlign w:val="bottom"/>
            <w:shd w:val="clear" w:color="auto" w:fill="CCFFCC"/>
          </w:tcPr>
          <w:p>
            <w:pPr>
              <w:jc w:val="right"/>
              <w:ind w:right="80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FFCC"/>
          </w:tcPr>
          <w:p>
            <w:pPr>
              <w:ind w:left="100"/>
              <w:spacing w:after="0"/>
              <w:rPr>
                <w:sz w:val="20"/>
                <w:szCs w:val="20"/>
                <w:color w:val="auto"/>
              </w:rPr>
            </w:pPr>
            <w:r>
              <w:rPr>
                <w:rFonts w:ascii="Arial" w:cs="Arial" w:eastAsia="Arial" w:hAnsi="Arial"/>
                <w:sz w:val="16"/>
                <w:szCs w:val="16"/>
                <w:color w:val="auto"/>
                <w:w w:val="97"/>
              </w:rPr>
              <w:t>375</w:t>
            </w:r>
          </w:p>
        </w:tc>
        <w:tc>
          <w:tcPr>
            <w:tcW w:w="1240" w:type="dxa"/>
            <w:vAlign w:val="bottom"/>
            <w:shd w:val="clear" w:color="auto" w:fill="CCFFCC"/>
          </w:tcPr>
          <w:p>
            <w:pPr>
              <w:jc w:val="right"/>
              <w:ind w:right="80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405</w:t>
            </w:r>
          </w:p>
        </w:tc>
        <w:tc>
          <w:tcPr>
            <w:tcW w:w="38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FFCC"/>
          </w:tcPr>
          <w:p>
            <w:pPr>
              <w:spacing w:after="0"/>
              <w:rPr>
                <w:sz w:val="18"/>
                <w:szCs w:val="18"/>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Percentage of total revenues</w:t>
            </w:r>
          </w:p>
        </w:tc>
        <w:tc>
          <w:tcPr>
            <w:tcW w:w="98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color w:val="auto"/>
              </w:rPr>
              <w:t>— %</w:t>
            </w:r>
          </w:p>
        </w:tc>
        <w:tc>
          <w:tcPr>
            <w:tcW w:w="540" w:type="dxa"/>
            <w:vAlign w:val="bottom"/>
          </w:tcPr>
          <w:p>
            <w:pPr>
              <w:jc w:val="right"/>
              <w:spacing w:after="0"/>
              <w:rPr>
                <w:sz w:val="20"/>
                <w:szCs w:val="20"/>
                <w:color w:val="auto"/>
              </w:rPr>
            </w:pPr>
            <w:r>
              <w:rPr>
                <w:rFonts w:ascii="Arial" w:cs="Arial" w:eastAsia="Arial" w:hAnsi="Arial"/>
                <w:sz w:val="16"/>
                <w:szCs w:val="16"/>
                <w:color w:val="auto"/>
              </w:rPr>
              <w:t>1 %</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for purchased intangibles decreased by 7% to $0.4 million in the three months ended March 31, 2021 from $0.4 million in the comparable period in 2020.</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Additional amortization expense in the amount of $1.2 million and $0.3 million in the three months ended March 31, 2021 and 2020 is included in cost of revenue.</w:t>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expense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9"/>
              </w:rPr>
              <w:t>Three Months Ended March 31,</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63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r>
      <w:tr>
        <w:trPr>
          <w:trHeight w:val="183"/>
        </w:trPr>
        <w:tc>
          <w:tcPr>
            <w:tcW w:w="6380" w:type="dxa"/>
            <w:vAlign w:val="bottom"/>
            <w:tcBorders>
              <w:bottom w:val="single" w:sz="8" w:color="CCFFCC"/>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 in thousands)</w:t>
            </w: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CCFFCC"/>
            </w:tcBorders>
          </w:tcPr>
          <w:p>
            <w:pPr>
              <w:spacing w:after="0"/>
              <w:rPr>
                <w:sz w:val="15"/>
                <w:szCs w:val="15"/>
                <w:color w:val="auto"/>
              </w:rPr>
            </w:pPr>
          </w:p>
        </w:tc>
        <w:tc>
          <w:tcPr>
            <w:tcW w:w="1220" w:type="dxa"/>
            <w:vAlign w:val="bottom"/>
            <w:tcBorders>
              <w:bottom w:val="single" w:sz="8" w:color="CCFFCC"/>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r>
      <w:tr>
        <w:trPr>
          <w:trHeight w:val="211"/>
        </w:trPr>
        <w:tc>
          <w:tcPr>
            <w:tcW w:w="6380" w:type="dxa"/>
            <w:vAlign w:val="bottom"/>
            <w:shd w:val="clear" w:color="auto" w:fill="CCFFCC"/>
          </w:tcPr>
          <w:p>
            <w:pPr>
              <w:ind w:left="20"/>
              <w:spacing w:after="0"/>
              <w:rPr>
                <w:sz w:val="20"/>
                <w:szCs w:val="20"/>
                <w:color w:val="auto"/>
              </w:rPr>
            </w:pPr>
            <w:r>
              <w:rPr>
                <w:rFonts w:ascii="Arial" w:cs="Arial" w:eastAsia="Arial" w:hAnsi="Arial"/>
                <w:sz w:val="16"/>
                <w:szCs w:val="16"/>
                <w:color w:val="auto"/>
              </w:rPr>
              <w:t>Interest expense</w:t>
            </w:r>
          </w:p>
        </w:tc>
        <w:tc>
          <w:tcPr>
            <w:tcW w:w="880" w:type="dxa"/>
            <w:vAlign w:val="bottom"/>
            <w:shd w:val="clear" w:color="auto" w:fill="CCFFCC"/>
          </w:tcPr>
          <w:p>
            <w:pPr>
              <w:spacing w:after="0"/>
              <w:rPr>
                <w:sz w:val="18"/>
                <w:szCs w:val="18"/>
                <w:color w:val="auto"/>
              </w:rPr>
            </w:pPr>
          </w:p>
        </w:tc>
        <w:tc>
          <w:tcPr>
            <w:tcW w:w="580" w:type="dxa"/>
            <w:vAlign w:val="bottom"/>
            <w:shd w:val="clear" w:color="auto" w:fill="CCFFCC"/>
          </w:tcPr>
          <w:p>
            <w:pPr>
              <w:jc w:val="right"/>
              <w:ind w:right="3"/>
              <w:spacing w:after="0"/>
              <w:rPr>
                <w:sz w:val="20"/>
                <w:szCs w:val="20"/>
                <w:color w:val="auto"/>
              </w:rPr>
            </w:pPr>
            <w:r>
              <w:rPr>
                <w:rFonts w:ascii="Arial" w:cs="Arial" w:eastAsia="Arial" w:hAnsi="Arial"/>
                <w:sz w:val="16"/>
                <w:szCs w:val="16"/>
                <w:color w:val="auto"/>
                <w:w w:val="94"/>
              </w:rPr>
              <w:t>(9,129)</w:t>
            </w:r>
          </w:p>
        </w:tc>
        <w:tc>
          <w:tcPr>
            <w:tcW w:w="5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(2,791)</w:t>
            </w:r>
          </w:p>
        </w:tc>
        <w:tc>
          <w:tcPr>
            <w:tcW w:w="44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227 %</w:t>
            </w:r>
          </w:p>
        </w:tc>
        <w:tc>
          <w:tcPr>
            <w:tcW w:w="120" w:type="dxa"/>
            <w:vAlign w:val="bottom"/>
            <w:shd w:val="clear" w:color="auto" w:fill="CCFFCC"/>
          </w:tcPr>
          <w:p>
            <w:pPr>
              <w:spacing w:after="0"/>
              <w:rPr>
                <w:sz w:val="18"/>
                <w:szCs w:val="18"/>
                <w:color w:val="auto"/>
              </w:rPr>
            </w:pPr>
          </w:p>
        </w:tc>
      </w:tr>
      <w:tr>
        <w:trPr>
          <w:trHeight w:val="213"/>
        </w:trPr>
        <w:tc>
          <w:tcPr>
            <w:tcW w:w="6380" w:type="dxa"/>
            <w:vAlign w:val="bottom"/>
            <w:tcBorders>
              <w:bottom w:val="single" w:sz="8" w:color="CCFFCC"/>
            </w:tcBorders>
          </w:tcPr>
          <w:p>
            <w:pPr>
              <w:ind w:left="20"/>
              <w:spacing w:after="0"/>
              <w:rPr>
                <w:sz w:val="20"/>
                <w:szCs w:val="20"/>
                <w:color w:val="auto"/>
              </w:rPr>
            </w:pPr>
            <w:r>
              <w:rPr>
                <w:rFonts w:ascii="Arial" w:cs="Arial" w:eastAsia="Arial" w:hAnsi="Arial"/>
                <w:sz w:val="16"/>
                <w:szCs w:val="16"/>
                <w:color w:val="auto"/>
              </w:rPr>
              <w:t>Other income (expense)</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712</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440" w:type="dxa"/>
            <w:vAlign w:val="bottom"/>
            <w:tcBorders>
              <w:bottom w:val="single" w:sz="8" w:color="CCFFCC"/>
            </w:tcBorders>
          </w:tcPr>
          <w:p>
            <w:pPr>
              <w:spacing w:after="0"/>
              <w:rPr>
                <w:sz w:val="18"/>
                <w:szCs w:val="18"/>
                <w:color w:val="auto"/>
              </w:rPr>
            </w:pPr>
          </w:p>
        </w:tc>
        <w:tc>
          <w:tcPr>
            <w:tcW w:w="122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FFCC"/>
            </w:tcBorders>
          </w:tcPr>
          <w:p>
            <w:pPr>
              <w:spacing w:after="0"/>
              <w:rPr>
                <w:sz w:val="18"/>
                <w:szCs w:val="18"/>
                <w:color w:val="auto"/>
              </w:rPr>
            </w:pPr>
          </w:p>
        </w:tc>
      </w:tr>
      <w:tr>
        <w:trPr>
          <w:trHeight w:val="213"/>
        </w:trPr>
        <w:tc>
          <w:tcPr>
            <w:tcW w:w="6380" w:type="dxa"/>
            <w:vAlign w:val="bottom"/>
            <w:shd w:val="clear" w:color="auto" w:fill="CCFFCC"/>
          </w:tcPr>
          <w:p>
            <w:pPr>
              <w:ind w:left="20"/>
              <w:spacing w:after="0"/>
              <w:rPr>
                <w:sz w:val="20"/>
                <w:szCs w:val="20"/>
                <w:color w:val="auto"/>
              </w:rPr>
            </w:pPr>
            <w:r>
              <w:rPr>
                <w:rFonts w:ascii="Arial" w:cs="Arial" w:eastAsia="Arial" w:hAnsi="Arial"/>
                <w:sz w:val="16"/>
                <w:szCs w:val="16"/>
                <w:color w:val="auto"/>
              </w:rPr>
              <w:t>Other expense, net</w:t>
            </w:r>
          </w:p>
        </w:tc>
        <w:tc>
          <w:tcPr>
            <w:tcW w:w="880" w:type="dxa"/>
            <w:vAlign w:val="bottom"/>
            <w:shd w:val="clear" w:color="auto" w:fill="CCFFCC"/>
          </w:tcPr>
          <w:p>
            <w:pPr>
              <w:jc w:val="right"/>
              <w:ind w:right="70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FFCC"/>
          </w:tcPr>
          <w:p>
            <w:pPr>
              <w:jc w:val="right"/>
              <w:ind w:right="3"/>
              <w:spacing w:after="0"/>
              <w:rPr>
                <w:sz w:val="20"/>
                <w:szCs w:val="20"/>
                <w:color w:val="auto"/>
              </w:rPr>
            </w:pPr>
            <w:r>
              <w:rPr>
                <w:rFonts w:ascii="Arial" w:cs="Arial" w:eastAsia="Arial" w:hAnsi="Arial"/>
                <w:sz w:val="16"/>
                <w:szCs w:val="16"/>
                <w:color w:val="auto"/>
                <w:w w:val="94"/>
              </w:rPr>
              <w:t>(8,417)</w:t>
            </w:r>
          </w:p>
        </w:tc>
        <w:tc>
          <w:tcPr>
            <w:tcW w:w="560" w:type="dxa"/>
            <w:vAlign w:val="bottom"/>
            <w:shd w:val="clear" w:color="auto" w:fill="CCFFCC"/>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(3,458)</w:t>
            </w:r>
          </w:p>
        </w:tc>
        <w:tc>
          <w:tcPr>
            <w:tcW w:w="44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143 %</w:t>
            </w:r>
          </w:p>
        </w:tc>
        <w:tc>
          <w:tcPr>
            <w:tcW w:w="120" w:type="dxa"/>
            <w:vAlign w:val="bottom"/>
            <w:shd w:val="clear" w:color="auto" w:fill="CCFFCC"/>
          </w:tcPr>
          <w:p>
            <w:pPr>
              <w:spacing w:after="0"/>
              <w:rPr>
                <w:sz w:val="18"/>
                <w:szCs w:val="18"/>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expense increased to $8.4 million in the three months ended March 31, 2021, respectively, from other expense of $3.5 million in the comparable periods in 2020 due to interest expense attributable to the 0.750% Convertible Senior Notes due 2024 (the “2024 Notes”) and the Convertible Senior Notes due 2026 (the “2026 Notes” and, together with the 2024 Notes, the “Notes”), partially offset by interest income on cash and cash equivalents and financial income which is attributable to currency rate fluctuations.</w:t>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9"/>
              </w:rPr>
              <w:t>Three Months Ended March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5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83"/>
        </w:trPr>
        <w:tc>
          <w:tcPr>
            <w:tcW w:w="6500" w:type="dxa"/>
            <w:vAlign w:val="bottom"/>
            <w:tcBorders>
              <w:bottom w:val="single" w:sz="8" w:color="CCFFCC"/>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in thousands)</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CCFFCC"/>
            </w:tcBorders>
          </w:tcPr>
          <w:p>
            <w:pPr>
              <w:spacing w:after="0"/>
              <w:rPr>
                <w:sz w:val="15"/>
                <w:szCs w:val="15"/>
                <w:color w:val="auto"/>
              </w:rPr>
            </w:pPr>
          </w:p>
        </w:tc>
        <w:tc>
          <w:tcPr>
            <w:tcW w:w="1200" w:type="dxa"/>
            <w:vAlign w:val="bottom"/>
            <w:tcBorders>
              <w:bottom w:val="single" w:sz="8" w:color="CCFFCC"/>
            </w:tcBorders>
          </w:tcPr>
          <w:p>
            <w:pPr>
              <w:spacing w:after="0"/>
              <w:rPr>
                <w:sz w:val="15"/>
                <w:szCs w:val="15"/>
                <w:color w:val="auto"/>
              </w:rPr>
            </w:pPr>
          </w:p>
        </w:tc>
        <w:tc>
          <w:tcPr>
            <w:tcW w:w="100" w:type="dxa"/>
            <w:vAlign w:val="bottom"/>
            <w:tcBorders>
              <w:bottom w:val="single" w:sz="8" w:color="CCFFCC"/>
            </w:tcBorders>
          </w:tcPr>
          <w:p>
            <w:pPr>
              <w:spacing w:after="0"/>
              <w:rPr>
                <w:sz w:val="15"/>
                <w:szCs w:val="15"/>
                <w:color w:val="auto"/>
              </w:rPr>
            </w:pPr>
          </w:p>
        </w:tc>
      </w:tr>
      <w:tr>
        <w:trPr>
          <w:trHeight w:val="211"/>
        </w:trPr>
        <w:tc>
          <w:tcPr>
            <w:tcW w:w="6500" w:type="dxa"/>
            <w:vAlign w:val="bottom"/>
            <w:shd w:val="clear" w:color="auto" w:fill="CCFFCC"/>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920" w:type="dxa"/>
            <w:vAlign w:val="bottom"/>
            <w:shd w:val="clear" w:color="auto" w:fill="CCFFCC"/>
          </w:tcPr>
          <w:p>
            <w:pPr>
              <w:jc w:val="right"/>
              <w:ind w:right="74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FFCC"/>
          </w:tcPr>
          <w:p>
            <w:pPr>
              <w:jc w:val="right"/>
              <w:ind w:right="5"/>
              <w:spacing w:after="0"/>
              <w:rPr>
                <w:sz w:val="20"/>
                <w:szCs w:val="20"/>
                <w:color w:val="auto"/>
              </w:rPr>
            </w:pPr>
            <w:r>
              <w:rPr>
                <w:rFonts w:ascii="Arial" w:cs="Arial" w:eastAsia="Arial" w:hAnsi="Arial"/>
                <w:sz w:val="16"/>
                <w:szCs w:val="16"/>
                <w:color w:val="auto"/>
              </w:rPr>
              <w:t>(851)</w:t>
            </w:r>
          </w:p>
        </w:tc>
        <w:tc>
          <w:tcPr>
            <w:tcW w:w="540" w:type="dxa"/>
            <w:vAlign w:val="bottom"/>
            <w:shd w:val="clear" w:color="auto" w:fill="CCFFCC"/>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352</w:t>
            </w:r>
          </w:p>
        </w:tc>
        <w:tc>
          <w:tcPr>
            <w:tcW w:w="46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FFC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4" w:name="page55"/>
    <w:bookmarkEnd w:id="54"/>
    <w:p>
      <w:pPr>
        <w:jc w:val="both"/>
        <w:ind w:firstLine="324"/>
        <w:spacing w:after="0" w:line="263" w:lineRule="auto"/>
        <w:rPr>
          <w:sz w:val="20"/>
          <w:szCs w:val="20"/>
          <w:color w:val="auto"/>
        </w:rPr>
      </w:pPr>
      <w:r>
        <w:rPr>
          <w:rFonts w:ascii="Arial" w:cs="Arial" w:eastAsia="Arial" w:hAnsi="Arial"/>
          <w:sz w:val="18"/>
          <w:szCs w:val="18"/>
          <w:color w:val="auto"/>
        </w:rPr>
        <w:t>Benefit from provision for income taxes was $0.9 million in the three months ended March 31, 2021, and provision for income taxes was $0.4 million in the three months ended March 31, 2020, respectively. Our consolidated effective tax rate was impacted by the statutory income tax rates applicable to each of the jurisdictions in which we operate.</w:t>
      </w:r>
    </w:p>
    <w:p>
      <w:pPr>
        <w:spacing w:after="0" w:line="7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tax benefit of $0.9 million for the period was made up of a tax provision of $0.6 million on operating earnings for the period, and a tax a benefit of $1.5 million related to revision of estimates for uncertain tax benefits related to Kasamba Israel and Liveperson Ltd. Israel deferred tax assets.</w:t>
      </w:r>
    </w:p>
    <w:p>
      <w:pPr>
        <w:spacing w:after="0" w:line="3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had a net loss of $21.2 million in the three months ended March 31, 2021 compared to a net loss of $37.0 million for the three months ended March 31, 2020. During the three months ended March 31, 2021, there were increases in revenue of approximately $29.8 million, increases in operating expenses of approximately $10.2 million, increase in other (expense) income, net of approximately $5.0 million, and decrease in provision for income taxes of approximately $1.2 million.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Liquidity and Capital Resources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5"/>
              </w:rPr>
              <w:t>Three Months Ended</w:t>
            </w:r>
          </w:p>
        </w:tc>
        <w:tc>
          <w:tcPr>
            <w:tcW w:w="7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344"/>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20" w:type="dxa"/>
            <w:vAlign w:val="bottom"/>
            <w:tcBorders>
              <w:bottom w:val="single" w:sz="8" w:color="CCFFCC"/>
            </w:tcBorders>
          </w:tcPr>
          <w:p>
            <w:pPr>
              <w:spacing w:after="0"/>
              <w:rPr>
                <w:sz w:val="15"/>
                <w:szCs w:val="15"/>
                <w:color w:val="auto"/>
              </w:rPr>
            </w:pPr>
          </w:p>
        </w:tc>
        <w:tc>
          <w:tcPr>
            <w:tcW w:w="3160" w:type="dxa"/>
            <w:vAlign w:val="bottom"/>
            <w:tcBorders>
              <w:bottom w:val="single" w:sz="8" w:color="CCFFCC"/>
            </w:tcBorders>
          </w:tcPr>
          <w:p>
            <w:pPr>
              <w:spacing w:after="0"/>
              <w:rPr>
                <w:sz w:val="15"/>
                <w:szCs w:val="15"/>
                <w:color w:val="auto"/>
              </w:rPr>
            </w:pPr>
          </w:p>
        </w:tc>
        <w:tc>
          <w:tcPr>
            <w:tcW w:w="514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left="344"/>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bottom w:val="single" w:sz="8" w:color="auto"/>
            </w:tcBorders>
          </w:tcPr>
          <w:p>
            <w:pPr>
              <w:spacing w:after="0"/>
              <w:rPr>
                <w:sz w:val="15"/>
                <w:szCs w:val="15"/>
                <w:color w:val="auto"/>
              </w:rPr>
            </w:pPr>
          </w:p>
        </w:tc>
      </w:tr>
      <w:tr>
        <w:trPr>
          <w:trHeight w:val="177"/>
        </w:trPr>
        <w:tc>
          <w:tcPr>
            <w:tcW w:w="20" w:type="dxa"/>
            <w:vAlign w:val="bottom"/>
            <w:shd w:val="clear" w:color="auto" w:fill="CCFFCC"/>
          </w:tcPr>
          <w:p>
            <w:pPr>
              <w:spacing w:after="0"/>
              <w:rPr>
                <w:sz w:val="15"/>
                <w:szCs w:val="15"/>
                <w:color w:val="auto"/>
              </w:rPr>
            </w:pPr>
          </w:p>
        </w:tc>
        <w:tc>
          <w:tcPr>
            <w:tcW w:w="8300" w:type="dxa"/>
            <w:vAlign w:val="bottom"/>
            <w:gridSpan w:val="2"/>
            <w:shd w:val="clear" w:color="auto" w:fill="CCFFCC"/>
          </w:tcPr>
          <w:p>
            <w:pPr>
              <w:spacing w:after="0" w:line="157" w:lineRule="exact"/>
              <w:rPr>
                <w:sz w:val="20"/>
                <w:szCs w:val="20"/>
                <w:color w:val="auto"/>
              </w:rPr>
            </w:pPr>
            <w:r>
              <w:rPr>
                <w:rFonts w:ascii="Arial" w:cs="Arial" w:eastAsia="Arial" w:hAnsi="Arial"/>
                <w:sz w:val="16"/>
                <w:szCs w:val="16"/>
                <w:b w:val="1"/>
                <w:bCs w:val="1"/>
                <w:color w:val="auto"/>
              </w:rPr>
              <w:t>Consolidated Statements of Cash Flows Data:</w:t>
            </w:r>
          </w:p>
        </w:tc>
        <w:tc>
          <w:tcPr>
            <w:tcW w:w="34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r>
      <w:tr>
        <w:trPr>
          <w:trHeight w:val="213"/>
        </w:trPr>
        <w:tc>
          <w:tcPr>
            <w:tcW w:w="20" w:type="dxa"/>
            <w:vAlign w:val="bottom"/>
            <w:tcBorders>
              <w:top w:val="single" w:sz="8" w:color="CCFFCC"/>
            </w:tcBorders>
          </w:tcPr>
          <w:p>
            <w:pPr>
              <w:spacing w:after="0"/>
              <w:rPr>
                <w:sz w:val="18"/>
                <w:szCs w:val="18"/>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Cash flows provided by operating activities</w:t>
            </w:r>
          </w:p>
        </w:tc>
        <w:tc>
          <w:tcPr>
            <w:tcW w:w="51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CCFFCC"/>
            </w:tcBorders>
          </w:tcPr>
          <w:p>
            <w:pPr>
              <w:jc w:val="right"/>
              <w:ind w:right="144"/>
              <w:spacing w:after="0"/>
              <w:rPr>
                <w:sz w:val="20"/>
                <w:szCs w:val="20"/>
                <w:color w:val="auto"/>
              </w:rPr>
            </w:pPr>
            <w:r>
              <w:rPr>
                <w:rFonts w:ascii="Arial" w:cs="Arial" w:eastAsia="Arial" w:hAnsi="Arial"/>
                <w:sz w:val="16"/>
                <w:szCs w:val="16"/>
                <w:color w:val="auto"/>
              </w:rPr>
              <w:t>25,229</w:t>
            </w:r>
          </w:p>
        </w:tc>
        <w:tc>
          <w:tcPr>
            <w:tcW w:w="580" w:type="dxa"/>
            <w:vAlign w:val="bottom"/>
            <w:tcBorders>
              <w:top w:val="single" w:sz="8" w:color="CCFFCC"/>
            </w:tcBorders>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CCFFCC"/>
            </w:tcBorders>
          </w:tcPr>
          <w:p>
            <w:pPr>
              <w:jc w:val="right"/>
              <w:spacing w:after="0"/>
              <w:rPr>
                <w:sz w:val="20"/>
                <w:szCs w:val="20"/>
                <w:color w:val="auto"/>
              </w:rPr>
            </w:pPr>
            <w:r>
              <w:rPr>
                <w:rFonts w:ascii="Arial" w:cs="Arial" w:eastAsia="Arial" w:hAnsi="Arial"/>
                <w:sz w:val="16"/>
                <w:szCs w:val="16"/>
                <w:color w:val="auto"/>
              </w:rPr>
              <w:t>4,293</w:t>
            </w:r>
          </w:p>
        </w:tc>
      </w:tr>
      <w:tr>
        <w:trPr>
          <w:trHeight w:val="219"/>
        </w:trPr>
        <w:tc>
          <w:tcPr>
            <w:tcW w:w="20" w:type="dxa"/>
            <w:vAlign w:val="bottom"/>
            <w:shd w:val="clear" w:color="auto" w:fill="CCFFCC"/>
          </w:tcPr>
          <w:p>
            <w:pPr>
              <w:spacing w:after="0"/>
              <w:rPr>
                <w:sz w:val="19"/>
                <w:szCs w:val="19"/>
                <w:color w:val="auto"/>
              </w:rPr>
            </w:pPr>
          </w:p>
        </w:tc>
        <w:tc>
          <w:tcPr>
            <w:tcW w:w="83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Cash flows used in investing activities</w:t>
            </w:r>
          </w:p>
        </w:tc>
        <w:tc>
          <w:tcPr>
            <w:tcW w:w="340" w:type="dxa"/>
            <w:vAlign w:val="bottom"/>
            <w:shd w:val="clear" w:color="auto" w:fill="CCFFCC"/>
          </w:tcPr>
          <w:p>
            <w:pPr>
              <w:spacing w:after="0"/>
              <w:rPr>
                <w:sz w:val="19"/>
                <w:szCs w:val="19"/>
                <w:color w:val="auto"/>
              </w:rPr>
            </w:pPr>
          </w:p>
        </w:tc>
        <w:tc>
          <w:tcPr>
            <w:tcW w:w="1240" w:type="dxa"/>
            <w:vAlign w:val="bottom"/>
            <w:shd w:val="clear" w:color="auto" w:fill="CCFFCC"/>
          </w:tcPr>
          <w:p>
            <w:pPr>
              <w:jc w:val="right"/>
              <w:ind w:right="104"/>
              <w:spacing w:after="0"/>
              <w:rPr>
                <w:sz w:val="20"/>
                <w:szCs w:val="20"/>
                <w:color w:val="auto"/>
              </w:rPr>
            </w:pPr>
            <w:r>
              <w:rPr>
                <w:rFonts w:ascii="Arial" w:cs="Arial" w:eastAsia="Arial" w:hAnsi="Arial"/>
                <w:sz w:val="16"/>
                <w:szCs w:val="16"/>
                <w:color w:val="auto"/>
              </w:rPr>
              <w:t>(11,437)</w:t>
            </w:r>
          </w:p>
        </w:tc>
        <w:tc>
          <w:tcPr>
            <w:tcW w:w="580" w:type="dxa"/>
            <w:vAlign w:val="bottom"/>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(11,030)</w:t>
            </w:r>
          </w:p>
        </w:tc>
      </w:tr>
      <w:tr>
        <w:trPr>
          <w:trHeight w:val="210"/>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6"/>
                <w:szCs w:val="16"/>
                <w:color w:val="auto"/>
              </w:rPr>
              <w:t>Cash flows provided by financing activities</w:t>
            </w:r>
          </w:p>
        </w:tc>
        <w:tc>
          <w:tcPr>
            <w:tcW w:w="340" w:type="dxa"/>
            <w:vAlign w:val="bottom"/>
          </w:tcPr>
          <w:p>
            <w:pPr>
              <w:spacing w:after="0"/>
              <w:rPr>
                <w:sz w:val="18"/>
                <w:szCs w:val="18"/>
                <w:color w:val="auto"/>
              </w:rPr>
            </w:pPr>
          </w:p>
        </w:tc>
        <w:tc>
          <w:tcPr>
            <w:tcW w:w="1240" w:type="dxa"/>
            <w:vAlign w:val="bottom"/>
          </w:tcPr>
          <w:p>
            <w:pPr>
              <w:jc w:val="right"/>
              <w:ind w:right="144"/>
              <w:spacing w:after="0"/>
              <w:rPr>
                <w:sz w:val="20"/>
                <w:szCs w:val="20"/>
                <w:color w:val="auto"/>
              </w:rPr>
            </w:pPr>
            <w:r>
              <w:rPr>
                <w:rFonts w:ascii="Arial" w:cs="Arial" w:eastAsia="Arial" w:hAnsi="Arial"/>
                <w:sz w:val="16"/>
                <w:szCs w:val="16"/>
                <w:color w:val="auto"/>
              </w:rPr>
              <w:t>3,015</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3,098</w:t>
            </w:r>
          </w:p>
        </w:tc>
      </w:tr>
    </w:tbl>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2021, we had approximately $668.2 million in cash and cash equivalents, an increase of approximately $14.1 million from December 31, 2020. The increase is primarily attributable to cash flows provided by financing activities related to issuance of common stock in connection with exercise of options and ESPP and an increase in operating activities.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operating activities was $25.2 million for the three months ended March 31, 2021. Our net loss of $21.2 million was offset by non-cash expenses: stock-based compensation of $14.6 million; depreciation and amortization of $6.6 million; an increase in deferred revenue of $21.6 million and accrued expenses of $17.2 million. This was partially offset by increases in accounts receivable of $13.7 million and prepaid expenses of 5.8 million. Net cash provided by operating activities of $4.3 million for the three months ended March 31, 2020. Our net loss of $37.0 million was offset by non-cash expenses: stock-based compensation of $14.7 million; depreciation and amortization of $5.5 million; and a decrease in accounts receivable of $24.1 million.</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was $11.4 million in the three months ended March 31, 2021 and consisted primarily of the purchase of fixed assets for our co-location facilities and capitalization of internally developed software. Net cash used in investing activities was $11.0 million in the three months ended March 31, 2020 and consisted primarily of the purchase of fixed assets for our co-location facilities and capitalization of internally developed software.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was $3.0 million in the three months ended March 31, 2021, consisting primarily of proceeds from issuance of common stock in connection with the exercise of stock options by employees. Net cash provided by financing activities was $3.1 million in the three months ended March 31, 2020 and consisted primarily of proceeds from issuance of common stock in connection with the exercise of stock options by employees.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March 31, 2021, we had an accumulated deficit of approximately $413.1 million.</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response to the COVID-19 pandemic, we have undertaken a re-evaluation of our real estate needs. In connection with this re-evaluation, and the success we have had working remotely for the past several months, we have significantly reduced the real estate space we lease. This will likely result in various one-time cash expenses in connection with early termination of some or all of our leases.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jc w:val="both"/>
        <w:spacing w:after="0" w:line="293" w:lineRule="auto"/>
        <w:rPr>
          <w:sz w:val="20"/>
          <w:szCs w:val="20"/>
          <w:color w:val="auto"/>
        </w:rPr>
      </w:pPr>
      <w:r>
        <w:rPr>
          <w:rFonts w:ascii="Arial" w:cs="Arial" w:eastAsia="Arial" w:hAnsi="Arial"/>
          <w:sz w:val="16"/>
          <w:szCs w:val="16"/>
          <w:color w:val="auto"/>
        </w:rPr>
        <w:t>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Off-Balance Sheet Arrangements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engage in off-balance sheet financing arrangements.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Israeli operations have currency rate fluctuation risk associated with the exchange rate movement of the U.S. dollar against the New Israeli Shekel (“NIS”). During the three months ended March 31, 2021, the U.S. dollar depreciated by approximately 5% as compared to the NIS. During the three months ended March 31, 2021, expenses generated by our Israeli operations totaled approximately $19.8 million.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 Risks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the three months ended March 31, 2021, our allowance for doubtful accounts increased by $0.1 million to approximately $5.4 million. During the three months ended March 31, 2020, we increased our allowance for doubtful accounts by $0.5 million to approximately $3.6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doubtful accounts when accounts previously reserved have been collected.</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market interest rates do not affect in any material respect the value of the investments as recorded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Inflation Risk</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March 31, 2021. Based on that evaluation, the Chief Executive Officer and Chief Financial Officer concluded that our disclosure controls and procedures were effective as of March 31, 2021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2021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the Effectiveness of Internal Control</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previously filed an intellectual property suit against [24]7 Customer, Inc. (“[24]/7”)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our favor have invalidated the majority of [24]7 patents that were asserted in the patent cases. Trial for our intellectual property and other claims asserted against [24]7 is set for May 24, 2021. Trial for [24]7’s patent infringement claims has been vacated, to be reset after the trial on our claims. We believe the claims filed by [24]7 are entirely without merit and intend to defend them vigorously.</w:t>
      </w:r>
    </w:p>
    <w:p>
      <w:pPr>
        <w:spacing w:after="0" w:line="13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routinely assess all of our litigation and threatened litigation as to the probability of ultimately incurring a liability, and record our best estimate of the ultimate loss in situations where we assess the likelihood of loss as probable. 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both"/>
        <w:ind w:firstLine="324"/>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2020, filed on March 8, 2021,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by the issuer during the three months ended March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 by the Issuer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of equity securities by the issuer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4. Mine Safety Disclosures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spacing w:after="0" w:line="209" w:lineRule="auto"/>
        <w:framePr w:w="260" w:h="160" w:wrap="auto" w:vAnchor="page" w:hAnchor="page" w:x="5820" w:y="9808"/>
        <w:rPr>
          <w:rFonts w:ascii="Arial" w:cs="Arial" w:eastAsia="Arial" w:hAnsi="Arial"/>
          <w:sz w:val="16"/>
          <w:szCs w:val="16"/>
          <w:color w:val="auto"/>
        </w:rPr>
      </w:pPr>
      <w:r>
        <w:rPr>
          <w:rFonts w:ascii="Arial" w:cs="Arial" w:eastAsia="Arial" w:hAnsi="Arial"/>
          <w:sz w:val="16"/>
          <w:szCs w:val="16"/>
          <w:color w:val="auto"/>
        </w:rPr>
        <w:t>60</w:t>
      </w:r>
    </w:p>
    <w:p>
      <w:pPr>
        <w:spacing w:after="0" w:line="194" w:lineRule="auto"/>
        <w:framePr w:w="9080" w:h="336" w:wrap="auto" w:vAnchor="page" w:hAnchor="page" w:x="1780" w:y="1627"/>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Certification by Chief Executive Officer pursuant to Exchange Act Rule 13a-14(a), as adopted pursuant to Section 302 of the</w:t>
        </w:r>
      </w:hyperlink>
      <w:r>
        <w:rPr>
          <w:rFonts w:ascii="Arial" w:cs="Arial" w:eastAsia="Arial" w:hAnsi="Arial"/>
          <w:sz w:val="18"/>
          <w:szCs w:val="18"/>
          <w:u w:val="single" w:color="auto"/>
          <w:color w:val="0000FF"/>
        </w:rPr>
        <w:t xml:space="preserve"> </w:t>
      </w:r>
      <w:hyperlink w:anchor="page62">
        <w:r>
          <w:rPr>
            <w:rFonts w:ascii="Arial" w:cs="Arial" w:eastAsia="Arial" w:hAnsi="Arial"/>
            <w:sz w:val="18"/>
            <w:szCs w:val="18"/>
            <w:u w:val="single" w:color="auto"/>
            <w:color w:val="0000FF"/>
          </w:rPr>
          <w:t>Sarbanes-Oxley Act of 2002</w:t>
        </w:r>
      </w:hyperlink>
    </w:p>
    <w:p>
      <w:pPr>
        <w:spacing w:after="0" w:line="194" w:lineRule="auto"/>
        <w:framePr w:w="9040" w:h="336" w:wrap="auto" w:vAnchor="page" w:hAnchor="page" w:x="1780" w:y="2288"/>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Certification by Chief Financial Officer pursuant to Exchange Act Rule 13a-14(a), as adopted pursuant to Section 302 of the</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Sarbanes-Oxley Act of 2002</w:t>
        </w:r>
      </w:hyperlink>
    </w:p>
    <w:p>
      <w:pPr>
        <w:spacing w:after="0" w:line="194" w:lineRule="auto"/>
        <w:framePr w:w="9400" w:h="336" w:wrap="auto" w:vAnchor="page" w:hAnchor="page" w:x="1780" w:y="2963"/>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Certification by Chief Executive Officer pursuant to 18 U.S.C. Section 1350, as adopted pursuant to Section 906 of the Sarbanes-</w:t>
        </w:r>
      </w:hyperlink>
      <w:hyperlink w:anchor="page64">
        <w:r>
          <w:rPr>
            <w:rFonts w:ascii="Arial" w:cs="Arial" w:eastAsia="Arial" w:hAnsi="Arial"/>
            <w:sz w:val="18"/>
            <w:szCs w:val="18"/>
            <w:u w:val="single" w:color="auto"/>
            <w:color w:val="0000FF"/>
          </w:rPr>
          <w:t>Oxley Act of 2002</w:t>
        </w:r>
      </w:hyperlink>
    </w:p>
    <w:p>
      <w:pPr>
        <w:spacing w:after="0" w:line="194" w:lineRule="auto"/>
        <w:framePr w:w="9340" w:h="336" w:wrap="auto" w:vAnchor="page" w:hAnchor="page" w:x="1780" w:y="3638"/>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Certification by Chief Financial Officer pursuant to 18 U.S.C. Section 1350, as adopted pursuant to Section 906 of the Sarbanes-</w:t>
        </w:r>
      </w:hyperlink>
      <w:hyperlink w:anchor="page65">
        <w:r>
          <w:rPr>
            <w:rFonts w:ascii="Arial" w:cs="Arial" w:eastAsia="Arial" w:hAnsi="Arial"/>
            <w:sz w:val="18"/>
            <w:szCs w:val="18"/>
            <w:u w:val="single" w:color="auto"/>
            <w:color w:val="0000FF"/>
          </w:rPr>
          <w:t>Oxley Act of 2002</w:t>
        </w:r>
      </w:hyperlink>
    </w:p>
    <w:p>
      <w:pPr>
        <w:spacing w:after="0" w:line="194" w:lineRule="auto"/>
        <w:framePr w:w="9440" w:h="336" w:wrap="auto" w:vAnchor="page" w:hAnchor="page" w:x="1780" w:y="4313"/>
        <w:rPr>
          <w:rFonts w:ascii="Arial" w:cs="Arial" w:eastAsia="Arial" w:hAnsi="Arial"/>
          <w:sz w:val="18"/>
          <w:szCs w:val="18"/>
          <w:u w:val="single" w:color="auto"/>
          <w:color w:val="0000FF"/>
        </w:rPr>
      </w:pPr>
      <w:r>
        <w:rPr>
          <w:rFonts w:ascii="Arial" w:cs="Arial" w:eastAsia="Arial" w:hAnsi="Arial"/>
          <w:sz w:val="18"/>
          <w:szCs w:val="18"/>
          <w:u w:val="single" w:color="auto"/>
          <w:color w:val="0000FF"/>
        </w:rPr>
        <w:t>Inline XBRL Instance Document -- The instance document does not appear in the Interactive Data File because its XBRL tags are embedded within the Inline XBRL document</w:t>
      </w:r>
    </w:p>
    <w:p>
      <w:pPr>
        <w:spacing w:after="0" w:line="209" w:lineRule="auto"/>
        <w:framePr w:w="4000" w:h="160" w:wrap="auto" w:vAnchor="page" w:hAnchor="page" w:x="1780" w:y="4988"/>
        <w:rPr>
          <w:rFonts w:ascii="Arial" w:cs="Arial" w:eastAsia="Arial" w:hAnsi="Arial"/>
          <w:sz w:val="16"/>
          <w:szCs w:val="16"/>
          <w:u w:val="single" w:color="auto"/>
          <w:color w:val="0000FF"/>
        </w:rPr>
      </w:pPr>
      <w:r>
        <w:rPr>
          <w:rFonts w:ascii="Arial" w:cs="Arial" w:eastAsia="Arial" w:hAnsi="Arial"/>
          <w:sz w:val="16"/>
          <w:szCs w:val="16"/>
          <w:u w:val="single" w:color="auto"/>
          <w:color w:val="0000FF"/>
        </w:rPr>
        <w:t>Inline XBRL Taxonomy Extension Schema Document</w:t>
      </w:r>
    </w:p>
    <w:p>
      <w:pPr>
        <w:spacing w:after="0" w:line="209" w:lineRule="auto"/>
        <w:framePr w:w="4980" w:h="160" w:wrap="auto" w:vAnchor="page" w:hAnchor="page" w:x="1780" w:y="5488"/>
        <w:rPr>
          <w:rFonts w:ascii="Arial" w:cs="Arial" w:eastAsia="Arial" w:hAnsi="Arial"/>
          <w:sz w:val="16"/>
          <w:szCs w:val="16"/>
          <w:u w:val="single" w:color="auto"/>
          <w:color w:val="0000FF"/>
        </w:rPr>
      </w:pPr>
      <w:r>
        <w:rPr>
          <w:rFonts w:ascii="Arial" w:cs="Arial" w:eastAsia="Arial" w:hAnsi="Arial"/>
          <w:sz w:val="16"/>
          <w:szCs w:val="16"/>
          <w:u w:val="single" w:color="auto"/>
          <w:color w:val="0000FF"/>
        </w:rPr>
        <w:t>Inline XBRL Taxonomy Extension Calculation Linkbase Document</w:t>
      </w:r>
    </w:p>
    <w:p>
      <w:pPr>
        <w:spacing w:after="0" w:line="540" w:lineRule="auto"/>
        <w:framePr w:w="5040" w:h="1659" w:wrap="auto" w:vAnchor="page" w:hAnchor="page" w:x="1780" w:y="5987"/>
        <w:rPr>
          <w:rFonts w:ascii="Arial" w:cs="Arial" w:eastAsia="Arial" w:hAnsi="Arial"/>
          <w:sz w:val="16"/>
          <w:szCs w:val="16"/>
          <w:u w:val="single" w:color="auto"/>
          <w:color w:val="0000FF"/>
        </w:rPr>
      </w:pPr>
      <w:r>
        <w:rPr>
          <w:rFonts w:ascii="Arial" w:cs="Arial" w:eastAsia="Arial" w:hAnsi="Arial"/>
          <w:sz w:val="16"/>
          <w:szCs w:val="16"/>
          <w:u w:val="single" w:color="auto"/>
          <w:color w:val="0000FF"/>
        </w:rPr>
        <w:t>Inline XBRL Taxonomy Extension Definition Linkbase Document Inline XBRL Taxonomy Extension Label Linkbase Document Inline XBRL Taxonomy Extension Presentation Linkbase Document Cover Page Interactive Data File (formatted as Inline XBRL)</w:t>
      </w:r>
    </w:p>
    <w:p>
      <w:pPr>
        <w:spacing w:after="0" w:line="196" w:lineRule="auto"/>
        <w:framePr w:w="1560" w:h="160" w:wrap="auto" w:vAnchor="page" w:hAnchor="page" w:x="5160" w:y="911"/>
        <w:rPr>
          <w:rFonts w:ascii="Arial" w:cs="Arial" w:eastAsia="Arial" w:hAnsi="Arial"/>
          <w:sz w:val="17"/>
          <w:szCs w:val="17"/>
          <w:u w:val="single" w:color="auto"/>
          <w:color w:val="0000FF"/>
        </w:rPr>
      </w:pPr>
      <w:r>
        <w:rPr>
          <w:rFonts w:ascii="Arial" w:cs="Arial" w:eastAsia="Arial" w:hAnsi="Arial"/>
          <w:sz w:val="17"/>
          <w:szCs w:val="17"/>
          <w:u w:val="single" w:color="auto"/>
          <w:color w:val="0000FF"/>
        </w:rPr>
        <w:t>ITEM 6. EXHIBITS</w:t>
      </w:r>
    </w:p>
    <w:p>
      <w:pPr>
        <w:spacing w:after="0" w:line="106" w:lineRule="exact"/>
        <w:rPr>
          <w:rFonts w:ascii="Arial" w:cs="Arial" w:eastAsia="Arial" w:hAnsi="Arial"/>
          <w:sz w:val="17"/>
          <w:szCs w:val="17"/>
          <w:u w:val="single" w:color="auto"/>
          <w:color w:val="0000FF"/>
        </w:rPr>
      </w:pPr>
    </w:p>
    <w:p>
      <w:pPr>
        <w:ind w:left="360"/>
        <w:spacing w:after="0"/>
        <w:tabs>
          <w:tab w:leader="none" w:pos="1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30"/>
          <w:szCs w:val="30"/>
          <w:color w:val="auto"/>
          <w:vertAlign w:val="subscript"/>
        </w:rPr>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297" w:lineRule="exact"/>
        <w:rPr>
          <w:rFonts w:ascii="Arial" w:cs="Arial" w:eastAsia="Arial" w:hAnsi="Arial"/>
          <w:sz w:val="17"/>
          <w:szCs w:val="17"/>
          <w:u w:val="single" w:color="auto"/>
          <w:color w:val="0000FF"/>
        </w:rPr>
      </w:pPr>
    </w:p>
    <w:p>
      <w:pPr>
        <w:ind w:left="360"/>
        <w:spacing w:after="0"/>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30"/>
          <w:szCs w:val="30"/>
          <w:color w:val="auto"/>
          <w:vertAlign w:val="subscript"/>
        </w:rPr>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310" w:lineRule="exact"/>
        <w:rPr>
          <w:rFonts w:ascii="Arial" w:cs="Arial" w:eastAsia="Arial" w:hAnsi="Arial"/>
          <w:sz w:val="17"/>
          <w:szCs w:val="17"/>
          <w:u w:val="single" w:color="auto"/>
          <w:color w:val="0000FF"/>
        </w:rPr>
      </w:pPr>
    </w:p>
    <w:p>
      <w:pPr>
        <w:ind w:left="360"/>
        <w:spacing w:after="0"/>
        <w:tabs>
          <w:tab w:leader="none" w:pos="1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34"/>
          <w:szCs w:val="34"/>
          <w:color w:val="auto"/>
          <w:vertAlign w:val="subscript"/>
        </w:rPr>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09803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64" w:lineRule="exact"/>
        <w:rPr>
          <w:rFonts w:ascii="Arial" w:cs="Arial" w:eastAsia="Arial" w:hAnsi="Arial"/>
          <w:sz w:val="17"/>
          <w:szCs w:val="17"/>
          <w:u w:val="single" w:color="auto"/>
          <w:color w:val="0000FF"/>
        </w:rPr>
      </w:pPr>
    </w:p>
    <w:p>
      <w:pPr>
        <w:ind w:left="360"/>
        <w:spacing w:after="0"/>
        <w:tabs>
          <w:tab w:leader="none" w:pos="10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34"/>
          <w:szCs w:val="34"/>
          <w:color w:val="auto"/>
          <w:vertAlign w:val="subscript"/>
        </w:rPr>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09803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64" w:lineRule="exact"/>
        <w:rPr>
          <w:rFonts w:ascii="Arial" w:cs="Arial" w:eastAsia="Arial" w:hAnsi="Arial"/>
          <w:sz w:val="17"/>
          <w:szCs w:val="17"/>
          <w:u w:val="single" w:color="auto"/>
          <w:color w:val="0000FF"/>
        </w:rPr>
      </w:pPr>
    </w:p>
    <w:p>
      <w:pPr>
        <w:ind w:left="220"/>
        <w:spacing w:after="0"/>
        <w:tabs>
          <w:tab w:leader="none" w:pos="104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30"/>
          <w:szCs w:val="30"/>
          <w:color w:val="auto"/>
          <w:vertAlign w:val="subscript"/>
        </w:rPr>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375" w:lineRule="exact"/>
        <w:rPr>
          <w:rFonts w:ascii="Arial" w:cs="Arial" w:eastAsia="Arial" w:hAnsi="Arial"/>
          <w:sz w:val="17"/>
          <w:szCs w:val="17"/>
          <w:u w:val="single" w:color="auto"/>
          <w:color w:val="0000FF"/>
        </w:rPr>
      </w:pPr>
    </w:p>
    <w:p>
      <w:pPr>
        <w:ind w:left="180"/>
        <w:spacing w:after="0"/>
        <w:tabs>
          <w:tab w:leader="none" w:pos="1040" w:val="left"/>
        </w:tabs>
        <w:rPr>
          <w:sz w:val="20"/>
          <w:szCs w:val="20"/>
          <w:color w:val="auto"/>
        </w:rPr>
      </w:pPr>
      <w:r>
        <w:rPr>
          <w:rFonts w:ascii="Arial" w:cs="Arial" w:eastAsia="Arial" w:hAnsi="Arial"/>
          <w:sz w:val="18"/>
          <w:szCs w:val="18"/>
          <w:color w:val="auto"/>
        </w:rPr>
        <w:t>101.SCH</w:t>
        <w:tab/>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73" w:lineRule="exact"/>
        <w:rPr>
          <w:rFonts w:ascii="Arial" w:cs="Arial" w:eastAsia="Arial" w:hAnsi="Arial"/>
          <w:sz w:val="17"/>
          <w:szCs w:val="17"/>
          <w:u w:val="single" w:color="auto"/>
          <w:color w:val="0000FF"/>
        </w:rPr>
      </w:pPr>
    </w:p>
    <w:p>
      <w:pPr>
        <w:ind w:left="180"/>
        <w:spacing w:after="0"/>
        <w:tabs>
          <w:tab w:leader="none" w:pos="1040" w:val="left"/>
        </w:tabs>
        <w:rPr>
          <w:sz w:val="20"/>
          <w:szCs w:val="20"/>
          <w:color w:val="auto"/>
        </w:rPr>
      </w:pPr>
      <w:r>
        <w:rPr>
          <w:rFonts w:ascii="Arial" w:cs="Arial" w:eastAsia="Arial" w:hAnsi="Arial"/>
          <w:sz w:val="18"/>
          <w:szCs w:val="18"/>
          <w:color w:val="auto"/>
        </w:rPr>
        <w:t>101.CAL</w:t>
        <w:tab/>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73" w:lineRule="exact"/>
        <w:rPr>
          <w:rFonts w:ascii="Arial" w:cs="Arial" w:eastAsia="Arial" w:hAnsi="Arial"/>
          <w:sz w:val="17"/>
          <w:szCs w:val="17"/>
          <w:u w:val="single" w:color="auto"/>
          <w:color w:val="0000FF"/>
        </w:rPr>
      </w:pPr>
    </w:p>
    <w:p>
      <w:pPr>
        <w:ind w:left="200"/>
        <w:spacing w:after="0"/>
        <w:tabs>
          <w:tab w:leader="none" w:pos="1040" w:val="left"/>
        </w:tabs>
        <w:rPr>
          <w:sz w:val="20"/>
          <w:szCs w:val="20"/>
          <w:color w:val="auto"/>
        </w:rPr>
      </w:pPr>
      <w:r>
        <w:rPr>
          <w:rFonts w:ascii="Arial" w:cs="Arial" w:eastAsia="Arial" w:hAnsi="Arial"/>
          <w:sz w:val="18"/>
          <w:szCs w:val="18"/>
          <w:color w:val="auto"/>
        </w:rPr>
        <w:t>101.DEF</w:t>
        <w:tab/>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73" w:lineRule="exact"/>
        <w:rPr>
          <w:rFonts w:ascii="Arial" w:cs="Arial" w:eastAsia="Arial" w:hAnsi="Arial"/>
          <w:sz w:val="17"/>
          <w:szCs w:val="17"/>
          <w:u w:val="single" w:color="auto"/>
          <w:color w:val="0000FF"/>
        </w:rPr>
      </w:pPr>
    </w:p>
    <w:p>
      <w:pPr>
        <w:ind w:left="180"/>
        <w:spacing w:after="0"/>
        <w:tabs>
          <w:tab w:leader="none" w:pos="1040" w:val="left"/>
        </w:tabs>
        <w:rPr>
          <w:sz w:val="20"/>
          <w:szCs w:val="20"/>
          <w:color w:val="auto"/>
        </w:rPr>
      </w:pPr>
      <w:r>
        <w:rPr>
          <w:rFonts w:ascii="Arial" w:cs="Arial" w:eastAsia="Arial" w:hAnsi="Arial"/>
          <w:sz w:val="18"/>
          <w:szCs w:val="18"/>
          <w:color w:val="auto"/>
        </w:rPr>
        <w:t>101.LAB</w:t>
        <w:tab/>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73" w:lineRule="exact"/>
        <w:rPr>
          <w:rFonts w:ascii="Arial" w:cs="Arial" w:eastAsia="Arial" w:hAnsi="Arial"/>
          <w:sz w:val="17"/>
          <w:szCs w:val="17"/>
          <w:u w:val="single" w:color="auto"/>
          <w:color w:val="0000FF"/>
        </w:rPr>
      </w:pPr>
    </w:p>
    <w:p>
      <w:pPr>
        <w:ind w:left="200"/>
        <w:spacing w:after="0"/>
        <w:tabs>
          <w:tab w:leader="none" w:pos="1040" w:val="left"/>
        </w:tabs>
        <w:rPr>
          <w:sz w:val="20"/>
          <w:szCs w:val="20"/>
          <w:color w:val="auto"/>
        </w:rPr>
      </w:pPr>
      <w:r>
        <w:rPr>
          <w:rFonts w:ascii="Arial" w:cs="Arial" w:eastAsia="Arial" w:hAnsi="Arial"/>
          <w:sz w:val="18"/>
          <w:szCs w:val="18"/>
          <w:color w:val="auto"/>
        </w:rPr>
        <w:t>101.PRE</w:t>
        <w:tab/>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rFonts w:ascii="Arial" w:cs="Arial" w:eastAsia="Arial" w:hAnsi="Arial"/>
          <w:sz w:val="17"/>
          <w:szCs w:val="17"/>
          <w:u w:val="single" w:color="auto"/>
          <w:color w:val="0000FF"/>
        </w:rPr>
      </w:pPr>
    </w:p>
    <w:p>
      <w:pPr>
        <w:spacing w:after="0" w:line="269" w:lineRule="exact"/>
        <w:rPr>
          <w:rFonts w:ascii="Arial" w:cs="Arial" w:eastAsia="Arial" w:hAnsi="Arial"/>
          <w:sz w:val="17"/>
          <w:szCs w:val="17"/>
          <w:u w:val="single" w:color="auto"/>
          <w:color w:val="0000FF"/>
        </w:rPr>
      </w:pPr>
    </w:p>
    <w:p>
      <w:pPr>
        <w:ind w:left="1060" w:hanging="674"/>
        <w:spacing w:after="0"/>
        <w:tabs>
          <w:tab w:leader="none" w:pos="1060" w:val="left"/>
        </w:tabs>
        <w:numPr>
          <w:ilvl w:val="1"/>
          <w:numId w:val="26"/>
        </w:numPr>
        <w:rPr>
          <w:rFonts w:ascii="Arial" w:cs="Arial" w:eastAsia="Arial" w:hAnsi="Arial"/>
          <w:sz w:val="3"/>
          <w:szCs w:val="3"/>
          <w:color w:val="auto"/>
        </w:rPr>
      </w:pPr>
      <w:r>
        <w:rPr>
          <w:rFonts w:ascii="Arial" w:cs="Arial" w:eastAsia="Arial" w:hAnsi="Arial"/>
          <w:sz w:val="3"/>
          <w:szCs w:val="3"/>
          <w:color w:val="auto"/>
        </w:rPr>
        <w:t>*</w:t>
      </w:r>
    </w:p>
    <w:p>
      <w:pPr>
        <w:spacing w:after="0" w:line="187" w:lineRule="exact"/>
        <w:rPr>
          <w:rFonts w:ascii="Arial" w:cs="Arial" w:eastAsia="Arial" w:hAnsi="Arial"/>
          <w:sz w:val="3"/>
          <w:szCs w:val="3"/>
          <w:color w:val="auto"/>
        </w:rPr>
      </w:pPr>
    </w:p>
    <w:p>
      <w:pPr>
        <w:spacing w:after="0"/>
        <w:rPr>
          <w:rFonts w:ascii="Arial" w:cs="Arial" w:eastAsia="Arial" w:hAnsi="Arial"/>
          <w:sz w:val="3"/>
          <w:szCs w:val="3"/>
          <w:color w:val="auto"/>
        </w:rPr>
      </w:pPr>
      <w:r>
        <w:rPr>
          <w:rFonts w:ascii="Arial" w:cs="Arial" w:eastAsia="Arial" w:hAnsi="Arial"/>
          <w:sz w:val="18"/>
          <w:szCs w:val="18"/>
          <w:color w:val="auto"/>
        </w:rPr>
        <w:t>*  Filed herewith</w:t>
      </w:r>
    </w:p>
    <w:p>
      <w:pPr>
        <w:spacing w:after="0" w:line="117" w:lineRule="exact"/>
        <w:rPr>
          <w:rFonts w:ascii="Arial" w:cs="Arial" w:eastAsia="Arial" w:hAnsi="Arial"/>
          <w:sz w:val="3"/>
          <w:szCs w:val="3"/>
          <w:color w:val="auto"/>
        </w:rPr>
      </w:pPr>
    </w:p>
    <w:p>
      <w:pPr>
        <w:ind w:left="360" w:hanging="352"/>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1088390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0" w:name="page61"/>
    <w:bookmarkEnd w:id="60"/>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680" w:type="dxa"/>
            <w:vAlign w:val="bottom"/>
            <w:gridSpan w:val="2"/>
          </w:tcPr>
          <w:p>
            <w:pPr>
              <w:ind w:left="1680"/>
              <w:spacing w:after="0"/>
              <w:rPr>
                <w:sz w:val="20"/>
                <w:szCs w:val="20"/>
                <w:color w:val="auto"/>
              </w:rPr>
            </w:pPr>
            <w:r>
              <w:rPr>
                <w:rFonts w:ascii="Arial" w:cs="Arial" w:eastAsia="Arial" w:hAnsi="Arial"/>
                <w:sz w:val="18"/>
                <w:szCs w:val="18"/>
                <w:b w:val="1"/>
                <w:bCs w:val="1"/>
                <w:color w:val="auto"/>
              </w:rPr>
              <w:t>LIVEPERSON, INC.</w:t>
            </w:r>
          </w:p>
        </w:tc>
      </w:tr>
      <w:tr>
        <w:trPr>
          <w:trHeight w:val="230"/>
        </w:trPr>
        <w:tc>
          <w:tcPr>
            <w:tcW w:w="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680" w:type="dxa"/>
            <w:vAlign w:val="bottom"/>
            <w:gridSpan w:val="2"/>
          </w:tcPr>
          <w:p>
            <w:pPr>
              <w:ind w:left="1680"/>
              <w:spacing w:after="0"/>
              <w:rPr>
                <w:sz w:val="20"/>
                <w:szCs w:val="20"/>
                <w:color w:val="auto"/>
              </w:rPr>
            </w:pPr>
            <w:r>
              <w:rPr>
                <w:rFonts w:ascii="Arial" w:cs="Arial" w:eastAsia="Arial" w:hAnsi="Arial"/>
                <w:sz w:val="18"/>
                <w:szCs w:val="18"/>
                <w:color w:val="auto"/>
              </w:rPr>
              <w:t>(Registrant)</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740" w:type="dxa"/>
            <w:vAlign w:val="bottom"/>
          </w:tcPr>
          <w:p>
            <w:pPr>
              <w:ind w:left="140"/>
              <w:spacing w:after="0"/>
              <w:rPr>
                <w:sz w:val="20"/>
                <w:szCs w:val="20"/>
                <w:color w:val="auto"/>
              </w:rPr>
            </w:pPr>
            <w:r>
              <w:rPr>
                <w:rFonts w:ascii="Arial" w:cs="Arial" w:eastAsia="Arial" w:hAnsi="Arial"/>
                <w:sz w:val="18"/>
                <w:szCs w:val="18"/>
                <w:color w:val="auto"/>
              </w:rPr>
              <w:t>May 7, 2021</w:t>
            </w:r>
          </w:p>
        </w:tc>
        <w:tc>
          <w:tcPr>
            <w:tcW w:w="2500" w:type="dxa"/>
            <w:vAlign w:val="bottom"/>
          </w:tcPr>
          <w:p>
            <w:pPr>
              <w:ind w:left="16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22"/>
        </w:trPr>
        <w:tc>
          <w:tcPr>
            <w:tcW w:w="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500" w:type="dxa"/>
            <w:vAlign w:val="bottom"/>
          </w:tcPr>
          <w:p>
            <w:pPr>
              <w:ind w:left="168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30"/>
        </w:trPr>
        <w:tc>
          <w:tcPr>
            <w:tcW w:w="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500" w:type="dxa"/>
            <w:vAlign w:val="bottom"/>
          </w:tcPr>
          <w:p>
            <w:pPr>
              <w:ind w:left="168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740" w:type="dxa"/>
            <w:vAlign w:val="bottom"/>
          </w:tcPr>
          <w:p>
            <w:pPr>
              <w:ind w:left="140"/>
              <w:spacing w:after="0"/>
              <w:rPr>
                <w:sz w:val="20"/>
                <w:szCs w:val="20"/>
                <w:color w:val="auto"/>
              </w:rPr>
            </w:pPr>
            <w:r>
              <w:rPr>
                <w:rFonts w:ascii="Arial" w:cs="Arial" w:eastAsia="Arial" w:hAnsi="Arial"/>
                <w:sz w:val="18"/>
                <w:szCs w:val="18"/>
                <w:color w:val="auto"/>
              </w:rPr>
              <w:t>May 7, 2021</w:t>
            </w:r>
          </w:p>
        </w:tc>
        <w:tc>
          <w:tcPr>
            <w:tcW w:w="2500" w:type="dxa"/>
            <w:vAlign w:val="bottom"/>
          </w:tcPr>
          <w:p>
            <w:pPr>
              <w:ind w:left="16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D. COLLINS</w:t>
            </w:r>
          </w:p>
        </w:tc>
      </w:tr>
      <w:tr>
        <w:trPr>
          <w:trHeight w:val="222"/>
        </w:trPr>
        <w:tc>
          <w:tcPr>
            <w:tcW w:w="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500" w:type="dxa"/>
            <w:vAlign w:val="bottom"/>
          </w:tcPr>
          <w:p>
            <w:pPr>
              <w:ind w:left="168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John D. Collins</w:t>
            </w:r>
          </w:p>
        </w:tc>
      </w:tr>
      <w:tr>
        <w:trPr>
          <w:trHeight w:val="230"/>
        </w:trPr>
        <w:tc>
          <w:tcPr>
            <w:tcW w:w="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500" w:type="dxa"/>
            <w:vAlign w:val="bottom"/>
          </w:tcPr>
          <w:p>
            <w:pPr>
              <w:ind w:left="168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320" w:top="891" w:right="5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0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left="340" w:right="180" w:hanging="332"/>
        <w:spacing w:after="0" w:line="263" w:lineRule="auto"/>
        <w:tabs>
          <w:tab w:leader="none" w:pos="3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340" w:right="180" w:hanging="332"/>
        <w:spacing w:after="0" w:line="263"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right="40" w:hanging="332"/>
        <w:spacing w:after="0" w:line="277" w:lineRule="auto"/>
        <w:tabs>
          <w:tab w:leader="none" w:pos="3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340" w:right="80" w:hanging="332"/>
        <w:spacing w:after="0" w:line="263"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340" w:right="1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340" w:right="140" w:hanging="332"/>
        <w:spacing w:after="0" w:line="277" w:lineRule="auto"/>
        <w:tabs>
          <w:tab w:leader="none" w:pos="3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0" w:hanging="332"/>
        <w:spacing w:after="0" w:line="277"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280"/>
              <w:spacing w:after="0"/>
              <w:rPr>
                <w:sz w:val="20"/>
                <w:szCs w:val="20"/>
                <w:color w:val="auto"/>
              </w:rPr>
            </w:pPr>
            <w:r>
              <w:rPr>
                <w:rFonts w:ascii="Arial" w:cs="Arial" w:eastAsia="Arial" w:hAnsi="Arial"/>
                <w:sz w:val="18"/>
                <w:szCs w:val="18"/>
                <w:color w:val="auto"/>
              </w:rPr>
              <w:t>May 7, 2021</w:t>
            </w:r>
          </w:p>
        </w:tc>
        <w:tc>
          <w:tcPr>
            <w:tcW w:w="2480" w:type="dxa"/>
            <w:vAlign w:val="bottom"/>
          </w:tcPr>
          <w:p>
            <w:pPr>
              <w:ind w:left="176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22"/>
        </w:trPr>
        <w:tc>
          <w:tcPr>
            <w:tcW w:w="6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80" w:type="dxa"/>
            <w:vAlign w:val="bottom"/>
          </w:tcPr>
          <w:p>
            <w:pPr>
              <w:ind w:left="1760"/>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30"/>
        </w:trPr>
        <w:tc>
          <w:tcPr>
            <w:tcW w:w="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80" w:type="dxa"/>
            <w:vAlign w:val="bottom"/>
          </w:tcPr>
          <w:p>
            <w:pPr>
              <w:ind w:left="176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John Collins, certify that:</w:t>
      </w:r>
    </w:p>
    <w:p>
      <w:pPr>
        <w:spacing w:after="0" w:line="10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left="340" w:right="180" w:hanging="332"/>
        <w:spacing w:after="0" w:line="263" w:lineRule="auto"/>
        <w:tabs>
          <w:tab w:leader="none" w:pos="3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340" w:right="180" w:hanging="332"/>
        <w:spacing w:after="0" w:line="263" w:lineRule="auto"/>
        <w:tabs>
          <w:tab w:leader="none" w:pos="3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right="40" w:hanging="332"/>
        <w:spacing w:after="0" w:line="277" w:lineRule="auto"/>
        <w:tabs>
          <w:tab w:leader="none" w:pos="3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340" w:right="80" w:hanging="332"/>
        <w:spacing w:after="0" w:line="263" w:lineRule="auto"/>
        <w:tabs>
          <w:tab w:leader="none" w:pos="3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340" w:right="1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340" w:right="140" w:hanging="332"/>
        <w:spacing w:after="0" w:line="277" w:lineRule="auto"/>
        <w:tabs>
          <w:tab w:leader="none" w:pos="3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0" w:hanging="332"/>
        <w:spacing w:after="0" w:line="277"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320"/>
              <w:spacing w:after="0"/>
              <w:rPr>
                <w:sz w:val="20"/>
                <w:szCs w:val="20"/>
                <w:color w:val="auto"/>
              </w:rPr>
            </w:pPr>
            <w:r>
              <w:rPr>
                <w:rFonts w:ascii="Arial" w:cs="Arial" w:eastAsia="Arial" w:hAnsi="Arial"/>
                <w:sz w:val="18"/>
                <w:szCs w:val="18"/>
                <w:color w:val="auto"/>
              </w:rPr>
              <w:t>May 7, 2021</w:t>
            </w:r>
          </w:p>
        </w:tc>
        <w:tc>
          <w:tcPr>
            <w:tcW w:w="2340" w:type="dxa"/>
            <w:vAlign w:val="bottom"/>
          </w:tcPr>
          <w:p>
            <w:pPr>
              <w:ind w:left="16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Collins</w:t>
            </w:r>
          </w:p>
        </w:tc>
      </w:tr>
      <w:tr>
        <w:trPr>
          <w:trHeight w:val="222"/>
        </w:trPr>
        <w:tc>
          <w:tcPr>
            <w:tcW w:w="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340" w:type="dxa"/>
            <w:vAlign w:val="bottom"/>
          </w:tcPr>
          <w:p>
            <w:pPr>
              <w:ind w:left="162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John Collins</w:t>
            </w:r>
          </w:p>
        </w:tc>
      </w:tr>
      <w:tr>
        <w:trPr>
          <w:trHeight w:val="230"/>
        </w:trPr>
        <w:tc>
          <w:tcPr>
            <w:tcW w:w="6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40" w:type="dxa"/>
            <w:vAlign w:val="bottom"/>
          </w:tcPr>
          <w:p>
            <w:pPr>
              <w:ind w:left="162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12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 Robert P. LoCascio, Chief Executive Officer of LivePerson, Inc. (the “Company”),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89" w:lineRule="exact"/>
        <w:rPr>
          <w:sz w:val="20"/>
          <w:szCs w:val="20"/>
          <w:color w:val="auto"/>
        </w:rPr>
      </w:pPr>
    </w:p>
    <w:p>
      <w:pPr>
        <w:ind w:left="660" w:right="120" w:hanging="328"/>
        <w:spacing w:after="0" w:line="308" w:lineRule="auto"/>
        <w:tabs>
          <w:tab w:leader="none" w:pos="65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2021, as filed with the Securities and Exchange Commission (the “Report”), fully complies with the requirements of Section 13(a) or 15(d) of the Securities Exchange Act of 1934; and</w:t>
      </w:r>
    </w:p>
    <w:p>
      <w:pPr>
        <w:spacing w:after="0" w:line="11" w:lineRule="exact"/>
        <w:rPr>
          <w:rFonts w:ascii="Arial" w:cs="Arial" w:eastAsia="Arial" w:hAnsi="Arial"/>
          <w:sz w:val="17"/>
          <w:szCs w:val="17"/>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200"/>
              <w:spacing w:after="0"/>
              <w:rPr>
                <w:sz w:val="20"/>
                <w:szCs w:val="20"/>
                <w:color w:val="auto"/>
              </w:rPr>
            </w:pPr>
            <w:r>
              <w:rPr>
                <w:rFonts w:ascii="Arial" w:cs="Arial" w:eastAsia="Arial" w:hAnsi="Arial"/>
                <w:sz w:val="18"/>
                <w:szCs w:val="18"/>
                <w:color w:val="auto"/>
              </w:rPr>
              <w:t>May 7, 2021</w:t>
            </w:r>
          </w:p>
        </w:tc>
        <w:tc>
          <w:tcPr>
            <w:tcW w:w="2540" w:type="dxa"/>
            <w:vAlign w:val="bottom"/>
          </w:tcPr>
          <w:p>
            <w:pPr>
              <w:ind w:left="18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 LOCASCIO</w:t>
            </w:r>
          </w:p>
        </w:tc>
      </w:tr>
      <w:tr>
        <w:trPr>
          <w:trHeight w:val="222"/>
        </w:trPr>
        <w:tc>
          <w:tcPr>
            <w:tcW w:w="6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540" w:type="dxa"/>
            <w:vAlign w:val="bottom"/>
          </w:tcPr>
          <w:p>
            <w:pPr>
              <w:ind w:left="182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Robert P. LoCascio</w:t>
            </w:r>
          </w:p>
        </w:tc>
      </w:tr>
      <w:tr>
        <w:trPr>
          <w:trHeight w:val="230"/>
        </w:trPr>
        <w:tc>
          <w:tcPr>
            <w:tcW w:w="6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40" w:type="dxa"/>
            <w:vAlign w:val="bottom"/>
          </w:tcPr>
          <w:p>
            <w:pPr>
              <w:ind w:left="182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 John Collins, Chief Financial Officer of LivePerson, Inc. (the “Company”), certify, pursuant to 18 U.S.C. Section 1350, as adopted pursuant to Section 906 of the Sarbanes-Oxley Act of 2002, that:</w:t>
      </w:r>
    </w:p>
    <w:p>
      <w:pPr>
        <w:spacing w:after="0" w:line="49" w:lineRule="exact"/>
        <w:rPr>
          <w:sz w:val="20"/>
          <w:szCs w:val="20"/>
          <w:color w:val="auto"/>
        </w:rPr>
      </w:pPr>
    </w:p>
    <w:p>
      <w:pPr>
        <w:ind w:left="660" w:right="120" w:hanging="328"/>
        <w:spacing w:after="0" w:line="308"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2021, as filed with the Securities and Exchange Commission (the “Report”), fully complies with the requirements of Section 13(a) or 15(d) of the Securities Exchange Act of 1934; and</w:t>
      </w:r>
    </w:p>
    <w:p>
      <w:pPr>
        <w:spacing w:after="0" w:line="11" w:lineRule="exact"/>
        <w:rPr>
          <w:rFonts w:ascii="Arial" w:cs="Arial" w:eastAsia="Arial" w:hAnsi="Arial"/>
          <w:sz w:val="17"/>
          <w:szCs w:val="17"/>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320"/>
              <w:spacing w:after="0"/>
              <w:rPr>
                <w:sz w:val="20"/>
                <w:szCs w:val="20"/>
                <w:color w:val="auto"/>
              </w:rPr>
            </w:pPr>
            <w:r>
              <w:rPr>
                <w:rFonts w:ascii="Arial" w:cs="Arial" w:eastAsia="Arial" w:hAnsi="Arial"/>
                <w:sz w:val="18"/>
                <w:szCs w:val="18"/>
                <w:color w:val="auto"/>
              </w:rPr>
              <w:t>May 7, 2021</w:t>
            </w:r>
          </w:p>
        </w:tc>
        <w:tc>
          <w:tcPr>
            <w:tcW w:w="2480" w:type="dxa"/>
            <w:vAlign w:val="bottom"/>
          </w:tcPr>
          <w:p>
            <w:pPr>
              <w:ind w:left="17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Collins</w:t>
            </w:r>
          </w:p>
        </w:tc>
      </w:tr>
      <w:tr>
        <w:trPr>
          <w:trHeight w:val="222"/>
        </w:trPr>
        <w:tc>
          <w:tcPr>
            <w:tcW w:w="7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80" w:type="dxa"/>
            <w:vAlign w:val="bottom"/>
          </w:tcPr>
          <w:p>
            <w:pPr>
              <w:ind w:left="178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John Collins</w:t>
            </w:r>
          </w:p>
        </w:tc>
      </w:tr>
      <w:tr>
        <w:trPr>
          <w:trHeight w:val="230"/>
        </w:trPr>
        <w:tc>
          <w:tcPr>
            <w:tcW w:w="7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80" w:type="dxa"/>
            <w:vAlign w:val="bottom"/>
          </w:tcPr>
          <w:p>
            <w:pPr>
              <w:ind w:left="178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lvl w:ilvl="1">
      <w:lvlJc w:val="left"/>
      <w:lvlText w:val="%2"/>
      <w:numFmt w:val="decimal"/>
      <w:start w:val="104"/>
    </w:lvl>
  </w:abstractNum>
  <w:abstractNum w:abstractNumId="26">
    <w:nsid w:val="6CEAF087"/>
    <w:multiLevelType w:val="hybridMultilevel"/>
    <w:lvl w:ilvl="0">
      <w:lvlJc w:val="left"/>
      <w:lvlText w:val="**"/>
      <w:numFmt w:val="bullet"/>
      <w:start w:val="1"/>
    </w:lvl>
    <w:lvl w:ilvl="1">
      <w:lvlJc w:val="left"/>
      <w:lvlText w:val="%2"/>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2021-05-07T16:26:52Z</dcterms:created>
  <dcterms:modified xsi:type="dcterms:W3CDTF">2021-05-07T16:26:52Z</dcterms:modified>
</cp:coreProperties>
</file>