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July 27, 2018, 62,408,378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June 30, 2018 and December 31,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6"/>
              </w:rPr>
              <w:t>Condensed Consolidated Statements of Operations for the Three and Six Months Ended June 30,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2"/>
              </w:rPr>
              <w:t>Condensed Consolidated Statements of Comprehensive Loss for the Three and Six Months Ended June 30, 2018 and</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2017</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5"/>
              </w:rPr>
              <w:t>Condensed Consolidated Statements of Cash Flows for the Three and Six Months Ended June 30,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69,747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56,115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1,451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4"/>
              </w:rPr>
              <w:t>Accounts receivable, net of allowance for doubtful accounts of $1,672 and $1,318 as of June 30, 2018 and December 31,</w:t>
            </w: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2017, respectively</w:t>
            </w:r>
          </w:p>
        </w:tc>
        <w:tc>
          <w:tcPr>
            <w:tcW w:w="30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38,109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37,926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7,352</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124,957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102,844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38,066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34,705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12,321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12,366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80,473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80,531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1,600</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258,421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39,252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48,011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47,375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35,563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92,834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89,055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2,131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2,766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98,569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92,736</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337,238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305,676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(173,983)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(163,135)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159,852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140,063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258,421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00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24"/>
                <w:szCs w:val="24"/>
                <w:color w:val="auto"/>
              </w:rPr>
            </w:pPr>
          </w:p>
        </w:tc>
        <w:tc>
          <w:tcPr>
            <w:tcW w:w="200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rPr>
              <w:t>June 30,</w:t>
            </w:r>
          </w:p>
        </w:tc>
      </w:tr>
      <w:tr>
        <w:trPr>
          <w:trHeight w:val="264"/>
        </w:trPr>
        <w:tc>
          <w:tcPr>
            <w:tcW w:w="70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r>
      <w:tr>
        <w:trPr>
          <w:trHeight w:val="256"/>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61,660</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54,074</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119,901</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104,993</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16,036</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15,134</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29,990</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28,915</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25,392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49,523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45,092</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11,499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10,437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21,622</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20,130</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14,219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27,471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19,285</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2,084</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2,315</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942</w:t>
            </w:r>
          </w:p>
        </w:tc>
      </w:tr>
      <w:tr>
        <w:trPr>
          <w:trHeight w:val="33"/>
        </w:trPr>
        <w:tc>
          <w:tcPr>
            <w:tcW w:w="70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69,476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60,835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131,538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116,679</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(11,686)</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221</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(11,465)</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1,744</w:t>
            </w:r>
          </w:p>
        </w:tc>
      </w:tr>
      <w:tr>
        <w:trPr>
          <w:trHeight w:val="284"/>
        </w:trPr>
        <w:tc>
          <w:tcPr>
            <w:tcW w:w="70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(8,321)</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(7,533)</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(11,524)</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(13,209)</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(0.24)</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58,648,195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55,954,158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4"/>
              </w:rPr>
              <w:t>57,982,648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55,964,568</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58,648,195</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55,954,158</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57,982,648</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55,964,568</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700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193</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1,408</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1,436</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1,223</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3,847</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3,635</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789</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590</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824</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1,918</w:t>
            </w:r>
          </w:p>
        </w:tc>
      </w:tr>
      <w:tr>
        <w:trPr>
          <w:trHeight w:val="290"/>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4"/>
                <w:szCs w:val="24"/>
                <w:color w:val="auto"/>
              </w:rPr>
            </w:pP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(8,321)</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(7,533)</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(11,524)</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(13,209)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(4,618)</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(6,835)</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(8,753)</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3"/>
              </w:rPr>
              <w:t>(17,827)</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19"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(11,524)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(13,209)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6,264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4,260</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6,786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5,838</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2,860</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958</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6,011</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(9,531)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(3,864)</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(3,881)</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(8,771)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(3,204)</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9,477</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245</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provided by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5,364</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(9,664)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(7,011)</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205</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(239)</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(8,821)</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(7,045)</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25,667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2,588</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24,322</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807</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4,350</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13,632</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3,476</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56,115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50,889</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69,747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54,365</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5,553</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41</w:t>
            </w:r>
          </w:p>
        </w:tc>
      </w:tr>
      <w:tr>
        <w:trPr>
          <w:trHeight w:val="258"/>
        </w:trPr>
        <w:tc>
          <w:tcPr>
            <w:tcW w:w="8340" w:type="dxa"/>
            <w:vAlign w:val="bottom"/>
          </w:tcPr>
          <w:p>
            <w:pPr>
              <w:ind w:left="180"/>
              <w:spacing w:after="0"/>
              <w:rPr>
                <w:sz w:val="20"/>
                <w:szCs w:val="20"/>
                <w:color w:val="auto"/>
              </w:rPr>
            </w:pPr>
            <w:r>
              <w:rPr>
                <w:rFonts w:ascii="Arial" w:cs="Arial" w:eastAsia="Arial" w:hAnsi="Arial"/>
                <w:sz w:val="14"/>
                <w:szCs w:val="14"/>
                <w:color w:val="auto"/>
              </w:rPr>
              <w:t>Issuance of 85,861 shares of common stock in connection with the BotCentral transaction on January 24, 2018</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Mountain View (California) and Seattle (Washington), and international offices in Amsterdam (Netherlands), Berlin (Germany), London (United Kingdom), Mannheim (Germany), Melbourne (Australia), Milan (Italy), Paris (France), Ra'anana (Israel), Reading (United Kingdom), Tel Aviv (Israel), and Tokyo (Japan).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w:t>
      </w:r>
    </w:p>
    <w:p>
      <w:pPr>
        <w:spacing w:after="0" w:line="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LiveEngage was designed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services (SMS), social media and third-party consumer messaging platforms. Brands can also use LiveEngage to message consumers when they dial a 1-800 number instead of having them navigate interactive voice response systems (IVR) and wait on hold. The platform seamlessly integrates with third-party bots, enabling brands to manage both AI- based agents and human agents from a single console.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transactions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June 30, 2018 and for the three and six months ended June 30, 2018 and 2017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2018, and the consolidated results of operations, comprehensive loss and cash flows for the interim periods ended June 30, 2018 and 2017.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2017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2017 included in the Company’s Annual Report on Form 10-K filed with the SEC on March 15,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2018, the Financial Accounting Standards Board (“FASB”) issued Accounting Standards Update ("ASU") No.2018-07 "Compensation — Stock Compensation (Topic 718)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2018-05 is effective for public companies for fiscal years beginning after December 15, 2018, including interim periods within that fiscal year. The Company is currently evaluating the impact of this updated standard, but does not believe this update will have a significant impact on its consolidated financial statements.</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2018, the FASB issued ASU No.2018-05 "Income Taxes (Topic 740): Amendments to SEC Paragraphs Pursuant to SEC Staff Accounting Bulletin No. 118" ("ASU 2018-05"). This new standard adds SEC paragraphs pursuant to the SEC Staff Accounting Bulletin No. 118, which expresses the view of the staff regarding application of Topic 740, Income Taxes, in the reporting period that includes December 22, 2017 - the date on which the Tax Cuts and Jobs Act (H.R.1, An Act to Provide for Reconciliation Pursuant to Titles II and V of the Concurrent Resolution on the Budget for Fiscal Year 2018) was signed into law. ASU 2018-05 is effective upon inclusion in the FASB Codification.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("ASU 2018-02"). This new standard allows a reclassification from accumulated other comprehensive income to retained earnings for stranded tax effects resulting from the Tax Cuts and Jobs Act of 2017. The amendments in ASU 2018-02 affects any entity that is required to apply the provisions of Topic 220 and has items of other comprehensive income for which the related tax effects are presented in other comprehensive income as required by GAAP.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2016, the FASB issued ASU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comparative period presented. Lessees and lessors may not apply a full retrospective transition approach. ASU 2016-02 is effective for financial statements issued for annual periods beginning after December 15, 2018. The Company is currently assessing the provisions of this guidance and evaluating the timing and impact the guidance will have on its consolidated financial statements and related disclosures. The Company is also in the process of aggregating lease documentation for review. The adoption of this ASU primarily impacts the balance sheet through the recognition of a right-of-use asset and a lease liability for all leases with terms in excess of twelve months. This guidance is effective January 1, 2019 using a modified retrospective transition approach with early adoption permitted.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Topic 606 supersedes the revenue recognition requirements in Accounting Standards Codification ("ASC") Topic 605, "Revenue Recognition" ("Topic 605"), and requires the recognition of revenue when promised goods or services are transferred to customers in an amount that reflects the considerations to which the entity expects to be entitled to in exchange for those goods or services. Topic 606 also includes Subtopic 340-40, "Other Assets and Deferred Costs - Contracts with Customers", which requires the deferral of incremental costs of obtaining a contract with a customer. Collectively, the Company refers to Topic 606 and Subtopic 340-40 as the "new standard."</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adopted the requirements of the new standard as of January 1, 2018, utilizing the modified retrospective method applied to those contracts which were not completed as of January 1, 2018. Results for the reporting periods beginning after January 1, 2018 are presented under the new standard, while prior period amounts are not adjusted and continue to be reported in accordance with its historic accounting under Topic 605.</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impact of adopting the new standard as of January 1, 2018 on revenues was not material. The primary impact of adopting the new standard relates to the deferral of incremental commission costs of obtaining subscription contracts. The Company recorded an addition to opening retained earnings of $0.7 million as of January 1, 2018 due to the impact of adopting the new standard, with the impact related to the deferral of incremental commission costs. Under Topic 605, the Company deferred only direct and incremental commission costs to obtain a contract and amortized those costs on a straight-line basis over the term of the related subscription contract, which was generally one year. Under the new standard, the Company defers all incremental commission costs to obtain the contract. The prepaid commission balance as of June 30, 2018 is $7.9 million. The Company amortizes these costs over the related period of benefit using the customer expected life that the Company determined to be three to five years which is consistent with the transfer to the customer of the services to which the asset relates.</w:t>
      </w:r>
    </w:p>
    <w:p>
      <w:pPr>
        <w:spacing w:after="0" w:line="29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of $61.7 million and $119.9 million recognized during the three months and six months ended June 30, 2018, under Topic 606, was not materially different from what would have been recognized under Topic 605.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7"/>
          <w:szCs w:val="17"/>
          <w:color w:val="auto"/>
        </w:rPr>
        <w:t>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ASC-606, "Principal Agent Considerations", the Company acts as a principal in a transaction if it controls the specified goods or services before they are transferred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 the balance to the Expert. Revenue from these transactions is recognized at the point in time when the transaction is complete and no significant performance obligations remain.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increase in the deferred revenue balance for the six months ended June 30, 2018 is primarily driven by cash payments received or due in advance of satisfying its performance obligations, partially offset by $26.2 million of revenues recognized that were included in the deferred revenue balance as of December 31, 2017. The following table presents deferred revenue by revenue source (amounts in thousands):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Deferred Revenue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 2018</w:t>
            </w:r>
          </w:p>
        </w:tc>
        <w:tc>
          <w:tcPr>
            <w:tcW w:w="1360" w:type="dxa"/>
            <w:vAlign w:val="bottom"/>
            <w:gridSpan w:val="2"/>
          </w:tcPr>
          <w:p>
            <w:pPr>
              <w:jc w:val="right"/>
              <w:ind w:right="1"/>
              <w:spacing w:after="0" w:line="153" w:lineRule="exact"/>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6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38,063</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27,011</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Consumer</w:t>
            </w:r>
          </w:p>
        </w:tc>
        <w:tc>
          <w:tcPr>
            <w:tcW w:w="10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6"/>
                <w:szCs w:val="16"/>
                <w:color w:val="auto"/>
              </w:rPr>
              <w:t>Professional services</w:t>
            </w:r>
          </w:p>
        </w:tc>
        <w:tc>
          <w:tcPr>
            <w:tcW w:w="1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11,443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8,552</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Total deferred revenue</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49,506</w:t>
            </w:r>
          </w:p>
        </w:tc>
        <w:tc>
          <w:tcPr>
            <w:tcW w:w="10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auto"/>
            </w:tcBorders>
            <w:shd w:val="clear" w:color="auto" w:fill="CCFFCC"/>
          </w:tcPr>
          <w:p>
            <w:pPr>
              <w:jc w:val="right"/>
              <w:ind w:right="3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35,563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628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FFCC"/>
            </w:tcBorders>
          </w:tcPr>
          <w:p>
            <w:pPr>
              <w:jc w:val="right"/>
              <w:ind w:right="71"/>
              <w:spacing w:after="0"/>
              <w:rPr>
                <w:sz w:val="20"/>
                <w:szCs w:val="20"/>
                <w:color w:val="auto"/>
              </w:rPr>
            </w:pPr>
            <w:r>
              <w:rPr>
                <w:rFonts w:ascii="Arial" w:cs="Arial" w:eastAsia="Arial" w:hAnsi="Arial"/>
                <w:sz w:val="9"/>
                <w:szCs w:val="9"/>
                <w:b w:val="1"/>
                <w:bCs w:val="1"/>
                <w:color w:val="auto"/>
              </w:rPr>
              <w:t>(1)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FFCC"/>
            </w:tcBorders>
          </w:tcPr>
          <w:p>
            <w:pPr>
              <w:jc w:val="right"/>
              <w:ind w:right="95"/>
              <w:spacing w:after="0"/>
              <w:rPr>
                <w:sz w:val="20"/>
                <w:szCs w:val="20"/>
                <w:color w:val="auto"/>
              </w:rPr>
            </w:pPr>
            <w:r>
              <w:rPr>
                <w:rFonts w:ascii="Arial" w:cs="Arial" w:eastAsia="Arial" w:hAnsi="Arial"/>
                <w:sz w:val="9"/>
                <w:szCs w:val="9"/>
                <w:b w:val="1"/>
                <w:bCs w:val="1"/>
                <w:color w:val="auto"/>
              </w:rPr>
              <w:t>(1)</w:t>
            </w:r>
          </w:p>
        </w:tc>
      </w:tr>
      <w:tr>
        <w:trPr>
          <w:trHeight w:val="250"/>
        </w:trPr>
        <w:tc>
          <w:tcPr>
            <w:tcW w:w="6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48,331</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43,927</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95,759</w:t>
            </w:r>
          </w:p>
        </w:tc>
        <w:tc>
          <w:tcPr>
            <w:tcW w:w="2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85,420</w:t>
            </w:r>
          </w:p>
        </w:tc>
        <w:tc>
          <w:tcPr>
            <w:tcW w:w="3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shd w:val="clear" w:color="auto" w:fill="CCFFCC"/>
              </w:rPr>
              <w:t>Hosted services – Consumer</w:t>
            </w:r>
          </w:p>
        </w:tc>
        <w:tc>
          <w:tcPr>
            <w:tcW w:w="2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4,952</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4,460</w:t>
            </w:r>
          </w:p>
        </w:tc>
        <w:tc>
          <w:tcPr>
            <w:tcW w:w="34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9,632</w:t>
            </w:r>
          </w:p>
        </w:tc>
        <w:tc>
          <w:tcPr>
            <w:tcW w:w="2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8,630</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8,377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5,687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14,510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10,943</w:t>
            </w:r>
          </w:p>
        </w:tc>
        <w:tc>
          <w:tcPr>
            <w:tcW w:w="340" w:type="dxa"/>
            <w:vAlign w:val="bottom"/>
          </w:tcPr>
          <w:p>
            <w:pPr>
              <w:spacing w:after="0"/>
              <w:rPr>
                <w:sz w:val="20"/>
                <w:szCs w:val="20"/>
                <w:color w:val="auto"/>
              </w:rPr>
            </w:pPr>
          </w:p>
        </w:tc>
      </w:tr>
      <w:tr>
        <w:trPr>
          <w:trHeight w:val="33"/>
        </w:trPr>
        <w:tc>
          <w:tcPr>
            <w:tcW w:w="62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30"/>
        </w:trPr>
        <w:tc>
          <w:tcPr>
            <w:tcW w:w="6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61,660</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54,074</w:t>
            </w:r>
          </w:p>
        </w:tc>
        <w:tc>
          <w:tcPr>
            <w:tcW w:w="5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119,901</w:t>
            </w:r>
          </w:p>
        </w:tc>
        <w:tc>
          <w:tcPr>
            <w:tcW w:w="2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104,993</w:t>
            </w:r>
          </w:p>
        </w:tc>
        <w:tc>
          <w:tcPr>
            <w:tcW w:w="340" w:type="dxa"/>
            <w:vAlign w:val="bottom"/>
            <w:tcBorders>
              <w:bottom w:val="single" w:sz="8" w:color="CCFFCC"/>
            </w:tcBorders>
            <w:shd w:val="clear" w:color="auto" w:fill="CCFFCC"/>
          </w:tcPr>
          <w:p>
            <w:pPr>
              <w:spacing w:after="0"/>
              <w:rPr>
                <w:sz w:val="20"/>
                <w:szCs w:val="20"/>
                <w:color w:val="auto"/>
              </w:rPr>
            </w:pPr>
          </w:p>
        </w:tc>
      </w:tr>
      <w:tr>
        <w:trPr>
          <w:trHeight w:val="20"/>
        </w:trPr>
        <w:tc>
          <w:tcPr>
            <w:tcW w:w="62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8890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0" w:hanging="145"/>
        <w:spacing w:after="0"/>
        <w:tabs>
          <w:tab w:leader="none" w:pos="18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As noted above, prior period amounts have not been adjusted under the modified retrospective method.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37"/>
        </w:trPr>
        <w:tc>
          <w:tcPr>
            <w:tcW w:w="5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516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00" w:type="dxa"/>
            <w:vAlign w:val="bottom"/>
            <w:tcBorders>
              <w:bottom w:val="single" w:sz="8" w:color="CCFFCC"/>
            </w:tcBorders>
            <w:shd w:val="clear" w:color="auto" w:fill="CCFFCC"/>
          </w:tcPr>
          <w:p>
            <w:pPr>
              <w:jc w:val="right"/>
              <w:ind w:right="7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93"/>
              </w:rPr>
              <w:t>35,572</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34,078</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69,643</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65,763</w:t>
            </w:r>
          </w:p>
        </w:tc>
      </w:tr>
      <w:tr>
        <w:trPr>
          <w:trHeight w:val="270"/>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2,547</w:t>
            </w:r>
          </w:p>
        </w:tc>
        <w:tc>
          <w:tcPr>
            <w:tcW w:w="120" w:type="dxa"/>
            <w:vAlign w:val="bottom"/>
            <w:tcBorders>
              <w:bottom w:val="single" w:sz="8" w:color="CCFFC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3,806</w:t>
            </w:r>
          </w:p>
        </w:tc>
        <w:tc>
          <w:tcPr>
            <w:tcW w:w="100" w:type="dxa"/>
            <w:vAlign w:val="bottom"/>
            <w:tcBorders>
              <w:bottom w:val="single" w:sz="8" w:color="CCFFCC"/>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3,940</w:t>
            </w:r>
          </w:p>
        </w:tc>
      </w:tr>
      <w:tr>
        <w:trPr>
          <w:trHeight w:val="23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0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93"/>
              </w:rPr>
              <w:t>38,119</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36,046</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73,449</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69,703</w:t>
            </w:r>
          </w:p>
        </w:tc>
      </w:tr>
      <w:tr>
        <w:trPr>
          <w:trHeight w:val="270"/>
        </w:trPr>
        <w:tc>
          <w:tcPr>
            <w:tcW w:w="516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93"/>
              </w:rPr>
              <w:t>17,519</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13,953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34,438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27,465</w:t>
            </w:r>
          </w:p>
        </w:tc>
      </w:tr>
      <w:tr>
        <w:trPr>
          <w:trHeight w:val="270"/>
        </w:trPr>
        <w:tc>
          <w:tcPr>
            <w:tcW w:w="51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0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6,022</w:t>
            </w:r>
          </w:p>
        </w:tc>
        <w:tc>
          <w:tcPr>
            <w:tcW w:w="120" w:type="dxa"/>
            <w:vAlign w:val="bottom"/>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4,075</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12,014</w:t>
            </w:r>
          </w:p>
        </w:tc>
        <w:tc>
          <w:tcPr>
            <w:tcW w:w="100" w:type="dxa"/>
            <w:vAlign w:val="bottom"/>
            <w:shd w:val="clear" w:color="auto" w:fill="CCFFCC"/>
          </w:tcPr>
          <w:p>
            <w:pPr>
              <w:spacing w:after="0"/>
              <w:rPr>
                <w:sz w:val="23"/>
                <w:szCs w:val="23"/>
                <w:color w:val="auto"/>
              </w:rPr>
            </w:pPr>
          </w:p>
        </w:tc>
        <w:tc>
          <w:tcPr>
            <w:tcW w:w="540" w:type="dxa"/>
            <w:vAlign w:val="bottom"/>
            <w:tcBorders>
              <w:bottom w:val="single" w:sz="8" w:color="auto"/>
            </w:tcBorders>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7,825</w:t>
            </w:r>
          </w:p>
        </w:tc>
      </w:tr>
      <w:tr>
        <w:trPr>
          <w:trHeight w:val="244"/>
        </w:trPr>
        <w:tc>
          <w:tcPr>
            <w:tcW w:w="51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3"/>
              </w:rPr>
              <w:t>61,660</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54,074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119,901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104,993</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right="40" w:firstLine="8"/>
        <w:spacing w:after="0" w:line="23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$11.9 million and $9.1 million for the three months ended June 30, 2018 and 2017, respectively, and $23.5 million and $18.2 million six months ended June 30, 2018 and 2017,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pacing w:after="0" w:line="6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Receivable</w:t>
            </w:r>
          </w:p>
        </w:tc>
        <w:tc>
          <w:tcPr>
            <w:tcW w:w="100" w:type="dxa"/>
            <w:vAlign w:val="bottom"/>
          </w:tcPr>
          <w:p>
            <w:pPr>
              <w:spacing w:after="0"/>
              <w:rPr>
                <w:sz w:val="14"/>
                <w:szCs w:val="14"/>
                <w:color w:val="auto"/>
              </w:rPr>
            </w:pPr>
          </w:p>
        </w:tc>
        <w:tc>
          <w:tcPr>
            <w:tcW w:w="14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Unbilled Receivable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Deferred Revenue</w:t>
            </w:r>
          </w:p>
        </w:tc>
        <w:tc>
          <w:tcPr>
            <w:tcW w:w="14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4"/>
                <w:szCs w:val="14"/>
                <w:b w:val="1"/>
                <w:bCs w:val="1"/>
                <w:color w:val="auto"/>
                <w:w w:val="93"/>
              </w:rPr>
              <w:t>Deferred Revenue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(current)</w:t>
            </w:r>
          </w:p>
        </w:tc>
        <w:tc>
          <w:tcPr>
            <w:tcW w:w="140" w:type="dxa"/>
            <w:vAlign w:val="bottom"/>
          </w:tcPr>
          <w:p>
            <w:pPr>
              <w:spacing w:after="0"/>
              <w:rPr>
                <w:sz w:val="16"/>
                <w:szCs w:val="16"/>
                <w:color w:val="auto"/>
              </w:rPr>
            </w:pPr>
          </w:p>
        </w:tc>
        <w:tc>
          <w:tcPr>
            <w:tcW w:w="1320" w:type="dxa"/>
            <w:vAlign w:val="bottom"/>
          </w:tcPr>
          <w:p>
            <w:pPr>
              <w:jc w:val="right"/>
              <w:ind w:right="303"/>
              <w:spacing w:after="0"/>
              <w:rPr>
                <w:sz w:val="20"/>
                <w:szCs w:val="20"/>
                <w:color w:val="auto"/>
              </w:rPr>
            </w:pPr>
            <w:r>
              <w:rPr>
                <w:rFonts w:ascii="Arial" w:cs="Arial" w:eastAsia="Arial" w:hAnsi="Arial"/>
                <w:sz w:val="14"/>
                <w:szCs w:val="14"/>
                <w:b w:val="1"/>
                <w:bCs w:val="1"/>
                <w:color w:val="auto"/>
              </w:rPr>
              <w:t>(long term)</w:t>
            </w:r>
          </w:p>
        </w:tc>
        <w:tc>
          <w:tcPr>
            <w:tcW w:w="0" w:type="dxa"/>
            <w:vAlign w:val="bottom"/>
          </w:tcPr>
          <w:p>
            <w:pPr>
              <w:spacing w:after="0"/>
              <w:rPr>
                <w:sz w:val="1"/>
                <w:szCs w:val="1"/>
                <w:color w:val="auto"/>
              </w:rPr>
            </w:pPr>
          </w:p>
        </w:tc>
      </w:tr>
      <w:tr>
        <w:trPr>
          <w:trHeight w:val="236"/>
        </w:trPr>
        <w:tc>
          <w:tcPr>
            <w:tcW w:w="51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Opening Balance as of December 31, 2017</w:t>
            </w: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30,342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7,584</w:t>
            </w:r>
          </w:p>
        </w:tc>
        <w:tc>
          <w:tcPr>
            <w:tcW w:w="100" w:type="dxa"/>
            <w:vAlign w:val="bottom"/>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35,563</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Increase (decrease), net</w:t>
            </w:r>
          </w:p>
        </w:tc>
        <w:tc>
          <w:tcPr>
            <w:tcW w:w="100" w:type="dxa"/>
            <w:vAlign w:val="bottom"/>
          </w:tcPr>
          <w:p>
            <w:pPr>
              <w:spacing w:after="0"/>
              <w:rPr>
                <w:sz w:val="20"/>
                <w:szCs w:val="20"/>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Ending Balance as of June 30, 2018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29,702</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8,407</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47,375</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Company expects to recognize the long term performance obligations in 2019.</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and six months ended June 30, 2018 does not include the effect of 9,784,690 outstanding common stock awards, as the effect of their inclusion is anti-dilutive. Diluted net loss per common share for the three and six months ended June 30, 2017 does not include the effect of 9,423,000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50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6"/>
                <w:szCs w:val="16"/>
                <w:color w:val="auto"/>
              </w:rPr>
            </w:pPr>
          </w:p>
        </w:tc>
      </w:tr>
      <w:tr>
        <w:trPr>
          <w:trHeight w:val="276"/>
        </w:trPr>
        <w:tc>
          <w:tcPr>
            <w:tcW w:w="4240" w:type="dxa"/>
            <w:vAlign w:val="bottom"/>
          </w:tcPr>
          <w:p>
            <w:pPr>
              <w:spacing w:after="0"/>
              <w:rPr>
                <w:sz w:val="24"/>
                <w:szCs w:val="24"/>
                <w:color w:val="auto"/>
              </w:rPr>
            </w:pPr>
          </w:p>
        </w:tc>
        <w:tc>
          <w:tcPr>
            <w:tcW w:w="250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bottom w:val="single" w:sz="8" w:color="auto"/>
            </w:tcBorders>
            <w:gridSpan w:val="3"/>
          </w:tcPr>
          <w:p>
            <w:pPr>
              <w:jc w:val="center"/>
              <w:ind w:left="1023"/>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r>
      <w:tr>
        <w:trPr>
          <w:trHeight w:val="236"/>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58,648,195</w:t>
            </w: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55,954,158</w:t>
            </w:r>
          </w:p>
        </w:tc>
        <w:tc>
          <w:tcPr>
            <w:tcW w:w="12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57,982,648</w:t>
            </w:r>
          </w:p>
        </w:tc>
        <w:tc>
          <w:tcPr>
            <w:tcW w:w="100" w:type="dxa"/>
            <w:vAlign w:val="bottom"/>
            <w:tcBorders>
              <w:bottom w:val="single" w:sz="8" w:color="CCFFCC"/>
            </w:tcBorders>
            <w:shd w:val="clear" w:color="auto" w:fill="CCFFCC"/>
          </w:tcPr>
          <w:p>
            <w:pPr>
              <w:spacing w:after="0"/>
              <w:rPr>
                <w:sz w:val="20"/>
                <w:szCs w:val="20"/>
                <w:color w:val="auto"/>
              </w:rPr>
            </w:pPr>
          </w:p>
        </w:tc>
        <w:tc>
          <w:tcPr>
            <w:tcW w:w="62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55,964,568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500" w:type="dxa"/>
            <w:vAlign w:val="bottom"/>
            <w:gridSpan w:val="3"/>
          </w:tcPr>
          <w:p>
            <w:pPr>
              <w:jc w:val="right"/>
              <w:ind w:right="9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20" w:type="dxa"/>
            <w:vAlign w:val="bottom"/>
            <w:gridSpan w:val="3"/>
          </w:tcPr>
          <w:p>
            <w:pPr>
              <w:jc w:val="right"/>
              <w:ind w:right="8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58,648,195</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55,954,158</w:t>
            </w:r>
          </w:p>
        </w:tc>
        <w:tc>
          <w:tcPr>
            <w:tcW w:w="12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57,982,648</w:t>
            </w:r>
          </w:p>
        </w:tc>
        <w:tc>
          <w:tcPr>
            <w:tcW w:w="1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55,964,568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2018,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48,331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48,331</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4,952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4,952</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8,377</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56,708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4,952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61,660</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15,086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16,036</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23,339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2,053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25,392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27,624</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27,624</w:t>
            </w:r>
          </w:p>
        </w:tc>
      </w:tr>
      <w:tr>
        <w:trPr>
          <w:trHeight w:val="244"/>
        </w:trPr>
        <w:tc>
          <w:tcPr>
            <w:tcW w:w="61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17,859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(7,816)</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43,927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43,927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4,460</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5,687</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49,614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54,074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15,134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21,242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23,392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21,839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21,839</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13,696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(21,839)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2018,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4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95,759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95,759</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9,632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9,632</w:t>
            </w:r>
          </w:p>
        </w:tc>
      </w:tr>
      <w:tr>
        <w:trPr>
          <w:trHeight w:val="237"/>
        </w:trPr>
        <w:tc>
          <w:tcPr>
            <w:tcW w:w="614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14,510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14,510</w:t>
            </w:r>
          </w:p>
        </w:tc>
      </w:tr>
      <w:tr>
        <w:trPr>
          <w:trHeight w:val="33"/>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110,269</w:t>
            </w:r>
          </w:p>
        </w:tc>
        <w:tc>
          <w:tcPr>
            <w:tcW w:w="1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9,632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119,901</w:t>
            </w:r>
          </w:p>
        </w:tc>
      </w:tr>
      <w:tr>
        <w:trPr>
          <w:trHeight w:val="217"/>
        </w:trPr>
        <w:tc>
          <w:tcPr>
            <w:tcW w:w="6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28,004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29,990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45,062</w:t>
            </w:r>
          </w:p>
        </w:tc>
        <w:tc>
          <w:tcPr>
            <w:tcW w:w="1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4,461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49,523</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848</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51,177</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51,177</w:t>
            </w:r>
          </w:p>
        </w:tc>
      </w:tr>
      <w:tr>
        <w:trPr>
          <w:trHeight w:val="244"/>
        </w:trPr>
        <w:tc>
          <w:tcPr>
            <w:tcW w:w="61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36,355</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3,185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(11,637)</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85,420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85,420</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8,630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8,630</w:t>
            </w: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10,943</w:t>
            </w:r>
          </w:p>
        </w:tc>
      </w:tr>
      <w:tr>
        <w:trPr>
          <w:trHeight w:val="33"/>
        </w:trPr>
        <w:tc>
          <w:tcPr>
            <w:tcW w:w="604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96,363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8,630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104,993</w:t>
            </w: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27,112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28,915</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40,785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4,307</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45,092</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942</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41,730</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41,730</w:t>
            </w:r>
          </w:p>
        </w:tc>
      </w:tr>
      <w:tr>
        <w:trPr>
          <w:trHeight w:val="244"/>
        </w:trPr>
        <w:tc>
          <w:tcPr>
            <w:tcW w:w="60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27,524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(11,686)</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Israel, United Kingdom, Asia-Pacific, Latin America and Western Europe, particularly France and Germany. The following table presents the Company’s long-lived assets by geographic region as of the dates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99,307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95,716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13,597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13,079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9,134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9,504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7,992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8,363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3,434</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3,293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133,464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129,955</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June 30, 2018 and December 31, 2017.</w:t>
      </w:r>
    </w:p>
    <w:p>
      <w:pPr>
        <w:spacing w:after="0" w:line="27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2018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2017</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72,507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80,531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72,449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80,473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As of June 30, 2018</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29,040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(22,879)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6,161</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15,973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(11,110)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4,863</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49,831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12,321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27,882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(22,197)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5,685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15,978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(10,457)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48,470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12,366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$0.7 million and $1.4 million for the three months ended June 30, 2018 and 2017, respectively, and $1.4 million and $2.9 million for the six months ended June 30, 2018 and 2017, respectively. For the three and six months ended June 30, 2018 and 2017, respectively, a portion of this amortization is included in cost of revenue. Estimated amortization expense for the next five years is as follows (amounts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2018</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1,422</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2,641</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2,452</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2,240</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1,893</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1,673</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12,321</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Company acquired the employees and technology assets of BotCentral,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$1.2 million is included in "Intangibles, net" on the Company's June 30, 2018 condensed consolidated balance sheet. While an active participant in the LiveEngage for Bots partner program, the BotCentral team created a number of bot solutions for major brands in banking, insurance, and travel, running on LivePerson's conversational platform. With the team's expertise and knowledge of the LiveEngage platform, the team is bringing valuable insight for LivePerson's customers and partners, and enabling the company to more rapidly optimize its bot deployment capabilities, and grow the ecosystem.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FFCC"/>
            </w:tcBorders>
          </w:tcPr>
          <w:p>
            <w:pPr>
              <w:spacing w:after="0"/>
              <w:rPr>
                <w:sz w:val="16"/>
                <w:szCs w:val="16"/>
                <w:color w:val="auto"/>
              </w:rPr>
            </w:pPr>
          </w:p>
        </w:tc>
        <w:tc>
          <w:tcPr>
            <w:tcW w:w="37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404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109,885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100,392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FFCC"/>
            </w:tcBorders>
            <w:shd w:val="clear" w:color="auto" w:fill="CCFFCC"/>
          </w:tcPr>
          <w:p>
            <w:pPr>
              <w:spacing w:after="0"/>
              <w:rPr>
                <w:sz w:val="21"/>
                <w:szCs w:val="21"/>
                <w:color w:val="auto"/>
              </w:rPr>
            </w:pPr>
          </w:p>
        </w:tc>
        <w:tc>
          <w:tcPr>
            <w:tcW w:w="37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123,576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113,938</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(79,233)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38,066</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3740" w:type="dxa"/>
            <w:vAlign w:val="bottom"/>
            <w:tcBorders>
              <w:top w:val="single" w:sz="8" w:color="CCFFCC"/>
              <w:bottom w:val="single" w:sz="8" w:color="CCFFCC"/>
            </w:tcBorders>
            <w:vMerge w:val="restart"/>
          </w:tcPr>
          <w:p>
            <w:pPr>
              <w:jc w:val="right"/>
              <w:ind w:right="245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6" w:name="page17"/>
    <w:bookmarkEnd w:id="16"/>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13,357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16,431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15,674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4,924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5,259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(see Note 11)</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3,385</w:t>
            </w:r>
          </w:p>
        </w:tc>
      </w:tr>
      <w:tr>
        <w:trPr>
          <w:trHeight w:val="27"/>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39,252</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48,011</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June 30, 2018 and December 31, 2017, are summarized as follows (amounts in thousands). The Company’s restricted cash balance of $0.2 million at June 30, 2018 and $1.5 million at December 31, 2017 is not held in a money market account and is not included in the following table.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2,817</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2,817</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2,817</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2,817</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2,871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fair value. Observable or market inputs reflect market data obtained from independent sources, while unobservable inputs reflect the Company’s assumptions based on the best information available.</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money market funds are measured at fair value on a recurring basis based on quoted market prices in active markets and are classified as level 1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$0.2 million at June 30, 2018 and $1.5 million at December 31, 2017, which is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 of June 30, 2018</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FFCC"/>
            </w:tcBorders>
            <w:shd w:val="clear" w:color="auto" w:fill="CCFFCC"/>
          </w:tcPr>
          <w:p>
            <w:pPr>
              <w:ind w:left="1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12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Fair Value of Derivative Instruments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June 30, 2018</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2017</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5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60" w:type="dxa"/>
            <w:vAlign w:val="bottom"/>
            <w:tcBorders>
              <w:top w:val="single" w:sz="8" w:color="auto"/>
              <w:bottom w:val="single" w:sz="8" w:color="CCFFCC"/>
            </w:tcBorders>
            <w:shd w:val="clear" w:color="auto" w:fill="CCFFCC"/>
          </w:tcPr>
          <w:p>
            <w:pPr>
              <w:spacing w:after="0"/>
              <w:rPr>
                <w:sz w:val="21"/>
                <w:szCs w:val="21"/>
                <w:color w:val="auto"/>
              </w:rPr>
            </w:pPr>
          </w:p>
        </w:tc>
        <w:tc>
          <w:tcPr>
            <w:tcW w:w="4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FFCC"/>
          </w:tcPr>
          <w:p>
            <w:pPr>
              <w:ind w:left="1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bottom w:val="single" w:sz="8" w:color="CCFFCC"/>
            </w:tcBorders>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116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7"/>
              </w:rPr>
              <w:t>Gain (losses) on Derivative Instruments Recognized in Statements of Operations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420" w:type="dxa"/>
            <w:vAlign w:val="bottom"/>
            <w:shd w:val="clear" w:color="auto" w:fill="CCFFCC"/>
          </w:tcPr>
          <w:p>
            <w:pPr>
              <w:ind w:left="40"/>
              <w:spacing w:after="0"/>
              <w:rPr>
                <w:sz w:val="20"/>
                <w:szCs w:val="20"/>
                <w:color w:val="auto"/>
              </w:rPr>
            </w:pPr>
            <w:r>
              <w:rPr>
                <w:rFonts w:ascii="Arial" w:cs="Arial" w:eastAsia="Arial" w:hAnsi="Arial"/>
                <w:sz w:val="16"/>
                <w:szCs w:val="16"/>
                <w:color w:val="auto"/>
              </w:rPr>
              <w:t>Foreign currency derivatives</w:t>
            </w:r>
          </w:p>
        </w:tc>
        <w:tc>
          <w:tcPr>
            <w:tcW w:w="1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vMerge w:val="restart"/>
            <w:shd w:val="clear" w:color="auto" w:fill="CCFFCC"/>
          </w:tcPr>
          <w:p>
            <w:pPr>
              <w:ind w:left="128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FFCC"/>
          </w:tcPr>
          <w:p>
            <w:pPr>
              <w:spacing w:after="0"/>
              <w:rPr>
                <w:sz w:val="17"/>
                <w:szCs w:val="17"/>
                <w:color w:val="auto"/>
              </w:rPr>
            </w:pP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FFCC"/>
          </w:tcPr>
          <w:p>
            <w:pPr>
              <w:spacing w:after="0"/>
              <w:rPr>
                <w:sz w:val="17"/>
                <w:szCs w:val="17"/>
                <w:color w:val="auto"/>
              </w:rPr>
            </w:pP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9"/>
        </w:trPr>
        <w:tc>
          <w:tcPr>
            <w:tcW w:w="2420" w:type="dxa"/>
            <w:vAlign w:val="bottom"/>
            <w:shd w:val="clear" w:color="auto" w:fill="CCFFCC"/>
          </w:tcPr>
          <w:p>
            <w:pPr>
              <w:ind w:left="40"/>
              <w:spacing w:after="0"/>
              <w:rPr>
                <w:sz w:val="20"/>
                <w:szCs w:val="20"/>
                <w:color w:val="auto"/>
              </w:rPr>
            </w:pPr>
            <w:r>
              <w:rPr>
                <w:rFonts w:ascii="Arial" w:cs="Arial" w:eastAsia="Arial" w:hAnsi="Arial"/>
                <w:sz w:val="16"/>
                <w:szCs w:val="16"/>
                <w:color w:val="auto"/>
              </w:rPr>
              <w:t>contracts</w:t>
            </w:r>
          </w:p>
        </w:tc>
        <w:tc>
          <w:tcPr>
            <w:tcW w:w="18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vMerge w:val="continue"/>
            <w:shd w:val="clear" w:color="auto" w:fill="CCFFCC"/>
          </w:tcPr>
          <w:p>
            <w:pPr>
              <w:spacing w:after="0"/>
              <w:rPr>
                <w:sz w:val="19"/>
                <w:szCs w:val="19"/>
                <w:color w:val="auto"/>
              </w:rPr>
            </w:pPr>
          </w:p>
        </w:tc>
        <w:tc>
          <w:tcPr>
            <w:tcW w:w="1700" w:type="dxa"/>
            <w:vAlign w:val="bottom"/>
            <w:gridSpan w:val="2"/>
            <w:vMerge w:val="continue"/>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300" w:type="dxa"/>
            <w:vAlign w:val="bottom"/>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280" w:type="dxa"/>
            <w:vAlign w:val="bottom"/>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280" w:type="dxa"/>
            <w:vAlign w:val="bottom"/>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June 30, 2018 and 2017 was approximately $2.3 million. Rental expense for operating leases for the six months ended June 30, 2018 and 2017 was approximately $4.6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of employer matching contributions for both the three months ended June 30, 2018 and 2017. Salaries and related expenses include $0.9 million and $0.8 million of employer matching contributions for the six months ended June 30, 2018 and 2017,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six months ended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2018, there were 100,000,000 shares of common stock authorized, and 62,366,602 shares issued and outstanding. As of December 31, 2017, there were 100,000,000 shares of common stock authorized, and 59,663,969 shares issued and outstanding. The par value for common shares is $0.001.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and December 31, 2017,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There were 93,750 shares repurchased under this program during the six months ended June 30, 2018, which were recorded in treasury stock at par on the condensed consolidated balance sheets as of June 30, 2018. As of June 30, 2018, approximately $17.1 million remained available for purchase under the program.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was $8.15 and $3.55 during the three months ended June 30, 2018 and 2017, respectively, and $6.26 and $3.50 during the six months ended June 30, 2018 and 2017, respectively. The fair value of each option grant is estimated on the date of grant using the Black-Scholes option-pricing model with the following weighted average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400" w:type="dxa"/>
            <w:vAlign w:val="bottom"/>
            <w:tcBorders>
              <w:bottom w:val="single" w:sz="8" w:color="auto"/>
            </w:tcBorders>
            <w:gridSpan w:val="2"/>
          </w:tcPr>
          <w:p>
            <w:pPr>
              <w:jc w:val="center"/>
              <w:ind w:left="241"/>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FFCC"/>
            </w:tcBorders>
          </w:tcPr>
          <w:p>
            <w:pPr>
              <w:spacing w:after="0"/>
              <w:rPr>
                <w:sz w:val="22"/>
                <w:szCs w:val="22"/>
                <w:color w:val="auto"/>
              </w:rPr>
            </w:pPr>
          </w:p>
        </w:tc>
        <w:tc>
          <w:tcPr>
            <w:tcW w:w="142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40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93"/>
              </w:rPr>
              <w:t>0.0%</w:t>
            </w:r>
          </w:p>
        </w:tc>
        <w:tc>
          <w:tcPr>
            <w:tcW w:w="2040" w:type="dxa"/>
            <w:vAlign w:val="bottom"/>
            <w:tcBorders>
              <w:bottom w:val="single" w:sz="8" w:color="CCFFCC"/>
            </w:tcBorders>
            <w:gridSpan w:val="4"/>
            <w:shd w:val="clear" w:color="auto" w:fill="CCFFCC"/>
          </w:tcPr>
          <w:p>
            <w:pPr>
              <w:jc w:val="center"/>
              <w:ind w:left="34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87"/>
              </w:rPr>
              <w:t>0.0%</w:t>
            </w:r>
          </w:p>
        </w:tc>
        <w:tc>
          <w:tcPr>
            <w:tcW w:w="2100" w:type="dxa"/>
            <w:vAlign w:val="bottom"/>
            <w:tcBorders>
              <w:bottom w:val="single" w:sz="8" w:color="CCFFCC"/>
            </w:tcBorders>
            <w:gridSpan w:val="4"/>
            <w:shd w:val="clear" w:color="auto" w:fill="CCFFCC"/>
          </w:tcPr>
          <w:p>
            <w:pPr>
              <w:jc w:val="center"/>
              <w:ind w:left="321"/>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600" w:type="dxa"/>
            <w:vAlign w:val="bottom"/>
          </w:tcPr>
          <w:p>
            <w:pPr>
              <w:ind w:left="20"/>
              <w:spacing w:after="0"/>
              <w:rPr>
                <w:sz w:val="20"/>
                <w:szCs w:val="20"/>
                <w:color w:val="auto"/>
              </w:rPr>
            </w:pPr>
            <w:r>
              <w:rPr>
                <w:rFonts w:ascii="Arial" w:cs="Arial" w:eastAsia="Arial" w:hAnsi="Arial"/>
                <w:sz w:val="16"/>
                <w:szCs w:val="16"/>
                <w:color w:val="auto"/>
              </w:rPr>
              <w:t>- 2.8%</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860" w:type="dxa"/>
            <w:vAlign w:val="bottom"/>
          </w:tcPr>
          <w:p>
            <w:pPr>
              <w:ind w:left="40"/>
              <w:spacing w:after="0"/>
              <w:rPr>
                <w:sz w:val="20"/>
                <w:szCs w:val="20"/>
                <w:color w:val="auto"/>
              </w:rPr>
            </w:pPr>
            <w:r>
              <w:rPr>
                <w:rFonts w:ascii="Arial" w:cs="Arial" w:eastAsia="Arial" w:hAnsi="Arial"/>
                <w:sz w:val="16"/>
                <w:szCs w:val="16"/>
                <w:color w:val="auto"/>
              </w:rPr>
              <w:t>- 1.9%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620" w:type="dxa"/>
            <w:vAlign w:val="bottom"/>
          </w:tcPr>
          <w:p>
            <w:pPr>
              <w:ind w:left="40"/>
              <w:spacing w:after="0"/>
              <w:rPr>
                <w:sz w:val="20"/>
                <w:szCs w:val="20"/>
                <w:color w:val="auto"/>
              </w:rPr>
            </w:pPr>
            <w:r>
              <w:rPr>
                <w:rFonts w:ascii="Arial" w:cs="Arial" w:eastAsia="Arial" w:hAnsi="Arial"/>
                <w:sz w:val="16"/>
                <w:szCs w:val="16"/>
                <w:color w:val="auto"/>
              </w:rPr>
              <w:t>- 2.8%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900" w:type="dxa"/>
            <w:vAlign w:val="bottom"/>
          </w:tcPr>
          <w:p>
            <w:pPr>
              <w:ind w:left="20"/>
              <w:spacing w:after="0"/>
              <w:rPr>
                <w:sz w:val="20"/>
                <w:szCs w:val="20"/>
                <w:color w:val="auto"/>
              </w:rPr>
            </w:pPr>
            <w:r>
              <w:rPr>
                <w:rFonts w:ascii="Arial" w:cs="Arial" w:eastAsia="Arial" w:hAnsi="Arial"/>
                <w:sz w:val="16"/>
                <w:szCs w:val="16"/>
                <w:color w:val="auto"/>
              </w:rPr>
              <w:t>- 1.9%</w:t>
            </w:r>
          </w:p>
        </w:tc>
      </w:tr>
      <w:tr>
        <w:trPr>
          <w:trHeight w:val="33"/>
        </w:trPr>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center"/>
              <w:ind w:right="401"/>
              <w:spacing w:after="0"/>
              <w:rPr>
                <w:sz w:val="20"/>
                <w:szCs w:val="20"/>
                <w:color w:val="auto"/>
              </w:rPr>
            </w:pPr>
            <w:r>
              <w:rPr>
                <w:rFonts w:ascii="Arial" w:cs="Arial" w:eastAsia="Arial" w:hAnsi="Arial"/>
                <w:sz w:val="16"/>
                <w:szCs w:val="16"/>
                <w:color w:val="auto"/>
                <w:w w:val="89"/>
              </w:rPr>
              <w:t>5</w:t>
            </w:r>
          </w:p>
        </w:tc>
        <w:tc>
          <w:tcPr>
            <w:tcW w:w="3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center"/>
              <w:ind w:right="659"/>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center"/>
              <w:ind w:right="421"/>
              <w:spacing w:after="0"/>
              <w:rPr>
                <w:sz w:val="20"/>
                <w:szCs w:val="20"/>
                <w:color w:val="auto"/>
              </w:rPr>
            </w:pPr>
            <w:r>
              <w:rPr>
                <w:rFonts w:ascii="Arial" w:cs="Arial" w:eastAsia="Arial" w:hAnsi="Arial"/>
                <w:sz w:val="16"/>
                <w:szCs w:val="16"/>
                <w:color w:val="auto"/>
                <w:w w:val="89"/>
              </w:rPr>
              <w:t>5</w:t>
            </w:r>
          </w:p>
        </w:tc>
        <w:tc>
          <w:tcPr>
            <w:tcW w:w="3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43.7%</w:t>
            </w:r>
          </w:p>
        </w:tc>
        <w:tc>
          <w:tcPr>
            <w:tcW w:w="600" w:type="dxa"/>
            <w:vAlign w:val="bottom"/>
          </w:tcPr>
          <w:p>
            <w:pPr>
              <w:ind w:left="20"/>
              <w:spacing w:after="0"/>
              <w:rPr>
                <w:sz w:val="20"/>
                <w:szCs w:val="20"/>
                <w:color w:val="auto"/>
              </w:rPr>
            </w:pPr>
            <w:r>
              <w:rPr>
                <w:rFonts w:ascii="Arial" w:cs="Arial" w:eastAsia="Arial" w:hAnsi="Arial"/>
                <w:sz w:val="16"/>
                <w:szCs w:val="16"/>
                <w:color w:val="auto"/>
              </w:rPr>
              <w:t>- 48.4%</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46.6%</w:t>
            </w:r>
          </w:p>
        </w:tc>
        <w:tc>
          <w:tcPr>
            <w:tcW w:w="860" w:type="dxa"/>
            <w:vAlign w:val="bottom"/>
          </w:tcPr>
          <w:p>
            <w:pPr>
              <w:ind w:left="40"/>
              <w:spacing w:after="0"/>
              <w:rPr>
                <w:sz w:val="20"/>
                <w:szCs w:val="20"/>
                <w:color w:val="auto"/>
              </w:rPr>
            </w:pPr>
            <w:r>
              <w:rPr>
                <w:rFonts w:ascii="Arial" w:cs="Arial" w:eastAsia="Arial" w:hAnsi="Arial"/>
                <w:sz w:val="16"/>
                <w:szCs w:val="16"/>
                <w:color w:val="auto"/>
              </w:rPr>
              <w:t>- 47.6%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43.7%</w:t>
            </w:r>
          </w:p>
        </w:tc>
        <w:tc>
          <w:tcPr>
            <w:tcW w:w="620" w:type="dxa"/>
            <w:vAlign w:val="bottom"/>
          </w:tcPr>
          <w:p>
            <w:pPr>
              <w:ind w:left="40"/>
              <w:spacing w:after="0"/>
              <w:rPr>
                <w:sz w:val="20"/>
                <w:szCs w:val="20"/>
                <w:color w:val="auto"/>
              </w:rPr>
            </w:pPr>
            <w:r>
              <w:rPr>
                <w:rFonts w:ascii="Arial" w:cs="Arial" w:eastAsia="Arial" w:hAnsi="Arial"/>
                <w:sz w:val="16"/>
                <w:szCs w:val="16"/>
                <w:color w:val="auto"/>
              </w:rPr>
              <w:t>- 48.4%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46.6%</w:t>
            </w:r>
          </w:p>
        </w:tc>
        <w:tc>
          <w:tcPr>
            <w:tcW w:w="900" w:type="dxa"/>
            <w:vAlign w:val="bottom"/>
          </w:tcPr>
          <w:p>
            <w:pPr>
              <w:ind w:left="20"/>
              <w:spacing w:after="0"/>
              <w:rPr>
                <w:sz w:val="20"/>
                <w:szCs w:val="20"/>
                <w:color w:val="auto"/>
              </w:rPr>
            </w:pPr>
            <w:r>
              <w:rPr>
                <w:rFonts w:ascii="Arial" w:cs="Arial" w:eastAsia="Arial" w:hAnsi="Arial"/>
                <w:sz w:val="16"/>
                <w:szCs w:val="16"/>
                <w:color w:val="auto"/>
              </w:rPr>
              <w:t>- 47.6%</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June 30, 2018, approximately 2.2 million shares of common stock were reserved for issuance under the Amended 2009 Plan (taking into account all option exercises and other equity award settlements through June 30,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June 30, 2018, approximately 0.9 million shares of common stock were reserved for issuance under the Employee Stock Purchase Plan (taking into account all share purchases through June 30,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January 2018, the Company established the Inducement Plan (the “2018 Plan”). Under the 2018 Plan, the Board of Directors can issue incentive stock options or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an additional 500,000 shares, thereby reserving for issuance 2,000,000 shares of common stock in the aggregate. As of June 30, 2018, approximately 0.6 million shares of common stock were reserved for issuance under the Amended 2018 Plan (taking into account all option exercises and other equity award settlements through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7,959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(2,273)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June 30,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7,177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68,433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59,773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June 30,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3,658</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36,802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six months ended June 30, 2018 was approximately $12.1 million. As of June 30, 2018, there was approximately $17.2 million of total unrecognized compensation cost related to nonvested share-based compensation arrangements. That cost is expected to be recognized over a weighted average period of approximately 3.0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June 30,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$1.79</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$7.45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708</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5.26</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6.01</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$7.60</w:t>
            </w:r>
          </w:p>
        </w:tc>
        <w:tc>
          <w:tcPr>
            <w:tcW w:w="1660" w:type="dxa"/>
            <w:vAlign w:val="bottom"/>
          </w:tcPr>
          <w:p>
            <w:pPr>
              <w:ind w:left="20"/>
              <w:spacing w:after="0"/>
              <w:rPr>
                <w:sz w:val="20"/>
                <w:szCs w:val="20"/>
                <w:color w:val="auto"/>
              </w:rPr>
            </w:pPr>
            <w:r>
              <w:rPr>
                <w:rFonts w:ascii="Arial" w:cs="Arial" w:eastAsia="Arial" w:hAnsi="Arial"/>
                <w:sz w:val="16"/>
                <w:szCs w:val="16"/>
                <w:color w:val="auto"/>
              </w:rPr>
              <w:t>- $7.60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8.39</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7.60</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$7.95</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$9.55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830</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6.59</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$9.90</w:t>
            </w:r>
          </w:p>
        </w:tc>
        <w:tc>
          <w:tcPr>
            <w:tcW w:w="1660" w:type="dxa"/>
            <w:vAlign w:val="bottom"/>
          </w:tcPr>
          <w:p>
            <w:pPr>
              <w:ind w:left="20"/>
              <w:spacing w:after="0"/>
              <w:rPr>
                <w:sz w:val="20"/>
                <w:szCs w:val="20"/>
                <w:color w:val="auto"/>
              </w:rPr>
            </w:pPr>
            <w:r>
              <w:rPr>
                <w:rFonts w:ascii="Arial" w:cs="Arial" w:eastAsia="Arial" w:hAnsi="Arial"/>
                <w:sz w:val="16"/>
                <w:szCs w:val="16"/>
                <w:color w:val="auto"/>
              </w:rPr>
              <w:t>- $10.13</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6.03</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10.09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$10.31 - $11.95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726</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7.50</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10.84</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$11.96 -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3.04</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12.12</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$12.45 - $12.45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930</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9.63</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$12.46 - $13.59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4.07</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13.26</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$14.30- $15.85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726</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9.33</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15.77</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$15.96 - $21.75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885</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6.60</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17.27</w:t>
            </w:r>
          </w:p>
        </w:tc>
      </w:tr>
      <w:tr>
        <w:trPr>
          <w:trHeight w:val="209"/>
        </w:trPr>
        <w:tc>
          <w:tcPr>
            <w:tcW w:w="420" w:type="dxa"/>
            <w:vAlign w:val="bottom"/>
            <w:tcBorders>
              <w:bottom w:val="single" w:sz="8" w:color="CCFFCC"/>
            </w:tcBorders>
          </w:tcPr>
          <w:p>
            <w:pPr>
              <w:spacing w:after="0"/>
              <w:rPr>
                <w:sz w:val="18"/>
                <w:szCs w:val="18"/>
                <w:color w:val="auto"/>
              </w:rPr>
            </w:pPr>
          </w:p>
        </w:tc>
        <w:tc>
          <w:tcPr>
            <w:tcW w:w="1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CCFFCC"/>
            </w:tcBorders>
          </w:tcPr>
          <w:p>
            <w:pPr>
              <w:spacing w:after="0"/>
              <w:rPr>
                <w:sz w:val="18"/>
                <w:szCs w:val="18"/>
                <w:color w:val="auto"/>
              </w:rPr>
            </w:pPr>
          </w:p>
        </w:tc>
        <w:tc>
          <w:tcPr>
            <w:tcW w:w="48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44"/>
        </w:trPr>
        <w:tc>
          <w:tcPr>
            <w:tcW w:w="4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7,177</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7.03</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3,658</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11.04</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1,843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June 30, 2018</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13.38</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55,026</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37,936</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four-year period or upon achievement of certain performance conditions. In accordance with ASU 2017-09, as of June 30, 2018, total unrecognized compensation cost, adjusted for estimated forfeitures, related to nonvested RSUs was approximately $33.4 million and the weighted-average remaining vesting period was 3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restructuring costs related to wind-down and severance costs associated with re-prioritizing and reallocating resources to focus on areas showing high growth potential. The expense associated with this restructuring was approximately $1.9 million and $2.1 million during the three months ended June 30, 2018 and 2017, respectively and approximately $2.1 million and $2.3 million during the six months ended June 30, 2018 and 2017, respectively. The restructuring liability was approximately $2.6 million as of June 30, 2018 and $2.3 million as of December 31, 2017. It is classified as accrued expenses and other current liabilities on the condensed consolidated balance sheets.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June 30,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680" w:type="dxa"/>
            <w:vAlign w:val="bottom"/>
            <w:tcBorders>
              <w:bottom w:val="single" w:sz="8" w:color="CCFFCC"/>
            </w:tcBorders>
            <w:shd w:val="clear" w:color="auto" w:fill="CCFFCC"/>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648</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68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(2,807)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6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33"/>
        </w:trPr>
        <w:tc>
          <w:tcPr>
            <w:tcW w:w="6740" w:type="dxa"/>
            <w:vAlign w:val="bottom"/>
            <w:tcBorders>
              <w:bottom w:val="single" w:sz="8" w:color="CCFFCC"/>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680" w:type="dxa"/>
            <w:vAlign w:val="bottom"/>
            <w:tcBorders>
              <w:bottom w:val="single" w:sz="8" w:color="auto"/>
            </w:tcBorders>
            <w:shd w:val="clear" w:color="auto" w:fill="CCFFCC"/>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2,338</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June 30,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June 30,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1,787</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2,076</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six months ended June 30,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June 30,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399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1,916</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2,315</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the Company’s favor have invalidated the majority of [24]7 patents that were asserted in the patent cases. Trial for the Company’s intellectual property and other claims asserted against [24]7 in the original litigation is currently set for April 2019. The Company believes the claims filed by [24]7 are without merit and intends to defend them vigorously.</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LivePerson makes life easier by transforming how people communicate with brands.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 More than 18,000 businesses, including Adobe, Citibank, EE, HSBC, IBM, L'Oreal, Orange, PNC, and The Home Depot employ our technology to keep pace with rising customer service expectations and to align with preferences for digital communication channels.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transform how people communicate with brands. To accomplish this, we are focused on the following current initiatives:</w:t>
      </w:r>
    </w:p>
    <w:p>
      <w:pPr>
        <w:spacing w:after="0" w:line="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key ways we are developing our market position is by hosting customer summits for executive level attendees from our targeted enterprise customer base and prospects. These customer summits feature existing customers that have demonstrated strong success with messaging and bots on LiveEngage. We believe that scaled reference customers advocating the adoption of messaging on LiveEngage to targeted peer groups will be a key driver of our growth. In 2017, we increased the pacing and scale of these summits, a pattern that we have continued in 2018.</w:t>
      </w:r>
    </w:p>
    <w:p>
      <w:pPr>
        <w:spacing w:after="0" w:line="63" w:lineRule="exact"/>
        <w:rPr>
          <w:sz w:val="20"/>
          <w:szCs w:val="20"/>
          <w:color w:val="auto"/>
        </w:rPr>
      </w:pPr>
    </w:p>
    <w:p>
      <w:pPr>
        <w:jc w:val="both"/>
        <w:ind w:firstLine="333"/>
        <w:spacing w:after="0" w:line="297" w:lineRule="auto"/>
        <w:rPr>
          <w:sz w:val="20"/>
          <w:szCs w:val="20"/>
          <w:color w:val="auto"/>
        </w:rPr>
      </w:pPr>
      <w:r>
        <w:rPr>
          <w:rFonts w:ascii="Arial" w:cs="Arial" w:eastAsia="Arial" w:hAnsi="Arial"/>
          <w:sz w:val="16"/>
          <w:szCs w:val="16"/>
          <w:b w:val="1"/>
          <w:bCs w:val="1"/>
          <w:i w:val="1"/>
          <w:iCs w:val="1"/>
          <w:color w:val="auto"/>
        </w:rPr>
        <w:t xml:space="preserve">Fuel Increased Usage by Expanding Messaging Channels, Use Cases and Interaction Types. </w:t>
      </w:r>
      <w:r>
        <w:rPr>
          <w:rFonts w:ascii="Arial" w:cs="Arial" w:eastAsia="Arial" w:hAnsi="Arial"/>
          <w:sz w:val="16"/>
          <w:szCs w:val="16"/>
          <w:color w:val="auto"/>
        </w:rPr>
        <w:t>LiveEngage currently supports numerous messaging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endpoints including branded mobile apps, mobile and desktop web browsers, IVRs, SMS, Facebook Messenger and LINE. We intend to increase the number of endpoints supported by the LiveEngage platform to include additional third-party social apps and device-based systems. We also intend to broaden the use cases of LiveEngage across our customer base, to support care, sales, marketing and retail footprints. In addition, LivePerson continues to expand the breadth of interaction types available to customers on the platform. For example, in addition to our broad suite of messaging and real-time chat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technologies, customers have access to content delivery, analytics, cobrowse, and PCI compliance, as well as proprietary and third-party bot offerings. LivePerson offers a platform pricing model, which provides businesses access to our entire suite of messaging technologies across their entire agent pool for a pre-negotiated cost per interaction. We believe this model will lead to growth opportunities for LivePerson as customers adopt new messaging channels, use cases and interaction types.</w:t>
      </w:r>
    </w:p>
    <w:p>
      <w:pPr>
        <w:spacing w:after="0" w:line="79" w:lineRule="exact"/>
        <w:rPr>
          <w:sz w:val="20"/>
          <w:szCs w:val="20"/>
          <w:color w:val="auto"/>
        </w:rPr>
      </w:pPr>
    </w:p>
    <w:p>
      <w:pPr>
        <w:jc w:val="both"/>
        <w:ind w:firstLine="248"/>
        <w:spacing w:after="0" w:line="257" w:lineRule="auto"/>
        <w:rPr>
          <w:sz w:val="20"/>
          <w:szCs w:val="20"/>
          <w:color w:val="auto"/>
        </w:rPr>
      </w:pPr>
      <w:r>
        <w:rPr>
          <w:rFonts w:ascii="Arial" w:cs="Arial" w:eastAsia="Arial" w:hAnsi="Arial"/>
          <w:sz w:val="18"/>
          <w:szCs w:val="18"/>
          <w:b w:val="1"/>
          <w:bCs w:val="1"/>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additional applications and services to our customers. The pace of our ecosystem expansion has accelerated in 2018, as we built on our existing integrations with Facebook Messenger and LINE, by adding integrations to to Apple Business Chat, Google Rich Business Messenger, WhatsApp, Alexa and Google Home. These popular conversational interfaces enable brands the opportunity to connect to millions of consumers, which in turn can increase traffic on our platform.</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offering is vendor agnostic, empowering our customers to manage a mix of different bots, human agents and technologies from one control panel, thereby optimizing contact center efficiency. In 2017, LivePerson launched the LiveEngage for Bots program and we have subsequently integrated LiveEngage with multiple artificial intelligence/bots vendors, including IBM Watson. LivePerson's proprietary and third-party AI/bots enable brands to partially or fully automate communications with their customers.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 In 2017, we allocated additional resources to supporting partners and we expect this investment to increase as our partner network expands.</w:t>
      </w:r>
    </w:p>
    <w:p>
      <w:pPr>
        <w:spacing w:after="0" w:line="81"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In order to better support our customers and to attract the best talent, LivePerson is globalizing research and development. We now have tech centers in Israel; Mannheim, Germany; New York; Atlanta; Mountain View, California; and Seattle.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sz w:val="20"/>
          <w:szCs w:val="20"/>
          <w:color w:val="auto"/>
        </w:rPr>
      </w:pPr>
    </w:p>
    <w:p>
      <w:pPr>
        <w:jc w:val="both"/>
        <w:ind w:firstLine="522"/>
        <w:spacing w:after="0" w:line="312" w:lineRule="auto"/>
        <w:rPr>
          <w:sz w:val="20"/>
          <w:szCs w:val="20"/>
          <w:color w:val="auto"/>
        </w:rPr>
      </w:pPr>
      <w:r>
        <w:rPr>
          <w:rFonts w:ascii="Arial" w:cs="Arial" w:eastAsia="Arial" w:hAnsi="Arial"/>
          <w:sz w:val="16"/>
          <w:szCs w:val="16"/>
          <w:b w:val="1"/>
          <w:bCs w:val="1"/>
          <w:i w:val="1"/>
          <w:iCs w:val="1"/>
          <w:color w:val="auto"/>
        </w:rPr>
        <w:t xml:space="preserve">International Presence. </w:t>
      </w:r>
      <w:r>
        <w:rPr>
          <w:rFonts w:ascii="Arial" w:cs="Arial" w:eastAsia="Arial" w:hAnsi="Arial"/>
          <w:sz w:val="16"/>
          <w:szCs w:val="16"/>
          <w:color w:val="auto"/>
        </w:rPr>
        <w:t>LivePerson is focused on expanding its international revenue contribution, which increased to 37% of total revenue in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in 2016 and 33% in 2015. LivePerson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603"/>
        <w:spacing w:after="0" w:line="289"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We continue to develop relationships with the media, industry analysts and relevant business associations to enhance awareness of our leadership within the care, sales, tech and marketing industries. With a vision of becoming the leader in messaging, we’ve hosted several private executive events for our customers and prospects, highlighting our expertise and the breadth of our services. These private executive events have led us to close several high-profile deals and we are continuing them throughout 2018. Our focus on connecting large enterprise businesses and their millions of consumers securely and at scale is a primary differentiator for LivePerson and a key component of our marketing strategy. We strategically target decision makers and influencers within several key vertical markets, leveraging customer successes to generate increased awareness and demand for brand-to-consumer messaging. In addition, our brand name may also be visible to both business users and consumers on a brand’s website, within the dialog messaging window. We also engage in digital marketing campaigns that promote our brand on web searches and third-party sites.</w:t>
      </w:r>
    </w:p>
    <w:p>
      <w:pPr>
        <w:spacing w:after="0" w:line="5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Leveraging LiveEngage to shift communication between consumers and brands from 1-800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calls to AI and human-powered messaging is the most important initiative in LivePerson's history. We believe that adoption of LiveEngage will align brands with consumer communication preferences, improve the customer experience and reduce contact center costs.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June 30, 2018 compared to the three months ended June 30, 2017:</w:t>
      </w:r>
    </w:p>
    <w:p>
      <w:pPr>
        <w:spacing w:after="0" w:line="117"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revenue increased 14% to $61.7 million from $54.1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from our Business segment increased 14% to $56.7 million from $49.6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margin increased to 74% from 72%.</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and expenses increased 14% to $69.5 million from $60.8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increased to $8.3 million from net loss of $7.5 million.</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$255,000 over the trailing twelve months ended June 30, 2018, as compared to greater than $205,000 for the trailing twelve months ended June 30, 2017.</w:t>
      </w:r>
    </w:p>
    <w:p>
      <w:pPr>
        <w:spacing w:after="0" w:line="8"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revenue retention rate for full service customers on LiveEngage was greater than 100% over the trailing twelve months ended June 30, 2018, continuing the trend of 100% plus revenue retention that we reported in 2017. Revenue retention rate measures the percentage of revenue retained at quarter end, from full service customers that were on LiveEngage at the same period a year ago.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9"/>
              </w:rPr>
              <w:t>Three Months Ended June 30,</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620" w:type="dxa"/>
            <w:vAlign w:val="bottom"/>
            <w:shd w:val="clear" w:color="auto" w:fill="CCFFCC"/>
          </w:tcPr>
          <w:p>
            <w:pPr>
              <w:ind w:left="40"/>
              <w:spacing w:after="0"/>
              <w:rPr>
                <w:sz w:val="20"/>
                <w:szCs w:val="20"/>
                <w:color w:val="auto"/>
              </w:rPr>
            </w:pPr>
            <w:r>
              <w:rPr>
                <w:rFonts w:ascii="Arial" w:cs="Arial" w:eastAsia="Arial" w:hAnsi="Arial"/>
                <w:sz w:val="14"/>
                <w:szCs w:val="14"/>
                <w:color w:val="auto"/>
              </w:rPr>
              <w:t>GAAP net loss</w:t>
            </w:r>
          </w:p>
        </w:tc>
        <w:tc>
          <w:tcPr>
            <w:tcW w:w="2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(8,321)</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(7,533)</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(11,524)</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(13,209)</w:t>
            </w:r>
          </w:p>
        </w:tc>
        <w:tc>
          <w:tcPr>
            <w:tcW w:w="340" w:type="dxa"/>
            <w:vAlign w:val="bottom"/>
            <w:shd w:val="clear" w:color="auto" w:fill="CCFFCC"/>
          </w:tcPr>
          <w:p>
            <w:pPr>
              <w:spacing w:after="0"/>
              <w:rPr>
                <w:sz w:val="24"/>
                <w:szCs w:val="2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1,429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2,860</w:t>
            </w:r>
          </w:p>
        </w:tc>
        <w:tc>
          <w:tcPr>
            <w:tcW w:w="340" w:type="dxa"/>
            <w:vAlign w:val="bottom"/>
          </w:tcPr>
          <w:p>
            <w:pPr>
              <w:spacing w:after="0"/>
              <w:rPr>
                <w:sz w:val="22"/>
                <w:szCs w:val="22"/>
                <w:color w:val="auto"/>
              </w:rPr>
            </w:pPr>
          </w:p>
        </w:tc>
      </w:tr>
      <w:tr>
        <w:trPr>
          <w:trHeight w:val="276"/>
        </w:trPr>
        <w:tc>
          <w:tcPr>
            <w:tcW w:w="56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3,826</w:t>
            </w:r>
          </w:p>
        </w:tc>
        <w:tc>
          <w:tcPr>
            <w:tcW w:w="3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2,347</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6,264</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4,260</w:t>
            </w:r>
          </w:p>
        </w:tc>
        <w:tc>
          <w:tcPr>
            <w:tcW w:w="340" w:type="dxa"/>
            <w:vAlign w:val="bottom"/>
            <w:shd w:val="clear" w:color="auto" w:fill="CCFFCC"/>
          </w:tcPr>
          <w:p>
            <w:pPr>
              <w:spacing w:after="0"/>
              <w:rPr>
                <w:sz w:val="24"/>
                <w:szCs w:val="2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3,428</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3,045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6,786</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5,838</w:t>
            </w:r>
          </w:p>
        </w:tc>
        <w:tc>
          <w:tcPr>
            <w:tcW w:w="340" w:type="dxa"/>
            <w:vAlign w:val="bottom"/>
          </w:tcPr>
          <w:p>
            <w:pPr>
              <w:spacing w:after="0"/>
              <w:rPr>
                <w:sz w:val="22"/>
                <w:szCs w:val="22"/>
                <w:color w:val="auto"/>
              </w:rPr>
            </w:pPr>
          </w:p>
        </w:tc>
      </w:tr>
      <w:tr>
        <w:trPr>
          <w:trHeight w:val="222"/>
        </w:trPr>
        <w:tc>
          <w:tcPr>
            <w:tcW w:w="56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1,768</w:t>
            </w:r>
          </w:p>
        </w:tc>
        <w:tc>
          <w:tcPr>
            <w:tcW w:w="36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rPr>
              <w:t>(1)</w:t>
            </w:r>
          </w:p>
        </w:tc>
        <w:tc>
          <w:tcPr>
            <w:tcW w:w="26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1,534</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(2)</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3,038</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(3)</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3,358</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(2)</w:t>
            </w:r>
          </w:p>
        </w:tc>
      </w:tr>
      <w:tr>
        <w:trPr>
          <w:trHeight w:val="210"/>
        </w:trPr>
        <w:tc>
          <w:tcPr>
            <w:tcW w:w="562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22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1,906</w:t>
            </w:r>
          </w:p>
        </w:tc>
        <w:tc>
          <w:tcPr>
            <w:tcW w:w="360" w:type="dxa"/>
            <w:vAlign w:val="bottom"/>
          </w:tcPr>
          <w:p>
            <w:pPr>
              <w:jc w:val="right"/>
              <w:ind w:right="162"/>
              <w:spacing w:after="0"/>
              <w:rPr>
                <w:sz w:val="20"/>
                <w:szCs w:val="20"/>
                <w:color w:val="auto"/>
              </w:rPr>
            </w:pPr>
            <w:r>
              <w:rPr>
                <w:rFonts w:ascii="Arial" w:cs="Arial" w:eastAsia="Arial" w:hAnsi="Arial"/>
                <w:sz w:val="9"/>
                <w:szCs w:val="9"/>
                <w:color w:val="auto"/>
              </w:rPr>
              <w:t>(4)</w:t>
            </w:r>
          </w:p>
        </w:tc>
        <w:tc>
          <w:tcPr>
            <w:tcW w:w="2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2,075</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(5)</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2,084</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r>
      <w:tr>
        <w:trPr>
          <w:trHeight w:val="276"/>
        </w:trPr>
        <w:tc>
          <w:tcPr>
            <w:tcW w:w="56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FFCC"/>
          </w:tcPr>
          <w:p>
            <w:pPr>
              <w:spacing w:after="0"/>
              <w:rPr>
                <w:sz w:val="24"/>
                <w:szCs w:val="24"/>
                <w:color w:val="auto"/>
              </w:rPr>
            </w:pP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536</w:t>
            </w:r>
          </w:p>
        </w:tc>
        <w:tc>
          <w:tcPr>
            <w:tcW w:w="3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673</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47</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1,744</w:t>
            </w:r>
          </w:p>
        </w:tc>
        <w:tc>
          <w:tcPr>
            <w:tcW w:w="340" w:type="dxa"/>
            <w:vAlign w:val="bottom"/>
            <w:shd w:val="clear" w:color="auto" w:fill="CCFFCC"/>
          </w:tcPr>
          <w:p>
            <w:pPr>
              <w:spacing w:after="0"/>
              <w:rPr>
                <w:sz w:val="24"/>
                <w:szCs w:val="24"/>
                <w:color w:val="auto"/>
              </w:rPr>
            </w:pPr>
          </w:p>
        </w:tc>
      </w:tr>
      <w:tr>
        <w:trPr>
          <w:trHeight w:val="264"/>
        </w:trPr>
        <w:tc>
          <w:tcPr>
            <w:tcW w:w="562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36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3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3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340" w:type="dxa"/>
            <w:vAlign w:val="bottom"/>
            <w:tcBorders>
              <w:bottom w:val="single" w:sz="8" w:color="CCFFCC"/>
            </w:tcBorders>
          </w:tcPr>
          <w:p>
            <w:pPr>
              <w:spacing w:after="0"/>
              <w:rPr>
                <w:sz w:val="22"/>
                <w:szCs w:val="22"/>
                <w:color w:val="auto"/>
              </w:rPr>
            </w:pPr>
          </w:p>
        </w:tc>
      </w:tr>
      <w:tr>
        <w:trPr>
          <w:trHeight w:val="243"/>
        </w:trPr>
        <w:tc>
          <w:tcPr>
            <w:tcW w:w="562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2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3,823</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3,669</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7,957</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6,945</w:t>
            </w:r>
          </w:p>
        </w:tc>
        <w:tc>
          <w:tcPr>
            <w:tcW w:w="340" w:type="dxa"/>
            <w:vAlign w:val="bottom"/>
            <w:shd w:val="clear" w:color="auto" w:fill="CCFFCC"/>
          </w:tcPr>
          <w:p>
            <w:pPr>
              <w:spacing w:after="0"/>
              <w:rPr>
                <w:sz w:val="21"/>
                <w:szCs w:val="21"/>
                <w:color w:val="auto"/>
              </w:rPr>
            </w:pPr>
          </w:p>
        </w:tc>
      </w:tr>
      <w:tr>
        <w:trPr>
          <w:trHeight w:val="20"/>
        </w:trPr>
        <w:tc>
          <w:tcPr>
            <w:tcW w:w="56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5" w:lineRule="exact"/>
        <w:rPr>
          <w:sz w:val="20"/>
          <w:szCs w:val="20"/>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$1.2 million, consulting costs of $0.4 million, and executive relocation costs of $0.2 million for the three months ended June 30, 2018.</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$1.5 million and $3.4 million for the three and six months ended June 30, 2017.</w:t>
      </w:r>
    </w:p>
    <w:p>
      <w:pPr>
        <w:spacing w:after="0" w:line="41" w:lineRule="exact"/>
        <w:rPr>
          <w:rFonts w:ascii="Arial" w:cs="Arial" w:eastAsia="Arial" w:hAnsi="Arial"/>
          <w:sz w:val="9"/>
          <w:szCs w:val="9"/>
          <w:color w:val="auto"/>
        </w:rPr>
      </w:pPr>
    </w:p>
    <w:p>
      <w:pPr>
        <w:ind w:left="40" w:right="100" w:hanging="5"/>
        <w:spacing w:after="0" w:line="253" w:lineRule="auto"/>
        <w:tabs>
          <w:tab w:leader="none" w:pos="181"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$2.1 million, consulting costs of $0.4 million, executive recruitment costs of $0.3 million, and executive relocation costs of $0.2 million for the six months ended June 30, 2018.</w:t>
      </w:r>
    </w:p>
    <w:p>
      <w:pPr>
        <w:spacing w:after="0" w:line="11"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severance costs of $1.9 million and $2.1 million for the three and six months ended June 30, 2018.</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wind down costs of legacy platform of $1.8 million and severance costs of $0.3 million for the three months ended June 30,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0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income does not reflect cash capital expenditure requirements for such replacements or for new capital expenditure requirements;</w:t>
      </w: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Net Income</w:t>
            </w:r>
          </w:p>
        </w:tc>
        <w:tc>
          <w:tcPr>
            <w:tcW w:w="7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40"/>
              <w:spacing w:after="0"/>
              <w:rPr>
                <w:sz w:val="20"/>
                <w:szCs w:val="20"/>
                <w:color w:val="auto"/>
              </w:rPr>
            </w:pPr>
            <w:r>
              <w:rPr>
                <w:rFonts w:ascii="Arial" w:cs="Arial" w:eastAsia="Arial" w:hAnsi="Arial"/>
                <w:sz w:val="14"/>
                <w:szCs w:val="14"/>
                <w:color w:val="auto"/>
              </w:rPr>
              <w:t>Pre-tax GAAP loss</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4"/>
              </w:rPr>
              <w:t>(7,785)</w:t>
            </w:r>
          </w:p>
        </w:tc>
        <w:tc>
          <w:tcPr>
            <w:tcW w:w="1140" w:type="dxa"/>
            <w:vAlign w:val="bottom"/>
            <w:gridSpan w:val="2"/>
            <w:shd w:val="clear" w:color="auto" w:fill="CCFFCC"/>
          </w:tcPr>
          <w:p>
            <w:pPr>
              <w:jc w:val="right"/>
              <w:ind w:right="6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(6,860)</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(11,477)</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(11,465)</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1,429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2,860</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3,826</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2,347</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6,264</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4,260</w:t>
            </w:r>
          </w:p>
        </w:tc>
        <w:tc>
          <w:tcPr>
            <w:tcW w:w="340" w:type="dxa"/>
            <w:vAlign w:val="bottom"/>
            <w:shd w:val="clear" w:color="auto" w:fill="CCFFCC"/>
          </w:tcPr>
          <w:p>
            <w:pPr>
              <w:spacing w:after="0"/>
              <w:rPr>
                <w:sz w:val="24"/>
                <w:szCs w:val="24"/>
                <w:color w:val="auto"/>
              </w:rPr>
            </w:pPr>
          </w:p>
        </w:tc>
      </w:tr>
      <w:tr>
        <w:trPr>
          <w:trHeight w:val="210"/>
        </w:trPr>
        <w:tc>
          <w:tcPr>
            <w:tcW w:w="526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1,768</w:t>
            </w:r>
          </w:p>
        </w:tc>
        <w:tc>
          <w:tcPr>
            <w:tcW w:w="360" w:type="dxa"/>
            <w:vAlign w:val="bottom"/>
          </w:tcPr>
          <w:p>
            <w:pPr>
              <w:jc w:val="right"/>
              <w:ind w:right="159"/>
              <w:spacing w:after="0"/>
              <w:rPr>
                <w:sz w:val="20"/>
                <w:szCs w:val="20"/>
                <w:color w:val="auto"/>
              </w:rPr>
            </w:pPr>
            <w:r>
              <w:rPr>
                <w:rFonts w:ascii="Arial" w:cs="Arial" w:eastAsia="Arial" w:hAnsi="Arial"/>
                <w:sz w:val="9"/>
                <w:szCs w:val="9"/>
                <w:color w:val="auto"/>
              </w:rPr>
              <w:t>(1)</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(2)</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3,038</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3,358</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(2)</w:t>
            </w:r>
          </w:p>
        </w:tc>
      </w:tr>
      <w:tr>
        <w:trPr>
          <w:trHeight w:val="21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1,906</w:t>
            </w:r>
          </w:p>
        </w:tc>
        <w:tc>
          <w:tcPr>
            <w:tcW w:w="360" w:type="dxa"/>
            <w:vAlign w:val="bottom"/>
            <w:shd w:val="clear" w:color="auto" w:fill="CCFFCC"/>
          </w:tcPr>
          <w:p>
            <w:pPr>
              <w:jc w:val="right"/>
              <w:ind w:right="159"/>
              <w:spacing w:after="0"/>
              <w:rPr>
                <w:sz w:val="20"/>
                <w:szCs w:val="20"/>
                <w:color w:val="auto"/>
              </w:rPr>
            </w:pPr>
            <w:r>
              <w:rPr>
                <w:rFonts w:ascii="Arial" w:cs="Arial" w:eastAsia="Arial" w:hAnsi="Arial"/>
                <w:sz w:val="9"/>
                <w:szCs w:val="9"/>
                <w:color w:val="auto"/>
              </w:rPr>
              <w:t>(4)</w:t>
            </w:r>
          </w:p>
        </w:tc>
        <w:tc>
          <w:tcPr>
            <w:tcW w:w="780" w:type="dxa"/>
            <w:vAlign w:val="bottom"/>
            <w:tcBorders>
              <w:bottom w:val="single" w:sz="8" w:color="auto"/>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2,075</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(5)</w:t>
            </w:r>
          </w:p>
        </w:tc>
        <w:tc>
          <w:tcPr>
            <w:tcW w:w="26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2,084</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(6)</w:t>
            </w:r>
          </w:p>
        </w:tc>
      </w:tr>
      <w:tr>
        <w:trPr>
          <w:trHeight w:val="250"/>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Pre-tax adjusted net income</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w:t>
            </w:r>
          </w:p>
        </w:tc>
        <w:tc>
          <w:tcPr>
            <w:tcW w:w="360" w:type="dxa"/>
            <w:vAlign w:val="bottom"/>
            <w:tcBorders>
              <w:bottom w:val="single" w:sz="8" w:color="CCFFCC"/>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w:t>
            </w:r>
          </w:p>
        </w:tc>
        <w:tc>
          <w:tcPr>
            <w:tcW w:w="3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1,331</w:t>
            </w:r>
          </w:p>
        </w:tc>
        <w:tc>
          <w:tcPr>
            <w:tcW w:w="3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1,328</w:t>
            </w:r>
          </w:p>
        </w:tc>
        <w:tc>
          <w:tcPr>
            <w:tcW w:w="340" w:type="dxa"/>
            <w:vAlign w:val="bottom"/>
            <w:tcBorders>
              <w:bottom w:val="single" w:sz="8" w:color="CCFFCC"/>
            </w:tcBorders>
          </w:tcPr>
          <w:p>
            <w:pPr>
              <w:spacing w:after="0"/>
              <w:rPr>
                <w:sz w:val="21"/>
                <w:szCs w:val="21"/>
                <w:color w:val="auto"/>
              </w:rPr>
            </w:pPr>
          </w:p>
        </w:tc>
      </w:tr>
      <w:tr>
        <w:trPr>
          <w:trHeight w:val="250"/>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 xml:space="preserve">Income tax effect of non-GAAP items </w:t>
            </w:r>
            <w:r>
              <w:rPr>
                <w:rFonts w:ascii="Arial" w:cs="Arial" w:eastAsia="Arial" w:hAnsi="Arial"/>
                <w:sz w:val="8"/>
                <w:szCs w:val="8"/>
                <w:color w:val="auto"/>
              </w:rPr>
              <w:t>(7)</w:t>
            </w:r>
          </w:p>
        </w:tc>
        <w:tc>
          <w:tcPr>
            <w:tcW w:w="78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(107)</w:t>
            </w:r>
          </w:p>
        </w:tc>
        <w:tc>
          <w:tcPr>
            <w:tcW w:w="360" w:type="dxa"/>
            <w:vAlign w:val="bottom"/>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(184)</w:t>
            </w:r>
          </w:p>
        </w:tc>
        <w:tc>
          <w:tcPr>
            <w:tcW w:w="340" w:type="dxa"/>
            <w:vAlign w:val="bottom"/>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(333)</w:t>
            </w:r>
          </w:p>
        </w:tc>
        <w:tc>
          <w:tcPr>
            <w:tcW w:w="340" w:type="dxa"/>
            <w:vAlign w:val="bottom"/>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(465)</w:t>
            </w:r>
          </w:p>
        </w:tc>
        <w:tc>
          <w:tcPr>
            <w:tcW w:w="340" w:type="dxa"/>
            <w:vAlign w:val="bottom"/>
            <w:shd w:val="clear" w:color="auto" w:fill="CCFFCC"/>
          </w:tcPr>
          <w:p>
            <w:pPr>
              <w:spacing w:after="0"/>
              <w:rPr>
                <w:sz w:val="21"/>
                <w:szCs w:val="21"/>
                <w:color w:val="auto"/>
              </w:rPr>
            </w:pPr>
          </w:p>
        </w:tc>
      </w:tr>
      <w:tr>
        <w:trPr>
          <w:trHeight w:val="283"/>
        </w:trPr>
        <w:tc>
          <w:tcPr>
            <w:tcW w:w="526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863</w:t>
            </w:r>
          </w:p>
        </w:tc>
        <w:tc>
          <w:tcPr>
            <w:tcW w:w="340" w:type="dxa"/>
            <w:vAlign w:val="bottom"/>
          </w:tcPr>
          <w:p>
            <w:pPr>
              <w:spacing w:after="0"/>
              <w:rPr>
                <w:sz w:val="24"/>
                <w:szCs w:val="24"/>
                <w:color w:val="auto"/>
              </w:rPr>
            </w:pPr>
          </w:p>
        </w:tc>
      </w:tr>
      <w:tr>
        <w:trPr>
          <w:trHeight w:val="264"/>
        </w:trPr>
        <w:tc>
          <w:tcPr>
            <w:tcW w:w="5260" w:type="dxa"/>
            <w:vAlign w:val="bottom"/>
            <w:tcBorders>
              <w:top w:val="single" w:sz="8" w:color="CCFFCC"/>
            </w:tcBorders>
            <w:shd w:val="clear" w:color="auto" w:fill="CCFFCC"/>
          </w:tcPr>
          <w:p>
            <w:pPr>
              <w:spacing w:after="0"/>
              <w:rPr>
                <w:sz w:val="22"/>
                <w:szCs w:val="22"/>
                <w:color w:val="auto"/>
              </w:rPr>
            </w:pPr>
          </w:p>
        </w:tc>
        <w:tc>
          <w:tcPr>
            <w:tcW w:w="780" w:type="dxa"/>
            <w:vAlign w:val="bottom"/>
            <w:tcBorders>
              <w:top w:val="single" w:sz="8" w:color="auto"/>
            </w:tcBorders>
            <w:shd w:val="clear" w:color="auto" w:fill="CCFFCC"/>
          </w:tcPr>
          <w:p>
            <w:pPr>
              <w:spacing w:after="0"/>
              <w:rPr>
                <w:sz w:val="22"/>
                <w:szCs w:val="22"/>
                <w:color w:val="auto"/>
              </w:rPr>
            </w:pPr>
          </w:p>
        </w:tc>
        <w:tc>
          <w:tcPr>
            <w:tcW w:w="500" w:type="dxa"/>
            <w:vAlign w:val="bottom"/>
            <w:tcBorders>
              <w:top w:val="single" w:sz="8" w:color="auto"/>
            </w:tcBorders>
            <w:shd w:val="clear" w:color="auto" w:fill="CCFFCC"/>
          </w:tcPr>
          <w:p>
            <w:pPr>
              <w:spacing w:after="0"/>
              <w:rPr>
                <w:sz w:val="22"/>
                <w:szCs w:val="22"/>
                <w:color w:val="auto"/>
              </w:rPr>
            </w:pPr>
          </w:p>
        </w:tc>
        <w:tc>
          <w:tcPr>
            <w:tcW w:w="360" w:type="dxa"/>
            <w:vAlign w:val="bottom"/>
            <w:tcBorders>
              <w:top w:val="single" w:sz="8" w:color="CCFFCC"/>
            </w:tcBorders>
            <w:shd w:val="clear" w:color="auto" w:fill="CCFFCC"/>
          </w:tcPr>
          <w:p>
            <w:pPr>
              <w:spacing w:after="0"/>
              <w:rPr>
                <w:sz w:val="22"/>
                <w:szCs w:val="22"/>
                <w:color w:val="auto"/>
              </w:rPr>
            </w:pPr>
          </w:p>
        </w:tc>
        <w:tc>
          <w:tcPr>
            <w:tcW w:w="780" w:type="dxa"/>
            <w:vAlign w:val="bottom"/>
            <w:tcBorders>
              <w:top w:val="single" w:sz="8" w:color="auto"/>
            </w:tcBorders>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r>
    </w:tbl>
    <w:p>
      <w:pPr>
        <w:spacing w:after="0" w:line="8"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$1.2 million, consulting costs of $0.4 million, and executive relocation costs of $0.2 million for the three months ended June 30, 2018.</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$1.5 million and $3.4 million for the three and six months ended June 30, 2017.</w:t>
      </w:r>
    </w:p>
    <w:p>
      <w:pPr>
        <w:spacing w:after="0" w:line="41" w:lineRule="exact"/>
        <w:rPr>
          <w:rFonts w:ascii="Arial" w:cs="Arial" w:eastAsia="Arial" w:hAnsi="Arial"/>
          <w:sz w:val="9"/>
          <w:szCs w:val="9"/>
          <w:color w:val="auto"/>
        </w:rPr>
      </w:pPr>
    </w:p>
    <w:p>
      <w:pPr>
        <w:ind w:left="40" w:right="100" w:hanging="5"/>
        <w:spacing w:after="0" w:line="253" w:lineRule="auto"/>
        <w:tabs>
          <w:tab w:leader="none" w:pos="181"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$2.1 million, consulting costs of $0.4 million, executive recruitment costs of $0.3 million, and executive relocation costs of $0.2 million for the six months ended June 30, 2018.</w:t>
      </w:r>
    </w:p>
    <w:p>
      <w:pPr>
        <w:spacing w:after="0" w:line="227"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severance costs of $1.9 million and $2.1 million for the three and six months ended June 30, 2018.</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wind down costs of legacy platform of $1.8 million and severance costs of $0.3 million for the three months ended June 30,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six months ended June 30, 2017.</w:t>
      </w:r>
    </w:p>
    <w:p>
      <w:pPr>
        <w:spacing w:after="0" w:line="41" w:lineRule="exact"/>
        <w:rPr>
          <w:rFonts w:ascii="Arial" w:cs="Arial" w:eastAsia="Arial" w:hAnsi="Arial"/>
          <w:sz w:val="9"/>
          <w:szCs w:val="9"/>
          <w:color w:val="auto"/>
        </w:rPr>
      </w:pPr>
    </w:p>
    <w:p>
      <w:pPr>
        <w:ind w:left="40" w:right="140" w:hanging="5"/>
        <w:spacing w:after="0" w:line="253" w:lineRule="auto"/>
        <w:tabs>
          <w:tab w:leader="none" w:pos="214"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Company applies a standardized tax rate of 25% for the three and six months ended June 30, 2018. The Company applied a standardized tax rate of 35% for the three and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2466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ind w:right="20" w:firstLine="648"/>
        <w:spacing w:after="0" w:line="277" w:lineRule="auto"/>
        <w:rPr>
          <w:sz w:val="20"/>
          <w:szCs w:val="20"/>
          <w:color w:val="auto"/>
        </w:rPr>
      </w:pPr>
      <w:r>
        <w:rPr>
          <w:rFonts w:ascii="Arial" w:cs="Arial" w:eastAsia="Arial" w:hAnsi="Arial"/>
          <w:sz w:val="18"/>
          <w:szCs w:val="18"/>
          <w:color w:val="auto"/>
        </w:rPr>
        <w:t>Total revenue of $61.7 million and $119.9 million recognized during the three months and six months ended June 30, 2018, respectively, under Topic 606, was not materially different from what would have been recognized under Topic 605.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our performance. Subscription contracts are generally one year or longer in length, billed, monthly, quarterly or annually in advance. There is no significant variable consideration related to these arrangements. Additionally, for certain of the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Pay for Performance ("PFP") arrangements in accordance with ASC-606, "Principal Agent Considerations", we act as a principal in a transaction if it controls the specified goods or services before they are transferred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retains a portion of the fee, and then remit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in the deferred revenue balance for the six months ended June 30, 2018 is primarily driven by cash payments received or due in advance of satisfying our performance obligations, partially offset by $26.2 million of revenues recognized that were included in the deferred revenue balance as of December 31, 2017.</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there was approximately $17.2 million of total unrecognized compensation cost related to nonvested stock options. That cost is expected to be recognized over a weighted average period of approximately 3.0 years. As of June 30, 2018, there was approximately $33.4 million of total unrecognized compensation cost related to nonvested restricted stock units. That cost is expected to be recognized over a weighted average period of approximately 3.0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and six months ended June 30, 2018 and 2017. No customer accounted for approximately 10% of accounts receivable as of June 30, 2018 and December 31, 2017.</w:t>
      </w:r>
    </w:p>
    <w:p>
      <w:pPr>
        <w:spacing w:after="0" w:line="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 During the six months ended June 30, 2018, our allowance for doubtful accounts increased by $0.4 million to approximately $1.6 million. During 2017, we decreased our allowance for doubtful accounts by $0.4 million to approximately $1.3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2017,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is measured as the difference between the carrying value and the fair value of the impaired asset. We do not have any long-lived assets, including intangible assets, which we consider to be impaired.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Condensed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 of the Notes to Condensed Consolidated Financial Statements for a full description of recently issued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 of the Notes to Condensed Consolidated Financial Statements for a full description of recently adopted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from our Business segment accounted for 92% of total revenue for the three and six months ended June 30, 2018 and 2017. Revenue attributable to our monthly hosted Business services accounted for 85% and 87% of total Business revenue for the three and six months ended June 30, 2018, respectively. Revenue attributable to our monthly hosted Business services accounted for 89% of total Business revenue for the three and six months ended June 30, 2017.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and six months ended June 30, 2018 and 2017.</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81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81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31115</wp:posOffset>
            </wp:positionV>
            <wp:extent cx="1920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31115</wp:posOffset>
            </wp:positionV>
            <wp:extent cx="1920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260" w:space="720"/>
            <w:col w:w="2440"/>
          </w:cols>
          <w:pgMar w:left="240" w:top="584" w:right="239" w:bottom="1440" w:gutter="0" w:footer="0" w:header="0"/>
          <w:type w:val="continuous"/>
        </w:sectPr>
      </w:pPr>
    </w:p>
    <w:p>
      <w:pPr>
        <w:ind w:left="40"/>
        <w:spacing w:after="0"/>
        <w:tabs>
          <w:tab w:leader="none" w:pos="5160" w:val="left"/>
          <w:tab w:leader="none" w:pos="6140" w:val="left"/>
          <w:tab w:leader="none" w:pos="6780" w:val="left"/>
          <w:tab w:leader="none" w:pos="7760" w:val="left"/>
          <w:tab w:leader="none" w:pos="8400" w:val="left"/>
          <w:tab w:leader="none" w:pos="936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2,347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6,264</w:t>
        <w:tab/>
        <w:t>$</w:t>
      </w:r>
      <w:r>
        <w:rPr>
          <w:sz w:val="20"/>
          <w:szCs w:val="20"/>
          <w:color w:val="auto"/>
        </w:rPr>
        <w:tab/>
      </w:r>
      <w:r>
        <w:rPr>
          <w:rFonts w:ascii="Arial" w:cs="Arial" w:eastAsia="Arial" w:hAnsi="Arial"/>
          <w:sz w:val="15"/>
          <w:szCs w:val="15"/>
          <w:color w:val="auto"/>
        </w:rPr>
        <w:t>4,260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2018 and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48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60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56,708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49,614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w w:val="96"/>
              </w:rPr>
              <w:t>110,269</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96,363</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4,460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8,630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61,660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54,074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6"/>
              </w:rPr>
              <w:t>119,901</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104,993</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Business revenue increased by 14% to $56.7 million and $110.3 million in the three and six months ended June 30, 2018, respectively, from $49.6 million and $96.4 million in the comparable periods in 2017. This variance was primarily attributable to the increase in revenue from professional services of approximately $3.0 million and $3.7 million, in revenue from existing customers of approximately $2.2 million and $4.9 million, in revenue from new customers of approximately $1.3 million and $4.2 million, and in revenue that is variable principally based on pay for performance of approximately $0.6 million and $1.2 million,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ind w:firstLine="648"/>
        <w:spacing w:after="0" w:line="279" w:lineRule="auto"/>
        <w:rPr>
          <w:sz w:val="20"/>
          <w:szCs w:val="20"/>
          <w:color w:val="auto"/>
        </w:rPr>
      </w:pPr>
      <w:r>
        <w:rPr>
          <w:rFonts w:ascii="Arial" w:cs="Arial" w:eastAsia="Arial" w:hAnsi="Arial"/>
          <w:sz w:val="17"/>
          <w:szCs w:val="17"/>
          <w:color w:val="auto"/>
        </w:rPr>
        <w:t>In 2017, we had notified the majority of our customers about the end of life on the legacy offering, and not every legacy customer elected to move to LiveEngage. After we finished the migration of current customers from our old platform to our new LiveEngage platform, our focus shifted back to selling and expanding our base of messaging customers. We continued to see a decrease in existing customer cancellations quarter over quarter. During the fourth quarter 2017, we returned to year over year revenue growth. This trend continued into the first and second quarters of 2018.</w:t>
      </w:r>
    </w:p>
    <w:p>
      <w:pPr>
        <w:spacing w:after="0" w:line="6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Consumer revenue increased by 11% and 12% to $5.0 million and $9.6 million in the three and six months ended June 30, 2018, respectively, from $4.5 million and $8.6 million in the comparable periods in 2017. This variance is driven by an increase in price per minute and in volume of chat minutes.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28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40" w:type="dxa"/>
            <w:vAlign w:val="bottom"/>
          </w:tcPr>
          <w:p>
            <w:pPr>
              <w:spacing w:after="0"/>
              <w:rPr>
                <w:sz w:val="22"/>
                <w:szCs w:val="22"/>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40" w:type="dxa"/>
            <w:vAlign w:val="bottom"/>
          </w:tcPr>
          <w:p>
            <w:pPr>
              <w:spacing w:after="0"/>
              <w:rPr>
                <w:sz w:val="22"/>
                <w:szCs w:val="22"/>
                <w:color w:val="auto"/>
              </w:rPr>
            </w:pPr>
          </w:p>
        </w:tc>
        <w:tc>
          <w:tcPr>
            <w:tcW w:w="19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   15,086</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   14,206</w:t>
            </w:r>
          </w:p>
        </w:tc>
        <w:tc>
          <w:tcPr>
            <w:tcW w:w="1300" w:type="dxa"/>
            <w:vAlign w:val="bottom"/>
            <w:gridSpan w:val="3"/>
          </w:tcPr>
          <w:p>
            <w:pPr>
              <w:ind w:left="840"/>
              <w:spacing w:after="0"/>
              <w:rPr>
                <w:sz w:val="20"/>
                <w:szCs w:val="20"/>
                <w:color w:val="auto"/>
              </w:rPr>
            </w:pPr>
            <w:r>
              <w:rPr>
                <w:rFonts w:ascii="Arial" w:cs="Arial" w:eastAsia="Arial" w:hAnsi="Arial"/>
                <w:sz w:val="16"/>
                <w:szCs w:val="16"/>
                <w:color w:val="auto"/>
              </w:rPr>
              <w:t>6%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28,004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27,112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900" w:type="dxa"/>
            <w:vAlign w:val="bottom"/>
            <w:tcBorders>
              <w:bottom w:val="single" w:sz="8" w:color="CCFFCC"/>
            </w:tcBorders>
            <w:shd w:val="clear" w:color="auto" w:fill="CCFFCC"/>
          </w:tcPr>
          <w:p>
            <w:pPr>
              <w:jc w:val="right"/>
              <w:ind w:right="363"/>
              <w:spacing w:after="0"/>
              <w:rPr>
                <w:sz w:val="20"/>
                <w:szCs w:val="20"/>
                <w:color w:val="auto"/>
              </w:rPr>
            </w:pPr>
            <w:r>
              <w:rPr>
                <w:rFonts w:ascii="Arial" w:cs="Arial" w:eastAsia="Arial" w:hAnsi="Arial"/>
                <w:sz w:val="16"/>
                <w:szCs w:val="16"/>
                <w:color w:val="auto"/>
              </w:rPr>
              <w:t>24%</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234</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229</w:t>
            </w: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w w:val="94"/>
              </w:rPr>
              <w:t>2%</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234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increased by 6% to $15.1 million in the three months ended June 30, 2018, from $14.2 million in the comparable period in 2017. This variance was primarily attributable to increases in outsourced labor and other business services of approximately $1.0 million and in total compensation and related costs for customer service and network operations personnel of approximately $0.7 million. This was partially offset by decreases in amortization expense of approximately $0.7 million and in primary and backup server facilities and allocated overhead related to costs supporting our server and network infrastructure of approximately $0.2 million.</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increased by 3% to $28.0 million in the six months ended June 30, 2018, from $27.1 million in the comparable period in 2017. This variance was primarily attributable to increases in outsourced labor and other business services of approximately $1.4 million and in total compensation and related costs for customer service and network operations personnel of approximately $1.0 million. This was partially offset by decreases in amortization expense of approximately $1.3 million and in primary and backup server facilities and allocated overhead related to costs supporting our server and network infrastructure of approximately $0.3 million.</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 for our business segment increased to 73% and 75% in the three and six months ended June 30, 2018, respectively, from 71% and 72% in the comparable periods in 2017. The increase in gross margin was tied to our ability to operationalize cost savings by moving brands off of our legacy platform and realigning our go-to-market strategy around LiveEngage.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950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928</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2 %  $</w:t>
            </w: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1,986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1,803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0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remained relatively flat in the three months ended June 30, 2018, from the comparable period in 2017. This variance was primarily attributable to increases in depreciation expense and credit card processing fees offset by decreases in backup server facilities and allocated occupancy costs and overhead.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ind w:firstLine="648"/>
        <w:spacing w:after="0" w:line="264" w:lineRule="auto"/>
        <w:rPr>
          <w:sz w:val="20"/>
          <w:szCs w:val="20"/>
          <w:color w:val="auto"/>
        </w:rPr>
      </w:pPr>
      <w:r>
        <w:rPr>
          <w:rFonts w:ascii="Arial" w:cs="Arial" w:eastAsia="Arial" w:hAnsi="Arial"/>
          <w:sz w:val="18"/>
          <w:szCs w:val="18"/>
          <w:color w:val="auto"/>
        </w:rPr>
        <w:t>Cost of revenue increased by 10% to $2.0 million in the six months ended June 30, 2018, from $1.8 million the comparable period in 2017. This variance was primarily attributable to increases in depreciation expense, salary and related employee expenses, and credit card processing fees partially offset by decreases in backup server facilities and allocated occupancy costs and overhead.</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8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23,339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21,242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45,062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40,785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r>
    </w:tbl>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Sales and marketing expenses increased by 10% to $23.3 million in the three months ended June 30, 2018 from $21.2 million in the comparable period in 2017. This variance was primarily attributable to increases in salaries and related costs for sales and marketing personnel of approximately $1.2 million, outsourced labor and other business services of approximately $0.8 million, and in recruiting expenses of approximately $0.5 million. This was partially offset by decreases in marketing events, advertising, public relations, and tradeshow exhibit expenses of approximately $0.4 million.</w:t>
      </w:r>
    </w:p>
    <w:p>
      <w:pPr>
        <w:spacing w:after="0" w:line="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and marketing expenses increased by 10% to $45.1 million in the six months ended June 30, 2018 from $40.8 million in the comparable period in 2017. This variance was primarily attributable to increases in outsourced labor and other business services of approximately $1.8 million, in recruiting expenses of approximately $1.2 million, in salaries and related costs for sales and marketing personnel of approximately $0.7 million and in marketing events, advertising, public relations, and tradeshow exhibit expenses of approximately $0.6 million.</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realigned our go-to-market strategy around LiveEngage 2.0. Our outreach efforts are primarily focused on fostering a community of thought and industry leadership by targeting a few hundred of the world's largest brands through conference calls and events.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0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2,053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2,150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4,461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4,307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0"/>
                <w:szCs w:val="20"/>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decreased by 5% to $2.1 million in the three months ended June 30, 2018 from $2.2 million in the comparable periods in 2017. This variance was primarily attributable to decreases in advertising and online expenses, partially offset by increases in salaries and related costs for sales and marketing personnel.</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4% to $4.5 million in the six months ended June 30, 2018 from $4.3 million in the comparable periods in 2017. This variance was primarily attributable to increases in in salaries and related costs for sales and marketing personnel partially offset by decreases in advertising and online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8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11,499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10,437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21,622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20,130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114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107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114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w:t>
            </w:r>
          </w:p>
        </w:tc>
      </w:tr>
    </w:tbl>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and administrative expenses increased by 10% to $11.5 million in the three months ended June 30, 2018 from $10.4 million in the comparable period in 2017. This variance was primarily attributable to increases in total compensation and related employee expenses of approximately $0.7 million, in business services and outsourced labor of approximately $0.3 million, and a net increase in non-recurring costs of approximately $0.3 million. This was partially offset by decreases in allocated occupancy costs, related overhead, information technology and other general corporate expenses of approximately $0.3 million. Non-recurring costs consisted of approximately $0.4 million in consulting fees and executive relocation costs of approximately $0.2 million, partially offset by a decrease in litigation costs of approximately $0.3 million. Consulting fees related to pricing and cost efficiency analysis.</w:t>
      </w:r>
    </w:p>
    <w:p>
      <w:pPr>
        <w:spacing w:after="0" w:line="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and administrative expenses increased by 7% to $21.6 million in the six months ended June 30, 2018 from $20.1 million in the comparable period in 2017. This variance was primarily attributable to increases in total compensation and related employee expenses of approximately $1.1 million, in business services and outsourced labor of approximately $0.6 million, and in allocated occupancy costs, related overhead, information technology and other general corporate expenses of approximately $0.2 million. This was partially offset by a net decrease in non-recurring costs of approximately $0.4 million. Non-recurring costs consisted of a decrease in litigation costs of approximately $1.3 million, partially offset by $0.4 million in consulting fees, executive recruitment costs of $0.3 million and executive relocation costs of approximately $0.2 million. Consulting fees related to pricing and cost efficiency analysis.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200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14,219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9,326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27,471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19,285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367</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296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367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increased by 52% and 42% to $14.2 million and $27.5 million in the three and six months ended June 30, 2018 from $9.3 million and $19.3 million in the comparable periods in 2017. This variance was primarily attributable to increases in total compensation, outside labor, recruiting expense and associated costs for existing product development personnel of approximately $4.0 million and $6.4 million, respectively, and in depreciation expense and backup server facilities and allocated overhead related to costs of supporting our server and network infrastructure of approximately $0.9 and $1.8 million, respectively.</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continue to invest in new product development efforts to expand the capability of LiveEngage. We recognize that every brand is unique and employs an individualized and complex approach to managing their users.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and six months ended June 30, 2018, $2.4 million and $5.1 million was capitalized, respectively. In the three and six months ended June 30, 2017, $2.3 million and $4.0 was capitalized, respectively.</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4"/>
              <w:spacing w:after="0"/>
              <w:rPr>
                <w:sz w:val="20"/>
                <w:szCs w:val="20"/>
                <w:color w:val="auto"/>
              </w:rPr>
            </w:pPr>
            <w:r>
              <w:rPr>
                <w:rFonts w:ascii="Arial" w:cs="Arial" w:eastAsia="Arial" w:hAnsi="Arial"/>
                <w:sz w:val="16"/>
                <w:szCs w:val="16"/>
                <w:color w:val="auto"/>
              </w:rPr>
              <w:t>1,906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2,076</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(8)%  $</w:t>
            </w: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2,084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2,315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16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0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r>
      <w:tr>
        <w:trPr>
          <w:trHeight w:val="33"/>
        </w:trPr>
        <w:tc>
          <w:tcPr>
            <w:tcW w:w="516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Restructuring costs incurred decreased by 8% and 10% to approximately $1.9 million and $2.1 million during the three and six months ended June 30, 2018, respectively, from $2.1 million and $2.3 million in the comparable periods in 2017. This variance was primarily attributable to wind-down costs of our legacy platform of $1.8 million and $1.9 million during three and six months ended 2017. This was partially offset by increases in severance costs of $1.6 million and $1.7 million during three and six months ended June 30, 2018 from the comparable periods in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424</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470</w:t>
            </w:r>
          </w:p>
        </w:tc>
        <w:tc>
          <w:tcPr>
            <w:tcW w:w="14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(10)%  $</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848</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942</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 for purchased intangibles decreased by 10% to $0.4 million and $0.8 million in the three and six months ended June 30, 2018, respectively, from $0.5 million and $0.9 million in the comparable periods in 2017. This variance was primarily attributable to a decrease in amortization of CAO! and Synchronite intangible assets. This was partially offset by amortization of the 2018 Bot Central assets acquired.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 amortization expense in the amount of $0.3 million and $1.0 million in the three months ended June 30, 2018 and 2017, respectively, and $0.6 million and $1.9 million in the six months ended June 30, 2018 and 2017, respectively, is included in cost of revenue. The decrease is primarily attributable to the full amortization of Amadesa during the third quarter of 2017.</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1900" w:type="dxa"/>
            <w:vAlign w:val="bottom"/>
            <w:tcBorders>
              <w:top w:val="single" w:sz="8" w:color="auto"/>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600" w:type="dxa"/>
            <w:vAlign w:val="bottom"/>
            <w:shd w:val="clear" w:color="auto" w:fill="CCFFCC"/>
          </w:tcPr>
          <w:p>
            <w:pPr>
              <w:jc w:val="right"/>
              <w:ind w:right="40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(131)%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160</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221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528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net increased 131% in the three months ended June 30, 2018 from the comparable period in 2017 due to a gain on foreign exchange of approximately $0.1 million and an increase in other financial income of approximately $0.1 million. This was partially offset by a decrease in hedging income.</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net decreased 28% in the six months ended June 30, 2018 from the comparable period in 2017 due to a decrease in finance hedging income of approximately $0.3 million. This was partially offset by a gain on foreign exchange of approximately $0.1 million and an increase in other financial income of approximately $0.1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536</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673</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(20)%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1,744</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decreased by 20% and 97% to $0.5 million and $47,000 for the three and six months ended June 30, 2018 from $0.7 million and $1.7 million in the comparable periods in 2017. Our consolidated effective tax rate was impacted by the statutory income tax rates applicable to each of the jurisdictions in which we operate.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6"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$8.3 million in the three months ended June 30, 2018 compared to a net loss of $7.5 million for the three months ended June 30, 2017. During the three months ended June 30, 2018, there were increases in revenue of approximately $7.6 million, increases in other income (expense), net of approximately $0.1 million, and decreases in provision for income taxes of approximately $0.1 million. This was partially offset by increases in operating expenses of approximately $8.6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$11.5 million in the six months ended June 30, 2018 compared to a net loss of $13.2 million for the six months ended June 30, 2017. During the six months ended June 30, 2018, there were increases in revenue of approximately $14.9 million and decreases in provision for income taxes by $1.7 million. This was partially offset by increases in operating expenses of approximately $14.9 million and decreases in other income (expense), net of approximately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60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(2,007)</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5,364</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(8,821)</w:t>
            </w:r>
          </w:p>
        </w:tc>
        <w:tc>
          <w:tcPr>
            <w:tcW w:w="60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(7,045)</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financing activities</w:t>
            </w:r>
          </w:p>
        </w:tc>
        <w:tc>
          <w:tcPr>
            <w:tcW w:w="280" w:type="dxa"/>
            <w:vAlign w:val="bottom"/>
          </w:tcPr>
          <w:p>
            <w:pPr>
              <w:spacing w:after="0"/>
              <w:rPr>
                <w:sz w:val="20"/>
                <w:szCs w:val="20"/>
                <w:color w:val="auto"/>
              </w:rPr>
            </w:pP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24,322</w:t>
            </w:r>
          </w:p>
        </w:tc>
        <w:tc>
          <w:tcPr>
            <w:tcW w:w="6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807</w:t>
            </w:r>
          </w:p>
        </w:tc>
      </w:tr>
    </w:tbl>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2018, we had approximately $69.7 million in cash and cash equivalents, an increase of approximately $13.6 million from December 31, 2017. The increase is primarily attributable to cash provided by financing activities relating to issuance of common stock net cash, deferred revenue, and non-cash expenses. This was partially offset by cash flows used in investing relating to purchases of fixed assets for our co-location facilities and capitalization of internally developed software, increases in prepaid expenses and other current assets and decreases in accrued expenses.</w:t>
      </w:r>
    </w:p>
    <w:p>
      <w:pPr>
        <w:spacing w:after="0" w:line="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$2.0 million for the six months ended June 30, 2018 and consisted primarily of net loss and increases in prepaid expenses and other current assets and accounts receivable and decreases in accrued expenses. This was partially offset by increases in deferred revenue and non-cash expenses related to depreciation, stock compensation, and amortization of purchased intangibles. The increase in accounts receivable and deferred revenue was primarily related to changes in our billing terms for some of our larger customers. Net cash provided by operating activities was $5.4 million for the six months ended June 30, 2017 and consisted primarily of increases in deferred revenue, decreases in accounts receivable, and non-cash expenses related to depreciation, stock compensation, and amortization of purchased intangibles. This was partially offset by net loss, increases in prepaid expenses and other current assets, and decreases in accounts payable and accrued expenses.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$8.8 million in the six months ended June 30, 2018 and was due primarily to the purchase of fixed assets for our co-location facilities and capitalization of internally developed software and the BotCentral assets acquired, partially offset by a release of restricted cash used with foreign currency forward contracts. Net cash used in investing activities was $7.0 million in the six months ended June 30, 2017 and was due primarily to the purchase of fixed assets for our co-location facilities.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$24.3 million and $0.8 million in the six months ended June 30, 2018 and 2017, respectively. This was due primarily to proceeds from the issuance of common stock in connection with the exercise of stock options by employees, partially offset by repurchase of our common stock</w:t>
      </w:r>
    </w:p>
    <w:p>
      <w:pPr>
        <w:spacing w:after="0" w:line="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2018, we had an accumulated deficit of approximately $174.0 million.</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six months ended June 30, 2018 and 2017 was approximately $2.3 million and $4.6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As of June 30, 2018, our principal commitments were approximately $27.1 million under various operating leases, of which approximately $4.8 million is due in 2018. We currently expect that our principal commitments for the year ending December 31, 2018 will not exceed $15.5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June 30, 2018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27,076</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8,535</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11,676</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5,613</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1,252</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Israeli operations have currency rate fluctuation risk associated with the exchange rate movement of the U.S. dollar against the New Israeli Shekel (“NIS”). During the three months ended June 30, 2018, the U.S. dollar appreciated by approximately 1% as compared to the NIS. During the six months ended June 30, 2018, the U.S. dollar depreciated by approximately 2% as compared to the NIS. During the three and six months ended June 30, 2018, expenses generated by our Israeli operations totaled approximately $16.9 million and $34.5 million, respectively. During 2018,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2018, our allowance for doubtful accounts increased by $0.4 million to approximately $1.7 million. During 2017, we decreased our allowance for doubtful accounts from $1.7 million to approximately $1.3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2018. Based on that evaluation, the Chief Executive Officer and Chief Financial Officer concluded that our disclosure controls and procedures were effective as of June 30, 2018 to ensure that the information we are required to disclose in the reports that we file or submit under the Exchange Act is recorded, processed, summarized and reported, within the time periods specified in the Securities and Exchange Commission’s rules and forms, and</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ensure that such information is accumulated and communicated to our management, including the Chief Executive Officer and Chief Financial Officer, as appropriate to allow timely decisions regarding required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20"/>
          </w:cols>
          <w:pgMar w:left="240" w:top="584" w:right="239" w:bottom="90" w:gutter="0" w:footer="0" w:header="0"/>
        </w:sectPr>
      </w:pPr>
    </w:p>
    <w:bookmarkStart w:id="39" w:name="page40"/>
    <w:bookmarkEnd w:id="39"/>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April 2019. We believe the claims filed by [24]7 are without merit and intend to defend them vigorously.</w:t>
      </w:r>
    </w:p>
    <w:p>
      <w:pPr>
        <w:spacing w:after="0" w:line="84" w:lineRule="exact"/>
        <w:rPr>
          <w:sz w:val="20"/>
          <w:szCs w:val="20"/>
          <w:color w:val="auto"/>
        </w:rPr>
      </w:pPr>
    </w:p>
    <w:p>
      <w:pPr>
        <w:jc w:val="both"/>
        <w:ind w:firstLine="242"/>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2017, filed on March 15, 2018,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June 30, 2018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Total Number of</w:t>
            </w: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vMerge w:val="continue"/>
          </w:tcPr>
          <w:p>
            <w:pPr>
              <w:spacing w:after="0"/>
              <w:rPr>
                <w:sz w:val="16"/>
                <w:szCs w:val="16"/>
                <w:color w:val="auto"/>
              </w:rPr>
            </w:pPr>
          </w:p>
        </w:tc>
        <w:tc>
          <w:tcPr>
            <w:tcW w:w="18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8"/>
                <w:szCs w:val="8"/>
                <w:b w:val="1"/>
                <w:bCs w:val="1"/>
                <w:color w:val="auto"/>
              </w:rPr>
              <w:t>(1) (2)</w:t>
            </w:r>
          </w:p>
        </w:tc>
        <w:tc>
          <w:tcPr>
            <w:tcW w:w="120" w:type="dxa"/>
            <w:vAlign w:val="bottom"/>
            <w:tcBorders>
              <w:bottom w:val="single" w:sz="8" w:color="CCFFCC"/>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540" w:type="dxa"/>
            <w:vAlign w:val="bottom"/>
            <w:tcBorders>
              <w:bottom w:val="single" w:sz="8" w:color="CCFFCC"/>
            </w:tcBorders>
            <w:gridSpan w:val="3"/>
            <w:shd w:val="clear" w:color="auto" w:fill="CCFFCC"/>
          </w:tcPr>
          <w:p>
            <w:pPr>
              <w:ind w:left="22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4/1/2018 – 4/30/2018</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5/1/2018 – 5/31/2018</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6/1/2018 – 6/30/2018</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As of June 30, 2018, approximately $17.1 million remained available for purchases under the program.</w:t>
      </w:r>
    </w:p>
    <w:p>
      <w:pPr>
        <w:spacing w:after="0" w:line="73" w:lineRule="exact"/>
        <w:rPr>
          <w:rFonts w:ascii="Arial" w:cs="Arial" w:eastAsia="Arial" w:hAnsi="Arial"/>
          <w:sz w:val="17"/>
          <w:szCs w:val="17"/>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31, 2018, the Compensation Committee (the “Compensation Committee”) of the Company adopted the Long Term Incentive Plan of LivePerson, Inc. (the “LTIP Plan”). The LTIP Plan encompasses two long-term bonus programs, the Accelerated Growth Plan (the “AGP Component”) and the Three-Year Plan Achieves Rule of 40 for SAAS Program (the “Rule of 40 Component”), each of which provides for the funding of a bonus pool upon the Company’s achievement of certain financial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90" w:lineRule="auto"/>
        <w:rPr>
          <w:sz w:val="20"/>
          <w:szCs w:val="20"/>
          <w:color w:val="auto"/>
        </w:rPr>
      </w:pPr>
      <w:r>
        <w:rPr>
          <w:rFonts w:ascii="Arial" w:cs="Arial" w:eastAsia="Arial" w:hAnsi="Arial"/>
          <w:sz w:val="16"/>
          <w:szCs w:val="16"/>
          <w:color w:val="auto"/>
        </w:rPr>
        <w:t>goals and the subsequent granting of restricted stock units to participants in the AGP Component and Rule of 40 Component, as applicable, that will be subject to certain continued vested requirements. In respect of the AGP Component, if the Company achieves certain Company revenue goals for the fiscal year 2020, such goals to be determined by the Board, a bonus pool will be funded in April 2021 with a value equal to 2% of the incremental difference between the Company’s market cap at December 31, 2020 less the Company’s market cap at December 31, 2017 (of $636.1 million) (the “Incremental Difference”). In respect of the Rule of 40 Component, if the Company achieves certain annual revenue and annual Adjusted EBITDA goals, to be set by the Board, in any fiscal year on or before December 31, 2020, a bonus pool will be funded on April 1, 2021 with a value equal to 0.5% of the Incremental Difference, and if 90% of such goals are achieved, the bonus pool will be funded with a value equal to 0.25% of the Incremental Difference. Following the creation of the bonus pools, if any, participants in the applicable Plan component will be granted restricted stock units, as described more fully below.</w:t>
      </w:r>
    </w:p>
    <w:p>
      <w:pPr>
        <w:spacing w:after="0" w:line="16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Company’s Chief Executive Officer, executive officers and other senior officers as designated by the Compensation Committee shall be participants in one or both of the LTIP Plan components. The AGP Component is intended to be for a single three-year performance period of January 1, 2018</w:t>
      </w:r>
    </w:p>
    <w:p>
      <w:pPr>
        <w:jc w:val="both"/>
        <w:ind w:firstLine="8"/>
        <w:spacing w:after="0" w:line="268" w:lineRule="auto"/>
        <w:tabs>
          <w:tab w:leader="none" w:pos="1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December 31, 2020. The Rule of 40 Component has been established with an initial three-year performance period (also January 1, 2018 - December 31, 2020), and may, in the discretion of the Compensation Committee, be utilized for additional three-year performance cycles in which case the Compensation Committee shall determine the applicable performance metrics and funding thresholds. Participants in each of the AGP Component and Rule of 40 Component will be designated by the Committee and under the terms of the Plan as a member of one of three tiers. If the bonus pool is funded for a particular component, Tier 1 participants, consisting of the Company’s CEO, will be allocated 14% of the applicable bonus pool, Tier 2 participants will be allocated 49% of the applicable bonus pool, and Tier 3 participants will be allocated 37% of the applicable bonus pool. In each case, each member of the Tier will be entitled to a bonus award of an equal portion of that Tier’s allocation, in the form of restricted stock units. In addition to participation by the Company’s CEO, the Company’s other named executive officers may be participants one or both of the LTIP Plan components.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each eligible participant, fifty percent (50%) of the restricted stock units granted to the participant as a result of the funding of the AGP Component bonus pool will be vested upon grant (on April 1, 2021), 25% will vest on January 1, 2022 and 25% will vest on January 1, 2023, in each case subject to continued employment of the participant through the vesting date unless otherwise determined by the Compensation Committee for a particular participant. For each eligible participant, one hundred (100%) of the restricted stock units granted to the participant as a result of the funding of the Rule of 40 Component bonus pool will be vested upon grant (on April 1, 2021), conditioned on the continued employment of the participant through the vesting date unless otherwise determined by the Compensation Committee for a particular participant. Restricted Stock Unit Awards will be settled promptly following vesting, subject to a participant’s election to defer settlement in connection with, and pursuant to the terms of the Company’s non-qualified deferred compensation plan and in compliance with Section 409A of the Internal Revenue Code of 1986, as amended.</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It is intended that the bonus pools will be funded in shares of the Company’s common stock, with shares that have, prior to the bonus pools’ funding, been approved for the issuance to employees by our stockholders, either as part of the shares reserved for issuance under the Company’s 2009 Stock Incentive Plan (or equivalent successor plan) or as may be separately approved as a stand-alone share pool specifically for the LTIP Plan. If the bonus pools are funded in stock, the RSUs granted to participants will settle in stock. Under the terms of the LTIP Plan, the Compensation Committee reserves the right to fund the all or a portion of the bonus pools in cash and issue cash settled RSUs. Notwithstanding anything to the contrary, in the event of a reorganization event (as defined in the Plan), the bonus pools will be funded if the performance targets that would have triggered the bonus pool funding at the end of the performance period have been met as a result of the reorganization event (even though the full performance period has not run) and fully vested RSUs will be granted to the applicable participants.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LTIP Plan is intended only as a summary and is qualified in its entirety by reference to the actual terms of the LTIP Plan, which is attached as Exhibit 10.1 hereto and is incorporated by reference herein.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Long Term Incentive Plan dated July 31, 2018</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Separation Agreement General Release between LivePerson and Eran Vanounou, dated as of April 30, 2018</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17" w:lineRule="exact"/>
        <w:rPr>
          <w:sz w:val="20"/>
          <w:szCs w:val="20"/>
          <w:color w:val="auto"/>
        </w:rPr>
      </w:pPr>
    </w:p>
    <w:p>
      <w:pPr>
        <w:ind w:right="300" w:firstLine="8"/>
        <w:spacing w:after="0" w:line="342" w:lineRule="auto"/>
        <w:tabs>
          <w:tab w:leader="none" w:pos="3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580" w:right="339" w:bottom="1440" w:gutter="0" w:footer="0" w:header="0"/>
          <w:type w:val="continuous"/>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60"/>
              <w:spacing w:after="0"/>
              <w:rPr>
                <w:sz w:val="20"/>
                <w:szCs w:val="20"/>
                <w:color w:val="auto"/>
              </w:rPr>
            </w:pPr>
            <w:r>
              <w:rPr>
                <w:rFonts w:ascii="Arial" w:cs="Arial" w:eastAsia="Arial" w:hAnsi="Arial"/>
                <w:sz w:val="18"/>
                <w:szCs w:val="18"/>
                <w:color w:val="auto"/>
              </w:rPr>
              <w:t>August 6, 2018</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60"/>
              <w:spacing w:after="0"/>
              <w:rPr>
                <w:sz w:val="20"/>
                <w:szCs w:val="20"/>
                <w:color w:val="auto"/>
              </w:rPr>
            </w:pPr>
            <w:r>
              <w:rPr>
                <w:rFonts w:ascii="Arial" w:cs="Arial" w:eastAsia="Arial" w:hAnsi="Arial"/>
                <w:sz w:val="18"/>
                <w:szCs w:val="18"/>
                <w:color w:val="auto"/>
              </w:rPr>
              <w:t>August 6, 2018</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CHRISTOPHER E. GREINER</w:t>
            </w:r>
          </w:p>
        </w:tc>
      </w:tr>
      <w:tr>
        <w:trPr>
          <w:trHeight w:val="27"/>
        </w:trPr>
        <w:tc>
          <w:tcPr>
            <w:tcW w:w="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Christopher E. Greiner</w:t>
            </w:r>
          </w:p>
        </w:tc>
      </w:tr>
      <w:tr>
        <w:trPr>
          <w:trHeight w:val="270"/>
        </w:trPr>
        <w:tc>
          <w:tcPr>
            <w:tcW w:w="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43</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560" w:type="dxa"/>
            <w:vAlign w:val="bottom"/>
            <w:gridSpan w:val="6"/>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520"/>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Long Term Incentive Plan dated July 31, 2018</w:t>
              </w:r>
            </w:hyperlink>
          </w:p>
        </w:tc>
        <w:tc>
          <w:tcPr>
            <w:tcW w:w="6560" w:type="dxa"/>
            <w:vAlign w:val="bottom"/>
            <w:gridSpan w:val="6"/>
          </w:tcPr>
          <w:p>
            <w:pPr>
              <w:spacing w:after="0"/>
              <w:rPr>
                <w:sz w:val="24"/>
                <w:szCs w:val="24"/>
                <w:color w:val="auto"/>
              </w:rPr>
            </w:pPr>
          </w:p>
        </w:tc>
      </w:tr>
      <w:tr>
        <w:trPr>
          <w:trHeight w:val="574"/>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Separation Agreement General Release between LivePerson and Eran Vanounou, dated as of April 30, 2018</w:t>
              </w:r>
            </w:hyperlink>
          </w:p>
        </w:tc>
        <w:tc>
          <w:tcPr>
            <w:tcW w:w="2120" w:type="dxa"/>
            <w:vAlign w:val="bottom"/>
            <w:gridSpan w:val="5"/>
          </w:tcPr>
          <w:p>
            <w:pPr>
              <w:spacing w:after="0"/>
              <w:rPr>
                <w:sz w:val="24"/>
                <w:szCs w:val="24"/>
                <w:color w:val="auto"/>
              </w:rPr>
            </w:pPr>
          </w:p>
        </w:tc>
      </w:tr>
      <w:tr>
        <w:trPr>
          <w:trHeight w:val="574"/>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Certification by Chief Executive Officer pursuant to Exchange Act Rule 13a-14(a), as adopted pursuant to Section 302 of the Sarbanes-</w:t>
              </w:r>
            </w:hyperlink>
          </w:p>
        </w:tc>
        <w:tc>
          <w:tcPr>
            <w:tcW w:w="1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Certification by Chief Financial Officer pursuant to Exchange Act Rule 13a-14(a), as adopted pursuant to Section 302 of the Sarbanes-</w:t>
              </w:r>
            </w:hyperlink>
          </w:p>
        </w:tc>
        <w:tc>
          <w:tcPr>
            <w:tcW w:w="1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by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Act of 2002</w:t>
              </w:r>
            </w:hyperlink>
          </w:p>
        </w:tc>
        <w:tc>
          <w:tcPr>
            <w:tcW w:w="1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Certification by Chief Financial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Act of 2002</w:t>
              </w:r>
            </w:hyperlink>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40" w:type="dxa"/>
            <w:vAlign w:val="bottom"/>
            <w:gridSpan w:val="8"/>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17" w:lineRule="exact"/>
        <w:rPr>
          <w:sz w:val="20"/>
          <w:szCs w:val="20"/>
          <w:color w:val="auto"/>
        </w:rPr>
      </w:pPr>
    </w:p>
    <w:p>
      <w:pPr>
        <w:ind w:right="400" w:firstLine="8"/>
        <w:spacing w:after="0" w:line="342" w:lineRule="auto"/>
        <w:tabs>
          <w:tab w:leader="none" w:pos="3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0660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480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Long-Term Incentive Plan of LivePerson,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31, 2018</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301"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purpose of the Long-Term Performance Incentive Plan of LivePerson, Inc. (the “</w:t>
      </w:r>
      <w:r>
        <w:rPr>
          <w:rFonts w:ascii="Arial" w:cs="Arial" w:eastAsia="Arial" w:hAnsi="Arial"/>
          <w:sz w:val="18"/>
          <w:szCs w:val="18"/>
          <w:u w:val="single" w:color="auto"/>
          <w:color w:val="auto"/>
        </w:rPr>
        <w:t>Plan</w:t>
      </w:r>
      <w:r>
        <w:rPr>
          <w:rFonts w:ascii="Arial" w:cs="Arial" w:eastAsia="Arial" w:hAnsi="Arial"/>
          <w:sz w:val="18"/>
          <w:szCs w:val="18"/>
          <w:color w:val="auto"/>
        </w:rPr>
        <w:t>”) is to advance the interests of LivePerson, Inc. (the “Company”) by providing a competitive level of incentive for eligible senior executives, which will encourage them to more closely identify with share-owner interests and to achieve financial results consistent with the Company's long range business plans. It will also enhance the Company’s ability to attract and retain key executives who are responsible for moving the business forward.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Plan consists of two (2) award components, as follows:</w:t>
      </w:r>
    </w:p>
    <w:p>
      <w:pPr>
        <w:spacing w:after="0" w:line="36"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Accelerated Growth Plan, a non-recurring program, (the “</w:t>
      </w:r>
      <w:r>
        <w:rPr>
          <w:rFonts w:ascii="Arial" w:cs="Arial" w:eastAsia="Arial" w:hAnsi="Arial"/>
          <w:sz w:val="18"/>
          <w:szCs w:val="18"/>
          <w:u w:val="single" w:color="auto"/>
          <w:color w:val="auto"/>
        </w:rPr>
        <w:t>AGP Component</w:t>
      </w:r>
      <w:r>
        <w:rPr>
          <w:rFonts w:ascii="Arial" w:cs="Arial" w:eastAsia="Arial" w:hAnsi="Arial"/>
          <w:sz w:val="18"/>
          <w:szCs w:val="18"/>
          <w:color w:val="auto"/>
        </w:rPr>
        <w:t>”); and</w:t>
      </w:r>
    </w:p>
    <w:p>
      <w:pPr>
        <w:spacing w:after="0" w:line="20"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Three Year Plan Achieves Rule of 40 for SAAS</w:t>
      </w:r>
      <w:r>
        <w:rPr>
          <w:rFonts w:ascii="Arial" w:cs="Arial" w:eastAsia="Arial" w:hAnsi="Arial"/>
          <w:sz w:val="21"/>
          <w:szCs w:val="21"/>
          <w:color w:val="auto"/>
          <w:vertAlign w:val="superscript"/>
        </w:rPr>
        <w:t>1</w:t>
      </w:r>
      <w:r>
        <w:rPr>
          <w:rFonts w:ascii="Arial" w:cs="Arial" w:eastAsia="Arial" w:hAnsi="Arial"/>
          <w:sz w:val="18"/>
          <w:szCs w:val="18"/>
          <w:color w:val="auto"/>
        </w:rPr>
        <w:t>, an annual program, (the “</w:t>
      </w:r>
      <w:r>
        <w:rPr>
          <w:rFonts w:ascii="Arial" w:cs="Arial" w:eastAsia="Arial" w:hAnsi="Arial"/>
          <w:sz w:val="18"/>
          <w:szCs w:val="18"/>
          <w:u w:val="single" w:color="auto"/>
          <w:color w:val="auto"/>
        </w:rPr>
        <w:t>Rule of 40 Component</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Plan will be administered by the Compensation Committee of the Board of Directors of the Company or a subcommittee thereof (the</w:t>
      </w:r>
    </w:p>
    <w:p>
      <w:pPr>
        <w:spacing w:after="0" w:line="3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consisting of not less than two independent members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provided however, with respect to a Long-Term Incentive Award granted to a Participant (as defined herein) who is subject to Section 16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Committee shall consist solely of two or more “nonemployee” directors for purposes of the Exchange Act. The Committee will determine which of the eligible key employees of the Company and its Related Companies (as defined herein) to whom, and the time or times at which, an award under the AGP Component and/or the Rule of 40 Component (each award, a “</w:t>
      </w:r>
      <w:r>
        <w:rPr>
          <w:rFonts w:ascii="Arial" w:cs="Arial" w:eastAsia="Arial" w:hAnsi="Arial"/>
          <w:sz w:val="18"/>
          <w:szCs w:val="18"/>
          <w:u w:val="single" w:color="auto"/>
          <w:color w:val="auto"/>
        </w:rPr>
        <w:t>Long-Term Incentive Award</w:t>
      </w:r>
      <w:r>
        <w:rPr>
          <w:rFonts w:ascii="Arial" w:cs="Arial" w:eastAsia="Arial" w:hAnsi="Arial"/>
          <w:sz w:val="18"/>
          <w:szCs w:val="18"/>
          <w:color w:val="auto"/>
        </w:rPr>
        <w:t>”) will be granted under the Plan, and the other terms and conditions of the grant of a Long-Term Incentive Award. The terms and conditions of each grant of a Long-Term Incentive Award need not be the same with respect to each grantee or with respect to each type of Long-Term Incentive Award under the AGP Component or Rule of 40 Component.</w:t>
      </w:r>
    </w:p>
    <w:p>
      <w:pPr>
        <w:spacing w:after="0" w:line="23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The Committee will, subject to the provisions of the Plan, establish such rules and regulations as it deems necessary or advisable for the proper administration of the Plan, and will make determinations and will take such other action in connection with or in relation to accomplishing the objectives of the Plan as it deems necessary or advisable. Each determination or other action made or taken pursuant to the Plan, including interpretation of the Plan and the specific conditions and provisions of the Long-Term Incentive Awards granted hereunder by the Committee will be final and conclusive for all purposes and upon all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2" w:lineRule="exact"/>
        <w:rPr>
          <w:sz w:val="20"/>
          <w:szCs w:val="20"/>
          <w:color w:val="auto"/>
        </w:rPr>
      </w:pPr>
    </w:p>
    <w:p>
      <w:pPr>
        <w:ind w:right="160" w:firstLine="8"/>
        <w:spacing w:after="0" w:line="239" w:lineRule="auto"/>
        <w:tabs>
          <w:tab w:leader="none" w:pos="125"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u w:val="single" w:color="auto"/>
          <w:color w:val="222222"/>
        </w:rPr>
        <w:t>The rule of 40%:</w:t>
      </w:r>
      <w:r>
        <w:rPr>
          <w:rFonts w:ascii="Arial" w:cs="Arial" w:eastAsia="Arial" w:hAnsi="Arial"/>
          <w:sz w:val="16"/>
          <w:szCs w:val="16"/>
          <w:color w:val="222222"/>
        </w:rPr>
        <w:t xml:space="preserve"> The “rule of 40%” is notion by investors and the stock market participants to analyze the health of a software/SaaS business. It takes into consideration two of the most important metrics for a software/SaaS company: growth and profit (Adjusted EBITDA). The rule of 40% states that a company’s growth rate plus its profit should add up to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-415290</wp:posOffset>
            </wp:positionV>
            <wp:extent cx="625157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51575" cy="120015"/>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0" w:right="239" w:bottom="1440" w:gutter="0" w:footer="0" w:header="0"/>
        </w:sectPr>
      </w:pPr>
    </w:p>
    <w:bookmarkStart w:id="46" w:name="page47"/>
    <w:bookmarkEnd w:id="46"/>
    <w:p>
      <w:pPr>
        <w:ind w:right="120"/>
        <w:spacing w:after="0" w:line="285" w:lineRule="auto"/>
        <w:rPr>
          <w:sz w:val="20"/>
          <w:szCs w:val="20"/>
          <w:color w:val="auto"/>
        </w:rPr>
      </w:pPr>
      <w:r>
        <w:rPr>
          <w:rFonts w:ascii="Arial" w:cs="Arial" w:eastAsia="Arial" w:hAnsi="Arial"/>
          <w:sz w:val="18"/>
          <w:szCs w:val="18"/>
          <w:color w:val="auto"/>
        </w:rPr>
        <w:t>persons including, but without limitation, the Company, its Related Companies, the Committee, the Board, officers, the affected employees of the Company and/or its Related Companies, and any participant or former participant under the Plan, as well as their respective successors in interest. The Committee’s determinations under the Plan need not be uniform and may be made by it selectively among Participants who receive Long-Term Incentive Awards and/or RSUs (in each case, whether or not such Participants are similarly situated).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301" w:lineRule="exact"/>
        <w:rPr>
          <w:sz w:val="20"/>
          <w:szCs w:val="20"/>
          <w:color w:val="auto"/>
        </w:rPr>
      </w:pPr>
    </w:p>
    <w:p>
      <w:pPr>
        <w:jc w:val="both"/>
        <w:ind w:right="60"/>
        <w:spacing w:after="0" w:line="284" w:lineRule="auto"/>
        <w:rPr>
          <w:sz w:val="20"/>
          <w:szCs w:val="20"/>
          <w:color w:val="auto"/>
        </w:rPr>
      </w:pPr>
      <w:r>
        <w:rPr>
          <w:rFonts w:ascii="Arial" w:cs="Arial" w:eastAsia="Arial" w:hAnsi="Arial"/>
          <w:sz w:val="18"/>
          <w:szCs w:val="18"/>
          <w:color w:val="auto"/>
        </w:rPr>
        <w:t>The Chief Executive Officer, the President (if any), each executive officer and such other senior officers of the Company as the Committee may designate (the executive officers and designated senior officers, together the “</w:t>
      </w:r>
      <w:r>
        <w:rPr>
          <w:rFonts w:ascii="Arial" w:cs="Arial" w:eastAsia="Arial" w:hAnsi="Arial"/>
          <w:sz w:val="18"/>
          <w:szCs w:val="18"/>
          <w:u w:val="single" w:color="auto"/>
          <w:color w:val="auto"/>
        </w:rPr>
        <w:t>Eligible Officers</w:t>
      </w:r>
      <w:r>
        <w:rPr>
          <w:rFonts w:ascii="Arial" w:cs="Arial" w:eastAsia="Arial" w:hAnsi="Arial"/>
          <w:sz w:val="18"/>
          <w:szCs w:val="18"/>
          <w:color w:val="auto"/>
        </w:rPr>
        <w:t>”) will be eligible to participate in the Plan, but no individual will have a right to participate. Long-Term Incentive Awards may be granted to such Eligible Officers of the Company and its Related Companies as determined in the sole discretion of the Committee. An Eligible Officer may be granted a Long-Term Incentive Award under one or both the AGP Component and Rule of 40 Component in the sole discretion of the Committee.</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Related Company</w:t>
      </w:r>
      <w:r>
        <w:rPr>
          <w:rFonts w:ascii="Arial" w:cs="Arial" w:eastAsia="Arial" w:hAnsi="Arial"/>
          <w:sz w:val="18"/>
          <w:szCs w:val="18"/>
          <w:color w:val="auto"/>
        </w:rPr>
        <w:t>” or “</w:t>
      </w:r>
      <w:r>
        <w:rPr>
          <w:rFonts w:ascii="Arial" w:cs="Arial" w:eastAsia="Arial" w:hAnsi="Arial"/>
          <w:sz w:val="18"/>
          <w:szCs w:val="18"/>
          <w:u w:val="single" w:color="auto"/>
          <w:color w:val="auto"/>
        </w:rPr>
        <w:t>Related Companies</w:t>
      </w:r>
      <w:r>
        <w:rPr>
          <w:rFonts w:ascii="Arial" w:cs="Arial" w:eastAsia="Arial" w:hAnsi="Arial"/>
          <w:sz w:val="18"/>
          <w:szCs w:val="18"/>
          <w:color w:val="auto"/>
        </w:rPr>
        <w:t>” will mean any corporation or business organization in which the Company owns, directly or indirectly, during the relevant time, either: (i) 50% or more of the voting stock or capital where such entity is not publicly held, or (ii) an interest which causes the other entity's financial results to be consolidated with the Company's financial results for financial reporting purposes.</w:t>
      </w:r>
    </w:p>
    <w:p>
      <w:pPr>
        <w:spacing w:after="0" w:line="230"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An Eligible Officer must be employed by the Company or a Related Company as of June 30, 2018 to participate in either the ACP Component or the initial grants under the Rule of 40 Component. Eligible Officers who commence employment after June 30, 2018, are eligible to participate in the Rule of 40 Component for Performance Periods beginning January 1, 2019, but may not participate in the AGP Component, unless the Committee authorizes the additional Performance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GRANTS OF LONG-TERM INCENTIVE AWARDS; CREATION OF BONUS POOLS</w:t>
      </w:r>
    </w:p>
    <w:p>
      <w:pPr>
        <w:spacing w:after="0" w:line="328" w:lineRule="exact"/>
        <w:rPr>
          <w:sz w:val="20"/>
          <w:szCs w:val="20"/>
          <w:color w:val="auto"/>
        </w:rPr>
      </w:pPr>
    </w:p>
    <w:p>
      <w:pPr>
        <w:ind w:right="60" w:firstLine="656"/>
        <w:spacing w:after="0" w:line="346" w:lineRule="auto"/>
        <w:tabs>
          <w:tab w:leader="none" w:pos="10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Selection by the Committee of Participants</w:t>
      </w:r>
      <w:r>
        <w:rPr>
          <w:rFonts w:ascii="Arial" w:cs="Arial" w:eastAsia="Arial" w:hAnsi="Arial"/>
          <w:sz w:val="18"/>
          <w:szCs w:val="18"/>
          <w:color w:val="auto"/>
        </w:rPr>
        <w:t>. The Committee will select those Eligible Officers who will receive a Long-Term Incentive Award (x) for the AGP Component and for the initial grants under the Rule of 40 Component, within 90 days of the date of effectiveness of the Plan, and (y) following the effectiveness of the Plan, for the Rule of 40 Component, annually within 90 days after the beginning of each three-year Performance Period (as defined below). Following such selection by the Committee, the selected Eligible Officers will be notified in writing that such person is a participant in the Plan, and shall specify whether such person has been granted an award under the AGP Component and/or the Rule of 40 Component, (each such notified person, a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right="300" w:firstLine="656"/>
        <w:spacing w:after="0" w:line="347" w:lineRule="auto"/>
        <w:tabs>
          <w:tab w:leader="none" w:pos="10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Long-Term Incentive Awards granted under each of the AGP Component and Rule of 40 Component are measured based on a performance period of three years, commencing on the first day of January of the applicable year and ending on December 31 of the third year (each, a “</w:t>
      </w:r>
      <w:r>
        <w:rPr>
          <w:rFonts w:ascii="Arial" w:cs="Arial" w:eastAsia="Arial" w:hAnsi="Arial"/>
          <w:sz w:val="18"/>
          <w:szCs w:val="18"/>
          <w:u w:val="single" w:color="auto"/>
          <w:color w:val="auto"/>
        </w:rPr>
        <w:t>Performance Period</w:t>
      </w:r>
      <w:r>
        <w:rPr>
          <w:rFonts w:ascii="Arial" w:cs="Arial" w:eastAsia="Arial" w:hAnsi="Arial"/>
          <w:sz w:val="18"/>
          <w:szCs w:val="18"/>
          <w:color w:val="auto"/>
        </w:rPr>
        <w:t>”). In respect of the AGP Component, the initial Performance Period shall be January 1, 2018 – December 31, 2020 and whether an additional Performance Period for the AGP Component will be implemented is at the discretion of the Board. In respect of the Rule of 40 Component,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179" w:right="239" w:bottom="1440" w:gutter="0" w:footer="0" w:header="0"/>
        </w:sectPr>
      </w:pPr>
    </w:p>
    <w:bookmarkStart w:id="47" w:name="page48"/>
    <w:bookmarkEnd w:id="47"/>
    <w:p>
      <w:pPr>
        <w:ind w:right="160"/>
        <w:spacing w:after="0" w:line="350" w:lineRule="auto"/>
        <w:rPr>
          <w:sz w:val="20"/>
          <w:szCs w:val="20"/>
          <w:color w:val="auto"/>
        </w:rPr>
      </w:pPr>
      <w:r>
        <w:rPr>
          <w:rFonts w:ascii="Arial" w:cs="Arial" w:eastAsia="Arial" w:hAnsi="Arial"/>
          <w:sz w:val="18"/>
          <w:szCs w:val="18"/>
          <w:color w:val="auto"/>
        </w:rPr>
        <w:t>a new Performance Period will commence each year. For the avoidance of doubt, an individual who is a Participant in the Rule of 40 Component for one Performance Period shall not be a Participant in any other Performance Periods unless the individual is again selected by the Committee in accordance with Section 4(a) of the Plan for such new Performance Period.</w:t>
      </w:r>
    </w:p>
    <w:p>
      <w:pPr>
        <w:spacing w:after="0" w:line="229" w:lineRule="exact"/>
        <w:rPr>
          <w:sz w:val="20"/>
          <w:szCs w:val="20"/>
          <w:color w:val="auto"/>
        </w:rPr>
      </w:pPr>
    </w:p>
    <w:p>
      <w:pPr>
        <w:ind w:right="200" w:firstLine="656"/>
        <w:spacing w:after="0" w:line="356" w:lineRule="auto"/>
        <w:tabs>
          <w:tab w:leader="none" w:pos="106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Calculation of Performance Incentive Base and Creation of Bonus Pool</w:t>
      </w:r>
      <w:r>
        <w:rPr>
          <w:rFonts w:ascii="Arial" w:cs="Arial" w:eastAsia="Arial" w:hAnsi="Arial"/>
          <w:sz w:val="18"/>
          <w:szCs w:val="18"/>
          <w:color w:val="auto"/>
        </w:rPr>
        <w:t>. If the applicable performance conditions set forth below are satisfied, a bonus pool (the “</w:t>
      </w:r>
      <w:r>
        <w:rPr>
          <w:rFonts w:ascii="Arial" w:cs="Arial" w:eastAsia="Arial" w:hAnsi="Arial"/>
          <w:sz w:val="18"/>
          <w:szCs w:val="18"/>
          <w:u w:val="single" w:color="auto"/>
          <w:color w:val="auto"/>
        </w:rPr>
        <w:t>Bonus Pool</w:t>
      </w:r>
      <w:r>
        <w:rPr>
          <w:rFonts w:ascii="Arial" w:cs="Arial" w:eastAsia="Arial" w:hAnsi="Arial"/>
          <w:sz w:val="18"/>
          <w:szCs w:val="18"/>
          <w:color w:val="auto"/>
        </w:rPr>
        <w:t>”) for the applicable Plan Component shall be created as follows:</w:t>
      </w:r>
    </w:p>
    <w:p>
      <w:pPr>
        <w:spacing w:after="0" w:line="196" w:lineRule="exact"/>
        <w:rPr>
          <w:rFonts w:ascii="Arial" w:cs="Arial" w:eastAsia="Arial" w:hAnsi="Arial"/>
          <w:sz w:val="18"/>
          <w:szCs w:val="18"/>
          <w:color w:val="auto"/>
        </w:rPr>
      </w:pPr>
    </w:p>
    <w:p>
      <w:pPr>
        <w:ind w:right="20" w:firstLine="1305"/>
        <w:spacing w:after="0" w:line="283" w:lineRule="auto"/>
        <w:tabs>
          <w:tab w:leader="none" w:pos="156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AGP Component</w:t>
      </w:r>
      <w:r>
        <w:rPr>
          <w:rFonts w:ascii="Arial" w:cs="Arial" w:eastAsia="Arial" w:hAnsi="Arial"/>
          <w:sz w:val="18"/>
          <w:szCs w:val="18"/>
          <w:color w:val="auto"/>
        </w:rPr>
        <w:t xml:space="preserve">. If the Company achieves Company Revenue goals, as such goals shall be set by the Board at the time of its adoption of the Plan in respect of the Initial Performance Period, or as set promptly following the beginning of any additional Performance Periods, if any, a Bonus Pool shall be created for the AGP Component Participants in an amount equal to 2% of the incremental difference of the Company’s Market Cap at December 31, 2020 less the Market Cap at December 31, 2017 of $686.1 million. For purposes of the Plan, “Market Cap” shall be determined by reference to the market capitalization of the Company on the relevant date based on the number of outstanding shares and closing share price of a share of Common Stock as reported on The NASDAQ Stock Market (or the national securities exchange on which the Company’s shares of common stock are then traded) (the “Relevant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right="120" w:firstLine="1305"/>
        <w:spacing w:after="0" w:line="281" w:lineRule="auto"/>
        <w:tabs>
          <w:tab w:leader="none" w:pos="156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Rule of 40 Component</w:t>
      </w:r>
      <w:r>
        <w:rPr>
          <w:rFonts w:ascii="Arial" w:cs="Arial" w:eastAsia="Arial" w:hAnsi="Arial"/>
          <w:sz w:val="18"/>
          <w:szCs w:val="18"/>
          <w:color w:val="auto"/>
        </w:rPr>
        <w:t>. For the initial Performance Period of the Rule of 40 Component, if the Company achieves annual Revenue and annual Adjusted EBITDA goals, as such goals shall be set by the Board at the time of its adoption of the Plan, in any fiscal year ending at or before December 31, 2020, a Bonus Pool is created for the Rule of 40 Component Participants in an amount equal to 0.5% of the incremental difference of the Company’s Market Cap at December 31, 2020 less the Market Cap at December 31, 2017 of $686.1 million.</w:t>
      </w:r>
    </w:p>
    <w:p>
      <w:pPr>
        <w:spacing w:after="0" w:line="3" w:lineRule="exact"/>
        <w:rPr>
          <w:rFonts w:ascii="Arial" w:cs="Arial" w:eastAsia="Arial" w:hAnsi="Arial"/>
          <w:sz w:val="18"/>
          <w:szCs w:val="18"/>
          <w:color w:val="auto"/>
        </w:rPr>
      </w:pPr>
    </w:p>
    <w:p>
      <w:pPr>
        <w:ind w:right="60"/>
        <w:spacing w:after="0" w:line="285" w:lineRule="auto"/>
        <w:rPr>
          <w:rFonts w:ascii="Arial" w:cs="Arial" w:eastAsia="Arial" w:hAnsi="Arial"/>
          <w:sz w:val="18"/>
          <w:szCs w:val="18"/>
          <w:color w:val="auto"/>
        </w:rPr>
      </w:pPr>
      <w:r>
        <w:rPr>
          <w:rFonts w:ascii="Arial" w:cs="Arial" w:eastAsia="Arial" w:hAnsi="Arial"/>
          <w:sz w:val="18"/>
          <w:szCs w:val="18"/>
          <w:color w:val="auto"/>
        </w:rPr>
        <w:t>Notwithstanding the foregoing, if 90% of the Revenue and Adjusted EBITDA performance goals are met, the Bonus Pool shall be created in respect of 0.25% of the incremental difference of the Company’s Market Cap at December 31, 2020 less the Market Cap at December 31,2017 of $686.1 million. The Committee in its sole discretion in consideration of the Company’s budget projections shall determine the relevant performance metrics and performance targets for a Performance Period after the initial Performance Period.</w:t>
      </w:r>
    </w:p>
    <w:p>
      <w:pPr>
        <w:spacing w:after="0" w:line="259" w:lineRule="exact"/>
        <w:rPr>
          <w:rFonts w:ascii="Arial" w:cs="Arial" w:eastAsia="Arial" w:hAnsi="Arial"/>
          <w:sz w:val="18"/>
          <w:szCs w:val="18"/>
          <w:color w:val="auto"/>
        </w:rPr>
      </w:pPr>
    </w:p>
    <w:p>
      <w:pPr>
        <w:jc w:val="both"/>
        <w:ind w:right="340" w:firstLine="656"/>
        <w:spacing w:after="0" w:line="348" w:lineRule="auto"/>
        <w:tabs>
          <w:tab w:leader="none" w:pos="108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Bonus Pool Allocations</w:t>
      </w:r>
      <w:r>
        <w:rPr>
          <w:rFonts w:ascii="Arial" w:cs="Arial" w:eastAsia="Arial" w:hAnsi="Arial"/>
          <w:sz w:val="18"/>
          <w:szCs w:val="18"/>
          <w:color w:val="auto"/>
        </w:rPr>
        <w:t>. In the event that the creation of a Bonus Pool is triggered, such portions of the applicable Bonus Pool shall be allocated to each Participant, depending on the assignment of the Participant to one of three “Tiers,” (“</w:t>
      </w:r>
      <w:r>
        <w:rPr>
          <w:rFonts w:ascii="Arial" w:cs="Arial" w:eastAsia="Arial" w:hAnsi="Arial"/>
          <w:sz w:val="18"/>
          <w:szCs w:val="18"/>
          <w:u w:val="single" w:color="auto"/>
          <w:color w:val="auto"/>
        </w:rPr>
        <w:t>Tier 1</w:t>
      </w:r>
      <w:r>
        <w:rPr>
          <w:rFonts w:ascii="Arial" w:cs="Arial" w:eastAsia="Arial" w:hAnsi="Arial"/>
          <w:sz w:val="18"/>
          <w:szCs w:val="18"/>
          <w:color w:val="auto"/>
        </w:rPr>
        <w:t>”, “</w:t>
      </w:r>
      <w:r>
        <w:rPr>
          <w:rFonts w:ascii="Arial" w:cs="Arial" w:eastAsia="Arial" w:hAnsi="Arial"/>
          <w:sz w:val="18"/>
          <w:szCs w:val="18"/>
          <w:u w:val="single" w:color="auto"/>
          <w:color w:val="auto"/>
        </w:rPr>
        <w:t>Tier 2</w:t>
      </w:r>
      <w:r>
        <w:rPr>
          <w:rFonts w:ascii="Arial" w:cs="Arial" w:eastAsia="Arial" w:hAnsi="Arial"/>
          <w:sz w:val="18"/>
          <w:szCs w:val="18"/>
          <w:color w:val="auto"/>
        </w:rPr>
        <w:t>”, and “</w:t>
      </w:r>
      <w:r>
        <w:rPr>
          <w:rFonts w:ascii="Arial" w:cs="Arial" w:eastAsia="Arial" w:hAnsi="Arial"/>
          <w:sz w:val="18"/>
          <w:szCs w:val="18"/>
          <w:u w:val="single" w:color="auto"/>
          <w:color w:val="auto"/>
        </w:rPr>
        <w:t>Tier 3</w:t>
      </w:r>
      <w:r>
        <w:rPr>
          <w:rFonts w:ascii="Arial" w:cs="Arial" w:eastAsia="Arial" w:hAnsi="Arial"/>
          <w:sz w:val="18"/>
          <w:szCs w:val="18"/>
          <w:color w:val="auto"/>
        </w:rPr>
        <w:t>,” respectively), with each Participant’s Tier being set forth in the Participant’s notice of participation in the AGP Component and/or Rule of 40 Component. Each Participant in a particular Tier will be eligible to receive an equal portion of that Tier’s allocated amount.</w:t>
      </w:r>
    </w:p>
    <w:p>
      <w:pPr>
        <w:spacing w:after="0" w:line="204" w:lineRule="exact"/>
        <w:rPr>
          <w:rFonts w:ascii="Arial" w:cs="Arial" w:eastAsia="Arial" w:hAnsi="Arial"/>
          <w:sz w:val="18"/>
          <w:szCs w:val="18"/>
          <w:color w:val="auto"/>
        </w:rPr>
      </w:pPr>
    </w:p>
    <w:p>
      <w:pPr>
        <w:ind w:left="1620" w:hanging="315"/>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AGP Component. Tier 1, Tier 2 and Tier 3 participation is as follows:</w:t>
      </w:r>
    </w:p>
    <w:p>
      <w:pPr>
        <w:spacing w:after="0" w:line="36" w:lineRule="exact"/>
        <w:rPr>
          <w:rFonts w:ascii="Arial" w:cs="Arial" w:eastAsia="Arial" w:hAnsi="Arial"/>
          <w:sz w:val="18"/>
          <w:szCs w:val="18"/>
          <w:color w:val="auto"/>
        </w:rPr>
      </w:pPr>
    </w:p>
    <w:p>
      <w:pPr>
        <w:ind w:left="1960" w:hanging="331"/>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Tier 1 (CEO) - Receives 14% of applicable Bonus Pool</w:t>
      </w:r>
    </w:p>
    <w:p>
      <w:pPr>
        <w:spacing w:after="0" w:line="36" w:lineRule="exact"/>
        <w:rPr>
          <w:rFonts w:ascii="Arial" w:cs="Arial" w:eastAsia="Arial" w:hAnsi="Arial"/>
          <w:sz w:val="18"/>
          <w:szCs w:val="18"/>
          <w:color w:val="auto"/>
        </w:rPr>
      </w:pPr>
    </w:p>
    <w:p>
      <w:pPr>
        <w:ind w:left="1960" w:hanging="331"/>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Tier 2 - Receives 49% of applicable Bonus Pool</w:t>
      </w:r>
    </w:p>
    <w:p>
      <w:pPr>
        <w:spacing w:after="0" w:line="36" w:lineRule="exact"/>
        <w:rPr>
          <w:rFonts w:ascii="Arial" w:cs="Arial" w:eastAsia="Arial" w:hAnsi="Arial"/>
          <w:sz w:val="18"/>
          <w:szCs w:val="18"/>
          <w:color w:val="auto"/>
        </w:rPr>
      </w:pPr>
    </w:p>
    <w:p>
      <w:pPr>
        <w:ind w:left="1960" w:hanging="331"/>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Tier 3 - Receives 37% of applicable Bonus Pool</w:t>
      </w:r>
    </w:p>
    <w:p>
      <w:pPr>
        <w:spacing w:after="0" w:line="279" w:lineRule="exact"/>
        <w:rPr>
          <w:rFonts w:ascii="Arial" w:cs="Arial" w:eastAsia="Arial" w:hAnsi="Arial"/>
          <w:sz w:val="18"/>
          <w:szCs w:val="18"/>
          <w:color w:val="auto"/>
        </w:rPr>
      </w:pPr>
    </w:p>
    <w:p>
      <w:pPr>
        <w:ind w:left="1620" w:hanging="315"/>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Rule of 40 Component. Three Tiers of Participation which are as follows:</w:t>
      </w:r>
    </w:p>
    <w:p>
      <w:pPr>
        <w:spacing w:after="0" w:line="36" w:lineRule="exact"/>
        <w:rPr>
          <w:rFonts w:ascii="Arial" w:cs="Arial" w:eastAsia="Arial" w:hAnsi="Arial"/>
          <w:sz w:val="18"/>
          <w:szCs w:val="18"/>
          <w:color w:val="auto"/>
        </w:rPr>
      </w:pPr>
    </w:p>
    <w:p>
      <w:pPr>
        <w:ind w:left="1960" w:hanging="331"/>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Tier 1 (CEO) - Receives 14% of applicable Bonus Pool</w:t>
      </w:r>
    </w:p>
    <w:p>
      <w:pPr>
        <w:spacing w:after="0" w:line="36" w:lineRule="exact"/>
        <w:rPr>
          <w:rFonts w:ascii="Arial" w:cs="Arial" w:eastAsia="Arial" w:hAnsi="Arial"/>
          <w:sz w:val="18"/>
          <w:szCs w:val="18"/>
          <w:color w:val="auto"/>
        </w:rPr>
      </w:pPr>
    </w:p>
    <w:p>
      <w:pPr>
        <w:ind w:left="1960" w:hanging="331"/>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Tier 2- Receives 49% of applicable Bonus Pool</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963" w:right="239" w:bottom="1440" w:gutter="0" w:footer="0" w:header="0"/>
        </w:sectPr>
      </w:pPr>
    </w:p>
    <w:bookmarkStart w:id="48" w:name="page49"/>
    <w:bookmarkEnd w:id="48"/>
    <w:p>
      <w:pPr>
        <w:ind w:left="1620"/>
        <w:spacing w:after="0"/>
        <w:rPr>
          <w:sz w:val="20"/>
          <w:szCs w:val="20"/>
          <w:color w:val="auto"/>
        </w:rPr>
      </w:pPr>
      <w:r>
        <w:rPr>
          <w:rFonts w:ascii="Arial" w:cs="Arial" w:eastAsia="Arial" w:hAnsi="Arial"/>
          <w:sz w:val="18"/>
          <w:szCs w:val="18"/>
          <w:color w:val="auto"/>
        </w:rPr>
        <w:t>•   Tier 3 - Receives 37% of applicable Bonus Pool</w:t>
      </w:r>
    </w:p>
    <w:p>
      <w:pPr>
        <w:spacing w:after="0" w:line="292" w:lineRule="exact"/>
        <w:rPr>
          <w:sz w:val="20"/>
          <w:szCs w:val="20"/>
          <w:color w:val="auto"/>
        </w:rPr>
      </w:pPr>
    </w:p>
    <w:p>
      <w:pPr>
        <w:ind w:left="1620" w:right="120" w:hanging="315"/>
        <w:spacing w:after="0" w:line="29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each case of the AGP Component Bonus Pool and Rule of 40 Component Bonus Pool, any allocated amounts forfeited by Participants in accordance with Section 5(f), shall not be reallocated to other Participants.</w:t>
      </w:r>
    </w:p>
    <w:p>
      <w:pPr>
        <w:spacing w:after="0" w:line="250" w:lineRule="exact"/>
        <w:rPr>
          <w:rFonts w:ascii="Arial" w:cs="Arial" w:eastAsia="Arial" w:hAnsi="Arial"/>
          <w:sz w:val="18"/>
          <w:szCs w:val="18"/>
          <w:color w:val="auto"/>
        </w:rPr>
      </w:pPr>
    </w:p>
    <w:p>
      <w:pPr>
        <w:ind w:right="40" w:firstLine="656"/>
        <w:spacing w:after="0" w:line="345" w:lineRule="auto"/>
        <w:tabs>
          <w:tab w:leader="none" w:pos="108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Funding of Bonus Pools</w:t>
      </w:r>
      <w:r>
        <w:rPr>
          <w:rFonts w:ascii="Arial" w:cs="Arial" w:eastAsia="Arial" w:hAnsi="Arial"/>
          <w:sz w:val="18"/>
          <w:szCs w:val="18"/>
          <w:color w:val="auto"/>
        </w:rPr>
        <w:t>. Each Bonus Pool that is triggered to be created shall be funded by the contribution by the Company of that number of shares of Common Stock (as defined herein) having a fair market value on April 1, 2021, or in the case of the Rule of 40 Component on the April 1 first following the last day of the relevant Performance Period, equal to the required funding amounts as set forth in Section 4(c) above, subject to the maximum funding levels set forth in Section 6(a) below. In the event (x) stockholders of the Company have not approved the shares of Common Stock reserved for issuance under the terms of the Plan prior to the date on which the funding for either the AGP Component Bonus Pool or Rule of 40 Component Bonus Pool is triggered, or have not approved a sufficient number of shares of Common Stock to fund such Bonus Pools, (y) the Committee has determined it will not fund the Bonus Pools with shares of Common Stock authorized under the Equity Plan or Successor Plan (as such terms are defined herein) as set forth in Section 6(a)(2), or (z) the Committee has otherwise determined that it is desirable to do so, the AGP Component Bonus Pool and/or the Rule of 40 Component Bonus Pool, as applicable, will be funded, in whole or in part, in cash.</w:t>
      </w:r>
    </w:p>
    <w:p>
      <w:pPr>
        <w:spacing w:after="0" w:line="190" w:lineRule="exact"/>
        <w:rPr>
          <w:sz w:val="20"/>
          <w:szCs w:val="20"/>
          <w:color w:val="auto"/>
        </w:rPr>
      </w:pPr>
    </w:p>
    <w:p>
      <w:pPr>
        <w:ind w:right="4840"/>
        <w:spacing w:after="0" w:line="311" w:lineRule="auto"/>
        <w:rPr>
          <w:sz w:val="20"/>
          <w:szCs w:val="20"/>
          <w:color w:val="auto"/>
        </w:rPr>
      </w:pPr>
      <w:r>
        <w:rPr>
          <w:rFonts w:ascii="Arial" w:cs="Arial" w:eastAsia="Arial" w:hAnsi="Arial"/>
          <w:sz w:val="17"/>
          <w:szCs w:val="17"/>
          <w:b w:val="1"/>
          <w:bCs w:val="1"/>
          <w:color w:val="auto"/>
        </w:rPr>
        <w:t xml:space="preserve">SECTION 5. LONG-TERM INCENTIVE AWARD TERMS AND CONDITIONS </w:t>
      </w:r>
      <w:r>
        <w:rPr>
          <w:rFonts w:ascii="Arial" w:cs="Arial" w:eastAsia="Arial" w:hAnsi="Arial"/>
          <w:sz w:val="17"/>
          <w:szCs w:val="17"/>
          <w:color w:val="auto"/>
        </w:rPr>
        <w:t>Long-Term Incentive Awards shall be subject to the following terms and conditions:</w:t>
      </w:r>
    </w:p>
    <w:p>
      <w:pPr>
        <w:spacing w:after="0" w:line="2" w:lineRule="exact"/>
        <w:rPr>
          <w:sz w:val="20"/>
          <w:szCs w:val="20"/>
          <w:color w:val="auto"/>
        </w:rPr>
      </w:pPr>
    </w:p>
    <w:p>
      <w:pPr>
        <w:ind w:left="660" w:right="80" w:hanging="328"/>
        <w:spacing w:after="0" w:line="29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will be measured based upon the achievement of the objective triggering events set forth in Section 4(c), as measured at end of the applicable Performance Period.</w:t>
      </w:r>
    </w:p>
    <w:p>
      <w:pPr>
        <w:spacing w:after="0" w:line="88" w:lineRule="exact"/>
        <w:rPr>
          <w:rFonts w:ascii="Arial" w:cs="Arial" w:eastAsia="Arial" w:hAnsi="Arial"/>
          <w:sz w:val="18"/>
          <w:szCs w:val="18"/>
          <w:color w:val="auto"/>
        </w:rPr>
      </w:pPr>
    </w:p>
    <w:p>
      <w:pPr>
        <w:ind w:left="660" w:right="520" w:hanging="328"/>
        <w:spacing w:after="0" w:line="29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Participants will be notified of their participation tier at the time of grant of an award under the AGP Component and/or Rule of 40 Component.</w:t>
      </w:r>
    </w:p>
    <w:p>
      <w:pPr>
        <w:spacing w:after="0" w:line="88" w:lineRule="exact"/>
        <w:rPr>
          <w:rFonts w:ascii="Arial" w:cs="Arial" w:eastAsia="Arial" w:hAnsi="Arial"/>
          <w:sz w:val="18"/>
          <w:szCs w:val="18"/>
          <w:color w:val="auto"/>
        </w:rPr>
      </w:pPr>
    </w:p>
    <w:p>
      <w:pPr>
        <w:ind w:left="660" w:right="260" w:hanging="328"/>
        <w:spacing w:after="0" w:line="29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Participants in each participation Tier of the applicable Bonus Pool will receive an equal share of such Tier allocation, subject to a Participant’s forfeiture of his or her participation right pursuant to Section 5(f).</w:t>
      </w:r>
    </w:p>
    <w:p>
      <w:pPr>
        <w:spacing w:after="0" w:line="88"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otherwise determined by the Committee prior to the time payment becomes due, Long-Term Incentive Awards will be paid in the form of RSUs, with the number of RSUs to be determined using the closing stock price of a share of the Company’s common stock on April 1st (or the last trading day preceding April 1, if April 1 is not a trading day) following the conclusion of the applicable Performance Period, subject to the following vesting conditions:</w:t>
      </w:r>
    </w:p>
    <w:p>
      <w:pPr>
        <w:spacing w:after="0" w:line="97"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AGP Component:</w:t>
      </w:r>
    </w:p>
    <w:p>
      <w:pPr>
        <w:spacing w:after="0" w:line="36" w:lineRule="exact"/>
        <w:rPr>
          <w:rFonts w:ascii="Arial" w:cs="Arial" w:eastAsia="Arial" w:hAnsi="Arial"/>
          <w:sz w:val="18"/>
          <w:szCs w:val="18"/>
          <w:color w:val="auto"/>
        </w:rPr>
      </w:pPr>
    </w:p>
    <w:p>
      <w:pPr>
        <w:ind w:left="1620" w:hanging="315"/>
        <w:spacing w:after="0"/>
        <w:tabs>
          <w:tab w:leader="none" w:pos="16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50% of the RSUs will be fully vested at the time of grant, on April 1, 2021;</w:t>
      </w:r>
    </w:p>
    <w:p>
      <w:pPr>
        <w:spacing w:after="0" w:line="36" w:lineRule="exact"/>
        <w:rPr>
          <w:rFonts w:ascii="Arial" w:cs="Arial" w:eastAsia="Arial" w:hAnsi="Arial"/>
          <w:sz w:val="18"/>
          <w:szCs w:val="18"/>
          <w:color w:val="auto"/>
        </w:rPr>
      </w:pPr>
    </w:p>
    <w:p>
      <w:pPr>
        <w:ind w:left="1620" w:hanging="315"/>
        <w:spacing w:after="0"/>
        <w:tabs>
          <w:tab w:leader="none" w:pos="16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25% of the RSUs will become vested on January 1, 2022; and</w:t>
      </w:r>
    </w:p>
    <w:p>
      <w:pPr>
        <w:spacing w:after="0" w:line="36" w:lineRule="exact"/>
        <w:rPr>
          <w:rFonts w:ascii="Arial" w:cs="Arial" w:eastAsia="Arial" w:hAnsi="Arial"/>
          <w:sz w:val="18"/>
          <w:szCs w:val="18"/>
          <w:color w:val="auto"/>
        </w:rPr>
      </w:pPr>
    </w:p>
    <w:p>
      <w:pPr>
        <w:ind w:left="1620" w:hanging="315"/>
        <w:spacing w:after="0"/>
        <w:tabs>
          <w:tab w:leader="none" w:pos="16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25% of the RSUs will become vested on January 1, 2023.</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Rule of 40 Component:</w:t>
      </w:r>
    </w:p>
    <w:p>
      <w:pPr>
        <w:spacing w:after="0" w:line="36" w:lineRule="exact"/>
        <w:rPr>
          <w:rFonts w:ascii="Arial" w:cs="Arial" w:eastAsia="Arial" w:hAnsi="Arial"/>
          <w:sz w:val="18"/>
          <w:szCs w:val="18"/>
          <w:color w:val="auto"/>
        </w:rPr>
      </w:pPr>
    </w:p>
    <w:p>
      <w:pPr>
        <w:ind w:left="1620" w:hanging="315"/>
        <w:spacing w:after="0"/>
        <w:tabs>
          <w:tab w:leader="none" w:pos="16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100% of the RSUs will be fully vested at the time of grant, on the applicable April 1.</w:t>
      </w:r>
    </w:p>
    <w:p>
      <w:pPr>
        <w:spacing w:after="0" w:line="144" w:lineRule="exact"/>
        <w:rPr>
          <w:rFonts w:ascii="Arial" w:cs="Arial" w:eastAsia="Arial" w:hAnsi="Arial"/>
          <w:sz w:val="18"/>
          <w:szCs w:val="18"/>
          <w:color w:val="auto"/>
        </w:rPr>
      </w:pPr>
    </w:p>
    <w:p>
      <w:pPr>
        <w:ind w:left="660" w:right="180" w:hanging="328"/>
        <w:spacing w:after="0" w:line="29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RSUs will be subject to the terms and conditions of an RSU award agreement in a form to be provided by the Company at the time of grant.</w:t>
      </w:r>
    </w:p>
    <w:p>
      <w:pPr>
        <w:spacing w:after="0" w:line="88" w:lineRule="exact"/>
        <w:rPr>
          <w:rFonts w:ascii="Arial" w:cs="Arial" w:eastAsia="Arial" w:hAnsi="Arial"/>
          <w:sz w:val="18"/>
          <w:szCs w:val="18"/>
          <w:color w:val="auto"/>
        </w:rPr>
      </w:pPr>
    </w:p>
    <w:p>
      <w:pPr>
        <w:ind w:left="660" w:right="460" w:hanging="328"/>
        <w:spacing w:after="0" w:line="29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anything to the contrary and unless otherwise set forth in an RSU agreement, a Participant must be employed by LivePerson or a Related Company on the relevant vesting date</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922" w:right="239" w:bottom="1440" w:gutter="0" w:footer="0" w:header="0"/>
        </w:sectPr>
      </w:pPr>
    </w:p>
    <w:bookmarkStart w:id="49" w:name="page50"/>
    <w:bookmarkEnd w:id="49"/>
    <w:p>
      <w:pPr>
        <w:ind w:left="660" w:right="280"/>
        <w:spacing w:after="0" w:line="350" w:lineRule="auto"/>
        <w:rPr>
          <w:sz w:val="20"/>
          <w:szCs w:val="20"/>
          <w:color w:val="auto"/>
        </w:rPr>
      </w:pPr>
      <w:r>
        <w:rPr>
          <w:rFonts w:ascii="Arial" w:cs="Arial" w:eastAsia="Arial" w:hAnsi="Arial"/>
          <w:sz w:val="18"/>
          <w:szCs w:val="18"/>
          <w:color w:val="auto"/>
        </w:rPr>
        <w:t>to receive payment of a Long-Term Incentive Award, and any unvested portion of the Long-Term Incentive Award, or subsequently granted RSUs in payment of such Award, shall be forfeited if the Participant incurs a separation from service from the Company and the Related Companies.</w:t>
      </w:r>
    </w:p>
    <w:p>
      <w:pPr>
        <w:spacing w:after="0" w:line="67" w:lineRule="exact"/>
        <w:rPr>
          <w:sz w:val="20"/>
          <w:szCs w:val="20"/>
          <w:color w:val="auto"/>
        </w:rPr>
      </w:pPr>
    </w:p>
    <w:p>
      <w:pPr>
        <w:ind w:left="660" w:right="40" w:hanging="328"/>
        <w:spacing w:after="0" w:line="28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settlement of the RSUs, within 10 days following the vesting of a portion of the RSUs, the Participant shall be issued that number of shares of Common Stock equal to the number of RSUs for which then vested; subject to payment by the Participant to the Company of any Federal, state, or local income and employment taxes that the Participant is obligated to pay in connection with the RSU’s settlement (collectively, the “Tax Obligations”) provided, however, notwithstanding anything to the contrary, the Company will have the right to withhold from the number of shares of Common Stock that would otherwise be issuable to the Participant in settlement of the RSUs, that number of shares of Common Stock having the fair market value equal to the amount of the Participant’s Tax Obligations. .</w:t>
      </w:r>
    </w:p>
    <w:p>
      <w:pPr>
        <w:spacing w:after="0" w:line="97"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to the contrary, a Participant may elect to defer the settlement of all or a portion of the RSUs granted to the Participant, under the terms and in accordance with the LivePerson, Inc. Deferred Compensation Plan (the “Deferred Compensation Plan”), effective as of August 1, 2015, as amended. Such election to defer must be made, in accordance with Section 409A of the Code and the terms of the Deferred Compensation Plan, by the end of the calendar year immediately preceding the last calendar year of the Performance Period.</w:t>
      </w:r>
    </w:p>
    <w:p>
      <w:pPr>
        <w:spacing w:after="0" w:line="98" w:lineRule="exact"/>
        <w:rPr>
          <w:rFonts w:ascii="Arial" w:cs="Arial" w:eastAsia="Arial" w:hAnsi="Arial"/>
          <w:sz w:val="18"/>
          <w:szCs w:val="18"/>
          <w:color w:val="auto"/>
        </w:rPr>
      </w:pPr>
    </w:p>
    <w:p>
      <w:pPr>
        <w:ind w:left="660" w:right="520" w:hanging="328"/>
        <w:spacing w:after="0" w:line="29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the grant of the RSUs, the Committee may, at its sole discretion, reduce the amount of any potential Long-Term Incentive Award or refuse to pay any Long-Term Incentive Award.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SHARES RESERVED FOR ISSUANCE; RSUs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Shares Authorized</w:t>
      </w:r>
      <w:r>
        <w:rPr>
          <w:rFonts w:ascii="Arial" w:cs="Arial" w:eastAsia="Arial" w:hAnsi="Arial"/>
          <w:sz w:val="18"/>
          <w:szCs w:val="18"/>
          <w:color w:val="auto"/>
        </w:rPr>
        <w:t>.</w:t>
      </w:r>
    </w:p>
    <w:p>
      <w:pPr>
        <w:spacing w:after="0" w:line="279" w:lineRule="exact"/>
        <w:rPr>
          <w:sz w:val="20"/>
          <w:szCs w:val="20"/>
          <w:color w:val="auto"/>
        </w:rPr>
      </w:pPr>
    </w:p>
    <w:p>
      <w:pPr>
        <w:ind w:left="660" w:right="100" w:firstLine="645"/>
        <w:spacing w:after="0" w:line="282" w:lineRule="auto"/>
        <w:tabs>
          <w:tab w:leader="none" w:pos="15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stockholder approval in accordance with the requirements of the rules of The NASDAQ Stock Market (or the national securities exchange on which the Company’s shares of common stock are then traded), the total aggregate number of shares of common stock $0.001 par value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that may be issued or transferred under the Plan in the form of RSUs in satisfaction of Long-Term Incentive Awards is 500,000 shares, subject to adjustment as described below, which number of shares of Common Stock may be amended by the Committee prior to the time, and if, the Plan is submitted to the Company’s stockholders for approval. The shares may be authorized but unissued shares of Common Stock or reacquired shares of Common Stock, including shares purchased by the Company on the open market for purposes of the Plan. For administrative purposes, when the Committee makes a grant of an RSU payable in Common Stock, the Committee shall reserve shares of Common Stock equal to the maximum number of shares of Common Stock that may be payable under the RSU. If any RSUs are forfeited or terminated, or otherwise are not paid in full, the shares subject to such RSU which have not been issued shall again be available for purposes of the Plan. Shares of Common Stock withheld for purposes of satisfying the Company’s applicable tax withholding obligations with respect to the RSU granted under the Plan shall not be available for re-issuance or transfer under the Plan. To the extent that any RSUs are settled in cash and not shares of Common Stock, such grants of RSUs shall not count against the share limits set forth above.</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962" w:right="239" w:bottom="1440" w:gutter="0" w:footer="0" w:header="0"/>
        </w:sectPr>
      </w:pPr>
    </w:p>
    <w:bookmarkStart w:id="50" w:name="page51"/>
    <w:bookmarkEnd w:id="50"/>
    <w:p>
      <w:pPr>
        <w:ind w:left="660" w:right="160" w:firstLine="645"/>
        <w:spacing w:after="0" w:line="283" w:lineRule="auto"/>
        <w:tabs>
          <w:tab w:leader="none" w:pos="15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6(a)(1) above, the Committee may in its discretion utilize shares of Common Stock duly authorized for issuance under the terms of the Company’s 2009 Stock Incentive Plan, as amended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or a successor or replacement plan to the 2009 Stock Incentive Plan (a “Successor Equity Plan”), for grants of RSUs in satisfaction of any portion or all of the Long-Term Incentive Awards granted under the terms of this Plan. In this case, (i) such RSUs shall be subject to the terms of the Equity Plan or Successor Equity Plan, as well as the terms of this Plan; and (ii) the terms of the Equity Plan or Successor Equity Plan regarding number of shares, share counting, and fungible share pool set forth in Section 4(a) of the Equity Plan or similar provisions of a Successor Equity Plan shall govern in lieu of Section 6(a)(1) of this Plan.</w:t>
      </w:r>
    </w:p>
    <w:p>
      <w:pPr>
        <w:spacing w:after="0" w:line="236" w:lineRule="exact"/>
        <w:rPr>
          <w:rFonts w:ascii="Arial" w:cs="Arial" w:eastAsia="Arial" w:hAnsi="Arial"/>
          <w:sz w:val="18"/>
          <w:szCs w:val="18"/>
          <w:color w:val="auto"/>
        </w:rPr>
      </w:pPr>
    </w:p>
    <w:p>
      <w:pPr>
        <w:ind w:right="20" w:firstLine="656"/>
        <w:spacing w:after="0" w:line="282" w:lineRule="auto"/>
        <w:tabs>
          <w:tab w:leader="none" w:pos="10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case that shares of Common Stock are authorized exclusively for use under the terms of the Plan, following the date of stockholder approval of the Plan, if there is any change in the number or kind of shares of Common Stock outstanding (i) by reason of a stock dividend, spinoff, recapitalization, stock split, or combination or exchange of shares, (ii) by reason of a merger, reorganization or consolidation, (iii) by reason of a reclassification or change in par value, or (iv) by reason of any other extraordinary or unusual event affecting the outstanding Common Stock as a class without the Company’s receipt of consideration, or if the value of outstanding shares of Common Stock is substantially reduced as a result of a spinoff or the Company’s payment of an extraordinary dividend or distribution, the maximum number of shares of Common Stock available for issuance under the Plan, the maximum number of shares of Common Stock for which any individual may receive pursuant to Long-Term Incentive Awards in any year, the number of shares covered by outstanding RSU grants, the kind of shares to be issued or transferred under the Plan, and any applicable performance goals tied to the number of outstanding shares shall be equitably adjusted by the Committee, in such manner as the Committee deems appropriate, to reflect any increase or decrease in the number of, or change in the kind or value of, issued shares of Common Stock to preclude, to the extent practicable, the enlargement or dilution of rights and benefits under the Plan; provided, however, that any fractional shares resulting from such adjustment shall be eliminated. Any adjustments to outstanding RSUs shall be consistent with section 409A of the Internal Revenue Code of 1986, as amended (the “Code”), to the extent applicable. Any adjustments determined by the Committee shall be final, binding and conclusive. If shares of Common Stock authorized under the terms of the Equity Plan or a Successor Equity Plan are used for issuance of RSU grants under the terms of this Plan, in accordance with Section 6(a)(2) above, Section 9 of the Equity Plan, or similar provision of a Successor Equity Plan, shall govern the adjustment of shares in respect of outstanding RSUs, in lieu of this Section 6(b).</w:t>
      </w:r>
    </w:p>
    <w:p>
      <w:pPr>
        <w:spacing w:after="0" w:line="241" w:lineRule="exact"/>
        <w:rPr>
          <w:rFonts w:ascii="Arial" w:cs="Arial" w:eastAsia="Arial" w:hAnsi="Arial"/>
          <w:sz w:val="18"/>
          <w:szCs w:val="18"/>
          <w:color w:val="auto"/>
        </w:rPr>
      </w:pPr>
    </w:p>
    <w:p>
      <w:pPr>
        <w:ind w:right="60" w:firstLine="656"/>
        <w:spacing w:after="0" w:line="283" w:lineRule="auto"/>
        <w:tabs>
          <w:tab w:leader="none" w:pos="110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to Payment of Long-Term Incentive Award</w:t>
      </w:r>
      <w:r>
        <w:rPr>
          <w:rFonts w:ascii="Arial" w:cs="Arial" w:eastAsia="Arial" w:hAnsi="Arial"/>
          <w:sz w:val="18"/>
          <w:szCs w:val="18"/>
          <w:color w:val="auto"/>
        </w:rPr>
        <w:t>s. Prior to the payment of any Long-Term Incentive Award, the Committee will determine whether the performance criteria under the applicable Plan component has been met, therefore triggering the funding of the applicable Bonus Pool. In addition, no Long-Term Incentive Award will be payable pursuant to this Plan in the form of stock-settled RSUs until stockholder approval of the Plan has been obtained, unless the Committee has, in its discretion, determined to utilize shares of Common Stock authorized under the Equity Plan or a Successor Equity Plan in accordance with Section 6(a)(2) above. Notwithstanding the foregoing, any portion or all of the Long-Term Incentive Awards may be payable in cash at the discretion of the Committee (whether or not stockholder approval is obtained or whether shares of the Equity Plan or a Successor Equity Plan are utilized). Long-Term Incentive Awards are subject to forfeiture as provided below.</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936" w:right="239" w:bottom="1440" w:gutter="0" w:footer="0" w:header="0"/>
        </w:sectPr>
      </w:pPr>
    </w:p>
    <w:bookmarkStart w:id="51" w:name="page52"/>
    <w:bookmarkEnd w:id="51"/>
    <w:p>
      <w:pPr>
        <w:ind w:right="160" w:firstLine="656"/>
        <w:spacing w:after="0" w:line="283"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Form of Payment; Forfeiture</w:t>
      </w:r>
      <w:r>
        <w:rPr>
          <w:rFonts w:ascii="Arial" w:cs="Arial" w:eastAsia="Arial" w:hAnsi="Arial"/>
          <w:sz w:val="18"/>
          <w:szCs w:val="18"/>
          <w:color w:val="auto"/>
        </w:rPr>
        <w:t>. All Long-Term Incentive Awards will be paid in the form of a stock-settled RSU, as described in Section 5(d), except as set forth below, as subject to the terms and conditions of an RSU award agreement (consistent with the provisions of the Plan and, if applicable, the Equity Plan) provided to the Participant at the time the RSU is granted in payment of the Long-Term Incentive Award. As set forth above and as shall be memorialized in the RSU award agreement, portions of the RSUs may be subject to forfeiture until vested. Unless otherwise provided in the RSU award agreement, any portion of the RSU that has not vested prior to the date of a Participants termination of employment with the Company shall be forfeited as of the date of Termination for no consideration. In the event the AGP Component Bonus Pool or Rule of 40 Component Bonus Pool has been funded, in whole or in part, in cash, payment of the applicable Long-Term Incentive Awards shall be, to the extent necessary in the discretion of the Committee, in the form of a cash-settled RSU, but shall otherwise be subject to the same provisions as set forth herein applicable to a stock-settled RSU.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OF EMPLOYMENT DURING A PERFORMANCE PERIOD</w:t>
      </w:r>
    </w:p>
    <w:p>
      <w:pPr>
        <w:spacing w:after="0" w:line="328" w:lineRule="exact"/>
        <w:rPr>
          <w:sz w:val="20"/>
          <w:szCs w:val="20"/>
          <w:color w:val="auto"/>
        </w:rPr>
      </w:pPr>
    </w:p>
    <w:p>
      <w:pPr>
        <w:ind w:right="40" w:firstLine="656"/>
        <w:spacing w:after="0" w:line="348" w:lineRule="auto"/>
        <w:tabs>
          <w:tab w:leader="none" w:pos="10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Participant participates in the AGP Component and/or Rule of 40 Component, but the Participant’s employment with the Company terminates for any reason prior to the occurrence of the applicable component’s triggering event for the AGP Pool or Rule of 40 Pool, respectively, the right to a payment of the AGP Component Award or Rule of 40 Component Award, in the form of an RSU or otherwise, shall be forfeited in full and cancelled without consideration.</w:t>
      </w:r>
    </w:p>
    <w:p>
      <w:pPr>
        <w:spacing w:after="0" w:line="231" w:lineRule="exact"/>
        <w:rPr>
          <w:rFonts w:ascii="Arial" w:cs="Arial" w:eastAsia="Arial" w:hAnsi="Arial"/>
          <w:sz w:val="18"/>
          <w:szCs w:val="18"/>
          <w:color w:val="auto"/>
        </w:rPr>
      </w:pPr>
    </w:p>
    <w:p>
      <w:pPr>
        <w:ind w:right="100" w:firstLine="656"/>
        <w:spacing w:after="0" w:line="350" w:lineRule="auto"/>
        <w:tabs>
          <w:tab w:leader="none" w:pos="10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otherwise provided in the RSU award agreement granted in payment of a Long Term Incentive Award, any portion of the RSU that has not vested prior to the date of a Participant’s termination of employment with the Company for any reason shall be forfeited as of the date of Termination and cancelled for no consideration.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AMENDMENTS, MODIFICATION AND TERMINATION OF THE PLAN</w:t>
      </w:r>
    </w:p>
    <w:p>
      <w:pPr>
        <w:spacing w:after="0" w:line="301"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The Board or the Committee may terminate the Plan at any time. From time to time, the Board or the Committee may suspend the Plan, in whole or in part. From time to time, the Board or the Committee may amend the Plan or RSU award agreement, including the adoption of amendments deemed necessary or desirable to correct any defect or supply an omission or reconcile any inconsistency in the Plan or in any Long-Term Incentive Award or RSU award agreement granted hereunder so long as share-owner approval has been obtained if required. No amendment, termination or modification of the Plan, Long-Term Incentive Award or RSU award agreement may in any manner affect Long-Term Incentive Awards or RSUs heretofore granted without the consent of the participant unless the Committee has made a determination that an amendment or modification is in the best interest of all persons to whom Long-Term Incentive Awards or RSUs have heretofore been granted, but in no event may such amendment or modification result in an increase in the amount of compensation payable pursuant to such Long-Term Incentive Award or RSU.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GOVERNING LAW</w:t>
      </w:r>
    </w:p>
    <w:p>
      <w:pPr>
        <w:spacing w:after="0" w:line="30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Plan and all determinations made and actions taken pursuant thereto will be governed by the laws of the State of New York and construed in accordance therewith.</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93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SECTION 10. EFFECT ON BENEFIT PLANS</w:t>
      </w:r>
    </w:p>
    <w:p>
      <w:pPr>
        <w:spacing w:after="0" w:line="30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Compensation received upon settlement of the RSUs granted in payment of Long-Term Incentive Awards under the Plan will not be included in the computation of benefits under any other employee benefit plan maintained by the Company under which the Participant may be covered, unless required by applicable laws.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REORGANIZATION EVENT</w:t>
      </w:r>
    </w:p>
    <w:p>
      <w:pPr>
        <w:spacing w:after="0" w:line="301"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If there is a Reorganization Event (as hereinafter defined) while the Plan remains in effect, then notwithstanding that the Performance Period has not expired at the time of the Reorganization Event, if the performance targets triggering the Bonus Pool funding are reached in connection with, or as a result of the Reorganization Event, the Bonus Pool(s) shall be funded, and RSU grants made in accordance with the terms of the Plan as if the funding event had occurred as a result of reaching the targets at the end of the Performance Period; provided, however, that in the case of the payment of Long-Term Incentive Awards in the event of a Reorganization Event, payment shall be made in a lump sum in cash or settled in fully vested RSUs promptly after the date of such Change in Control, in lieu of any other additional payments under the Plan for the related Performance Periods.</w:t>
      </w:r>
    </w:p>
    <w:p>
      <w:pPr>
        <w:spacing w:after="0" w:line="23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 “Reorganization Event” for purposes of this Section 11 will have the same meaning as assigned to such term in the Company’s 2009 Stock Incentive Plan, as amended or such similar term in a Successor Equity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w:t>
      </w:r>
    </w:p>
    <w:p>
      <w:pPr>
        <w:spacing w:after="0" w:line="328" w:lineRule="exact"/>
        <w:rPr>
          <w:sz w:val="20"/>
          <w:szCs w:val="20"/>
          <w:color w:val="auto"/>
        </w:rPr>
      </w:pPr>
    </w:p>
    <w:p>
      <w:pPr>
        <w:ind w:right="60" w:firstLine="656"/>
        <w:spacing w:after="0" w:line="346" w:lineRule="auto"/>
        <w:tabs>
          <w:tab w:leader="none" w:pos="1084"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All Long Term Incentive Awards and RSUs granted under the Plan are intended either not to be subject to Section 409A of the Code or, if subject to Section 409A of the Code, to be administered, operated and construed in compliance with Section 409A of the Code. Notwithstanding this or any other provision of the Plan or any RSU award agreement to the contrary, the Committee may amend the Plan or any award agreement granted hereunder in any manner or take any other action that it determines, in its sole discretion, is necessary, appropriate or advisable (including replacing any Long-Term Incentive Award or RSU) to cause the Plan or any award granted hereunder to comply with Section 409A of the Code and all regulations and other guidance issued thereunder or to not be subject to Section 409A of the Code. In no event will the Company reimburse a Participant for any taxes or other penalties that may be imposed on the Participant as a result of Section 409A of the Code.</w:t>
      </w:r>
    </w:p>
    <w:p>
      <w:pPr>
        <w:spacing w:after="0" w:line="232" w:lineRule="exact"/>
        <w:rPr>
          <w:rFonts w:ascii="Arial" w:cs="Arial" w:eastAsia="Arial" w:hAnsi="Arial"/>
          <w:sz w:val="18"/>
          <w:szCs w:val="18"/>
          <w:u w:val="single" w:color="auto"/>
          <w:color w:val="auto"/>
        </w:rPr>
      </w:pPr>
    </w:p>
    <w:p>
      <w:pPr>
        <w:ind w:right="200" w:firstLine="656"/>
        <w:spacing w:after="0" w:line="350" w:lineRule="auto"/>
        <w:tabs>
          <w:tab w:leader="none" w:pos="1084"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obligation of the Company to sell or deliver shares of Common Stock with respect to awards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228" w:lineRule="exact"/>
        <w:rPr>
          <w:rFonts w:ascii="Arial" w:cs="Arial" w:eastAsia="Arial" w:hAnsi="Arial"/>
          <w:sz w:val="18"/>
          <w:szCs w:val="18"/>
          <w:u w:val="single" w:color="auto"/>
          <w:color w:val="auto"/>
        </w:rPr>
      </w:pPr>
    </w:p>
    <w:p>
      <w:pPr>
        <w:ind w:right="100" w:firstLine="656"/>
        <w:spacing w:after="0" w:line="348" w:lineRule="auto"/>
        <w:tabs>
          <w:tab w:leader="none" w:pos="1061"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Employment Status; Claims to Long-Term Incentive Awards</w:t>
      </w:r>
      <w:r>
        <w:rPr>
          <w:rFonts w:ascii="Arial" w:cs="Arial" w:eastAsia="Arial" w:hAnsi="Arial"/>
          <w:sz w:val="18"/>
          <w:szCs w:val="18"/>
          <w:color w:val="auto"/>
        </w:rPr>
        <w:t>. Nothing in the Plan shall be construed to limit in any way the right of the Company or its Related Companies to terminate the employment of any person at any time. The Long-Term Incentive Awards and RSUs represent unfned and unsecured obligations of the Company and Participant in respect of the Plan shal have no rights other than those of a general unsecured creditor to the Company.</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913" w:right="239" w:bottom="1440" w:gutter="0" w:footer="0" w:header="0"/>
        </w:sectPr>
      </w:pPr>
    </w:p>
    <w:bookmarkStart w:id="53" w:name="page54"/>
    <w:bookmarkEnd w:id="53"/>
    <w:p>
      <w:pPr>
        <w:jc w:val="both"/>
        <w:ind w:right="40" w:firstLine="656"/>
        <w:spacing w:after="0" w:line="348" w:lineRule="auto"/>
        <w:tabs>
          <w:tab w:leader="none" w:pos="1084" w:val="left"/>
        </w:tabs>
        <w:numPr>
          <w:ilvl w:val="0"/>
          <w:numId w:val="4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Unless otherwise permitted by the Committee, no Long-Term Incentive Award or RSU granted under the terms of the Plan shall be (i) sold, transferred or otherwise disposed of, (ii) pledged or otherwise hypothecated or (iii) subject to attachment, execution or levy of any kind; and any purported transfer, pledge, hypothecation, attachment, execution or levy in violation of this provision shall be null and void.</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96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2"/>
          <w:szCs w:val="22"/>
          <w:color w:val="auto"/>
        </w:rPr>
        <w:t>This Separation Agreement and General Release (“Agreement”) is entered into by and between LivePerson, Inc. (the “Company”) and Eran Vanounou (the “Executive” and, together with the Company, the “Parties”), and effective as of April 30, 2018 (the “Effective Date”).</w:t>
      </w:r>
    </w:p>
    <w:p>
      <w:pPr>
        <w:spacing w:after="0" w:line="185"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WHEREAS, the Parties mutually agree that the Executive’s employment with the Company will cease as of the Transition Date, and continue as a consultancy until the Separation Date (as defined below), pursuant to the terms hereof;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Parties wish to set forth the terms of the Executive's separation agreement and general release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claims.</w:t>
      </w:r>
    </w:p>
    <w:p>
      <w:pPr>
        <w:spacing w:after="0" w:line="229" w:lineRule="exact"/>
        <w:rPr>
          <w:sz w:val="20"/>
          <w:szCs w:val="20"/>
          <w:color w:val="auto"/>
        </w:rPr>
      </w:pPr>
    </w:p>
    <w:p>
      <w:pPr>
        <w:jc w:val="both"/>
        <w:ind w:right="20" w:firstLine="1297"/>
        <w:spacing w:after="0" w:line="358" w:lineRule="auto"/>
        <w:rPr>
          <w:sz w:val="20"/>
          <w:szCs w:val="20"/>
          <w:color w:val="auto"/>
        </w:rPr>
      </w:pPr>
      <w:r>
        <w:rPr>
          <w:rFonts w:ascii="Arial" w:cs="Arial" w:eastAsia="Arial" w:hAnsi="Arial"/>
          <w:sz w:val="19"/>
          <w:szCs w:val="19"/>
          <w:color w:val="auto"/>
        </w:rPr>
        <w:t>NOW, THEREFORE, in consideration of the mutual promises and conditions set forth herein, and for other good and sufficient consideration, the sufficiency of which is hereby acknowledged, the Company and the Executive agree as follows:</w:t>
      </w:r>
    </w:p>
    <w:p>
      <w:pPr>
        <w:spacing w:after="0" w:line="104" w:lineRule="exact"/>
        <w:rPr>
          <w:sz w:val="20"/>
          <w:szCs w:val="20"/>
          <w:color w:val="auto"/>
        </w:rPr>
      </w:pPr>
    </w:p>
    <w:p>
      <w:pPr>
        <w:jc w:val="both"/>
        <w:ind w:left="80" w:firstLine="1198"/>
        <w:spacing w:after="0" w:line="261" w:lineRule="auto"/>
        <w:tabs>
          <w:tab w:leader="none" w:pos="2106"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Executive’s full-time employment with the Company will terminate and convert to a consulting services relationship upon the close of business on April 30, 2018, (the “Transition Date”), and will continue as a consulting services relationship through September 16, 2018 (the “Separation Date”). For purposes of clarification, any termination of Executive’s employment pursuant to this Paragraph 4 shall qualify as a “separation from service” within the meaning of Section 409A (as defined below).</w:t>
      </w:r>
    </w:p>
    <w:p>
      <w:pPr>
        <w:spacing w:after="0" w:line="191" w:lineRule="exact"/>
        <w:rPr>
          <w:rFonts w:ascii="Arial" w:cs="Arial" w:eastAsia="Arial" w:hAnsi="Arial"/>
          <w:sz w:val="22"/>
          <w:szCs w:val="22"/>
          <w:color w:val="auto"/>
        </w:rPr>
      </w:pPr>
    </w:p>
    <w:p>
      <w:pPr>
        <w:ind w:left="80" w:right="20" w:firstLine="1198"/>
        <w:spacing w:after="0" w:line="276" w:lineRule="auto"/>
        <w:tabs>
          <w:tab w:leader="none" w:pos="2106"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Executive shall execute a general release of claims in the form attached hereto as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“General Release”) (a) upon the Transition Date; (b) upon the Separation Date, at the Company’s request.</w:t>
      </w:r>
    </w:p>
    <w:p>
      <w:pPr>
        <w:spacing w:after="0" w:line="174" w:lineRule="exact"/>
        <w:rPr>
          <w:rFonts w:ascii="Arial" w:cs="Arial" w:eastAsia="Arial" w:hAnsi="Arial"/>
          <w:sz w:val="22"/>
          <w:szCs w:val="22"/>
          <w:color w:val="auto"/>
        </w:rPr>
      </w:pPr>
    </w:p>
    <w:p>
      <w:pPr>
        <w:ind w:left="80" w:firstLine="1198"/>
        <w:spacing w:after="0" w:line="343" w:lineRule="auto"/>
        <w:tabs>
          <w:tab w:leader="none" w:pos="2106"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exchange for Executive’s execution of and compliance with this Agreement, including without limitation execution and non-revocation of the General Release, the Company agrees to provide the following payments and benefits:</w:t>
      </w:r>
    </w:p>
    <w:p>
      <w:pPr>
        <w:spacing w:after="0" w:line="131" w:lineRule="exact"/>
        <w:rPr>
          <w:rFonts w:ascii="Arial" w:cs="Arial" w:eastAsia="Arial" w:hAnsi="Arial"/>
          <w:sz w:val="19"/>
          <w:szCs w:val="19"/>
          <w:color w:val="auto"/>
        </w:rPr>
      </w:pPr>
    </w:p>
    <w:p>
      <w:pPr>
        <w:jc w:val="both"/>
        <w:ind w:left="2600" w:hanging="647"/>
        <w:spacing w:after="0" w:line="248" w:lineRule="auto"/>
        <w:tabs>
          <w:tab w:leader="none" w:pos="2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transition period during which: (i) the Executive’s salary (usual payroll) in effect as of the Transition Date shall continue through August 31, 2018; and (ii) Executive’s employee stock options and RSUs will continue vesting pursuant to their terms through September 16, 2018; Accrued and unused vacation days will be described and paid out in Employee’s last pay slip in accordance with standard Company policies and practices.</w:t>
      </w:r>
    </w:p>
    <w:p>
      <w:pPr>
        <w:spacing w:after="0" w:line="192"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all vested stock options and RSUs (including those vested as a result of Paragraph 3(a)) above) held by Executive as of September 16,</w:t>
      </w:r>
    </w:p>
    <w:p>
      <w:pPr>
        <w:sectPr>
          <w:pgSz w:w="11900" w:h="16838" w:orient="portrait"/>
          <w:cols w:equalWidth="0" w:num="1">
            <w:col w:w="11420"/>
          </w:cols>
          <w:pgMar w:left="240" w:top="369" w:right="239" w:bottom="1440" w:gutter="0" w:footer="0" w:header="0"/>
        </w:sectPr>
      </w:pPr>
    </w:p>
    <w:bookmarkStart w:id="55" w:name="page56"/>
    <w:bookmarkEnd w:id="55"/>
    <w:p>
      <w:pPr>
        <w:ind w:left="1400"/>
        <w:spacing w:after="0" w:line="343" w:lineRule="auto"/>
        <w:rPr>
          <w:sz w:val="20"/>
          <w:szCs w:val="20"/>
          <w:color w:val="auto"/>
        </w:rPr>
      </w:pPr>
      <w:r>
        <w:rPr>
          <w:rFonts w:ascii="Arial" w:cs="Arial" w:eastAsia="Arial" w:hAnsi="Arial"/>
          <w:sz w:val="19"/>
          <w:szCs w:val="19"/>
          <w:color w:val="auto"/>
        </w:rPr>
        <w:t>2018 will be modified to remain exercisable until May 15, 2019</w:t>
      </w:r>
      <w:r>
        <w:rPr>
          <w:rFonts w:ascii="Arial" w:cs="Arial" w:eastAsia="Arial" w:hAnsi="Arial"/>
          <w:sz w:val="19"/>
          <w:szCs w:val="19"/>
          <w:i w:val="1"/>
          <w:iCs w:val="1"/>
          <w:color w:val="auto"/>
        </w:rPr>
        <w:t>,</w:t>
      </w:r>
      <w:r>
        <w:rPr>
          <w:rFonts w:ascii="Arial" w:cs="Arial" w:eastAsia="Arial" w:hAnsi="Arial"/>
          <w:sz w:val="19"/>
          <w:szCs w:val="19"/>
          <w:color w:val="auto"/>
        </w:rPr>
        <w:t xml:space="preserve"> but in no event shall any employee equity be extended to remain exercisable beyond the original end of the term of such option; and</w:t>
      </w:r>
    </w:p>
    <w:p>
      <w:pPr>
        <w:spacing w:after="0" w:line="105" w:lineRule="exact"/>
        <w:rPr>
          <w:sz w:val="20"/>
          <w:szCs w:val="20"/>
          <w:color w:val="auto"/>
        </w:rPr>
      </w:pPr>
    </w:p>
    <w:p>
      <w:pPr>
        <w:jc w:val="both"/>
        <w:ind w:left="-1120" w:firstLine="1198"/>
        <w:spacing w:after="0" w:line="263" w:lineRule="auto"/>
        <w:tabs>
          <w:tab w:leader="none" w:pos="9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Executive acknowledges that he has been paid in full for his bonus applicable for the 2017 fiscal year. Executive acknowledges and agrees that until the Separation Date and after his employment he will continue to be obliged by the terms of Sections 11 and 12 of the existing Employment Agreement executed by and between the Executive and the Company, dated as of November 7, 2013, and:</w:t>
      </w:r>
    </w:p>
    <w:p>
      <w:pPr>
        <w:spacing w:after="0" w:line="133" w:lineRule="exact"/>
        <w:rPr>
          <w:rFonts w:ascii="Arial" w:cs="Arial" w:eastAsia="Arial" w:hAnsi="Arial"/>
          <w:sz w:val="22"/>
          <w:szCs w:val="22"/>
          <w:color w:val="auto"/>
        </w:rPr>
      </w:pPr>
    </w:p>
    <w:p>
      <w:pPr>
        <w:jc w:val="both"/>
        <w:ind w:left="560" w:firstLine="976"/>
        <w:spacing w:after="0" w:line="253" w:lineRule="auto"/>
        <w:tabs>
          <w:tab w:leader="none" w:pos="218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Executive agrees, with reasonable notice, to furnish information as may be in his possession and cooperate with the Company as may be reasonably requested in connection with any claims or legal action in which the Company is or may become a party.</w:t>
      </w:r>
    </w:p>
    <w:p>
      <w:pPr>
        <w:spacing w:after="0" w:line="185" w:lineRule="exact"/>
        <w:rPr>
          <w:rFonts w:ascii="Arial" w:cs="Arial" w:eastAsia="Arial" w:hAnsi="Arial"/>
          <w:sz w:val="22"/>
          <w:szCs w:val="22"/>
          <w:color w:val="auto"/>
        </w:rPr>
      </w:pPr>
    </w:p>
    <w:p>
      <w:pPr>
        <w:jc w:val="both"/>
        <w:ind w:left="560" w:firstLine="976"/>
        <w:spacing w:after="0" w:line="285" w:lineRule="auto"/>
        <w:tabs>
          <w:tab w:leader="none" w:pos="2194"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Executive recognizes and acknowledges that all information pertaining to the software, business, clients, customers or other relationships of the Company is confidential and is a unique and valuable asset of the Company. The Executive will not give to any person, firm, governmental agency or other entity any information concerning the affairs, business, clients, or customers of the Company except as required by law. The Executive will not make use of this type of information for his own purposes or for the benefit of any person or organization other than the Company. The Executive will use his best efforts to prevent the disclosure of this information by others. All records, memoranda, software or intellectual property whether made by the Executive or otherwise coming into his possession are confidential and will remain the property of the Company. The foregoing restrictions shall not apply to information which is or becomes part of the public domain through no act or failure to act by the Executive. 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 § 1833(b) or create liability for disclosures of trade secrets that are</w:t>
      </w:r>
    </w:p>
    <w:p>
      <w:pPr>
        <w:sectPr>
          <w:pgSz w:w="11900" w:h="16838" w:orient="portrait"/>
          <w:cols w:equalWidth="0" w:num="1">
            <w:col w:w="10220"/>
          </w:cols>
          <w:pgMar w:left="1440" w:top="375" w:right="239" w:bottom="1440" w:gutter="0" w:footer="0" w:header="0"/>
        </w:sectPr>
      </w:pPr>
    </w:p>
    <w:bookmarkStart w:id="56" w:name="page57"/>
    <w:bookmarkEnd w:id="56"/>
    <w:p>
      <w:pPr>
        <w:jc w:val="both"/>
        <w:ind w:left="560"/>
        <w:spacing w:after="0" w:line="302" w:lineRule="auto"/>
        <w:rPr>
          <w:sz w:val="20"/>
          <w:szCs w:val="20"/>
          <w:color w:val="auto"/>
        </w:rPr>
      </w:pPr>
      <w:r>
        <w:rPr>
          <w:rFonts w:ascii="Arial" w:cs="Arial" w:eastAsia="Arial" w:hAnsi="Arial"/>
          <w:sz w:val="19"/>
          <w:szCs w:val="19"/>
          <w:color w:val="auto"/>
        </w:rPr>
        <w:t>expressly allowed by such section. Further, nothing in this Agreement or any other agreement that Executive has with the 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spacing w:after="0" w:line="143" w:lineRule="exact"/>
        <w:rPr>
          <w:sz w:val="20"/>
          <w:szCs w:val="20"/>
          <w:color w:val="auto"/>
        </w:rPr>
      </w:pPr>
    </w:p>
    <w:p>
      <w:pPr>
        <w:jc w:val="both"/>
        <w:ind w:left="560" w:firstLine="976"/>
        <w:spacing w:after="0" w:line="312" w:lineRule="auto"/>
        <w:tabs>
          <w:tab w:leader="none" w:pos="2182" w:val="left"/>
        </w:tabs>
        <w:numPr>
          <w:ilvl w:val="1"/>
          <w:numId w:val="48"/>
        </w:numPr>
        <w:rPr>
          <w:rFonts w:ascii="Arial" w:cs="Arial" w:eastAsia="Arial" w:hAnsi="Arial"/>
          <w:sz w:val="19"/>
          <w:szCs w:val="19"/>
          <w:color w:val="auto"/>
        </w:rPr>
      </w:pPr>
      <w:r>
        <w:rPr>
          <w:rFonts w:ascii="Arial" w:cs="Arial" w:eastAsia="Arial" w:hAnsi="Arial"/>
          <w:sz w:val="19"/>
          <w:szCs w:val="19"/>
          <w:color w:val="auto"/>
        </w:rPr>
        <w:t>For a twelve (12) month period from the Transition Date of this Agreement (the “Restricted Period”), the Executive will not intentionally make any statement or perform any acts intended to or which the Executive knew or should have known would have the effect of injuring the interest of the Company.</w:t>
      </w:r>
    </w:p>
    <w:p>
      <w:pPr>
        <w:spacing w:after="0" w:line="133" w:lineRule="exact"/>
        <w:rPr>
          <w:rFonts w:ascii="Arial" w:cs="Arial" w:eastAsia="Arial" w:hAnsi="Arial"/>
          <w:sz w:val="19"/>
          <w:szCs w:val="19"/>
          <w:color w:val="auto"/>
        </w:rPr>
      </w:pPr>
    </w:p>
    <w:p>
      <w:pPr>
        <w:ind w:left="560" w:firstLine="976"/>
        <w:spacing w:after="0" w:line="276" w:lineRule="auto"/>
        <w:tabs>
          <w:tab w:leader="none" w:pos="2194" w:val="left"/>
        </w:tabs>
        <w:numPr>
          <w:ilvl w:val="1"/>
          <w:numId w:val="48"/>
        </w:numPr>
        <w:rPr>
          <w:rFonts w:ascii="Arial" w:cs="Arial" w:eastAsia="Arial" w:hAnsi="Arial"/>
          <w:sz w:val="22"/>
          <w:szCs w:val="22"/>
          <w:color w:val="auto"/>
        </w:rPr>
      </w:pPr>
      <w:r>
        <w:rPr>
          <w:rFonts w:ascii="Arial" w:cs="Arial" w:eastAsia="Arial" w:hAnsi="Arial"/>
          <w:sz w:val="22"/>
          <w:szCs w:val="22"/>
          <w:color w:val="auto"/>
        </w:rPr>
        <w:t>During the Restricted Period, the Executive, without express written approval from the Company, will not solicit any clients of the Company for any existing business of the Company.</w:t>
      </w:r>
    </w:p>
    <w:p>
      <w:pPr>
        <w:spacing w:after="0" w:line="174" w:lineRule="exact"/>
        <w:rPr>
          <w:rFonts w:ascii="Arial" w:cs="Arial" w:eastAsia="Arial" w:hAnsi="Arial"/>
          <w:sz w:val="22"/>
          <w:szCs w:val="22"/>
          <w:color w:val="auto"/>
        </w:rPr>
      </w:pPr>
    </w:p>
    <w:p>
      <w:pPr>
        <w:jc w:val="both"/>
        <w:ind w:left="560" w:firstLine="976"/>
        <w:spacing w:after="0" w:line="248" w:lineRule="auto"/>
        <w:tabs>
          <w:tab w:leader="none" w:pos="2182" w:val="left"/>
        </w:tabs>
        <w:numPr>
          <w:ilvl w:val="1"/>
          <w:numId w:val="48"/>
        </w:numPr>
        <w:rPr>
          <w:rFonts w:ascii="Arial" w:cs="Arial" w:eastAsia="Arial" w:hAnsi="Arial"/>
          <w:sz w:val="22"/>
          <w:szCs w:val="22"/>
          <w:color w:val="auto"/>
        </w:rPr>
      </w:pPr>
      <w:r>
        <w:rPr>
          <w:rFonts w:ascii="Arial" w:cs="Arial" w:eastAsia="Arial" w:hAnsi="Arial"/>
          <w:sz w:val="22"/>
          <w:szCs w:val="22"/>
          <w:color w:val="auto"/>
        </w:rPr>
        <w:t>During the Restricted Period, the Executive (acting on his own behalf, or for or through others) will not actively solicit or induce any employee of the Company to terminate their employment with the Company or engage in activities that directly compete with the business of the Company, meaning a Company that makes product(s) or service(s) capable of replacing or displacing the Company’s product or services as of the Transition Date.</w:t>
      </w:r>
    </w:p>
    <w:p>
      <w:pPr>
        <w:spacing w:after="0" w:line="192" w:lineRule="exact"/>
        <w:rPr>
          <w:rFonts w:ascii="Arial" w:cs="Arial" w:eastAsia="Arial" w:hAnsi="Arial"/>
          <w:sz w:val="22"/>
          <w:szCs w:val="22"/>
          <w:color w:val="auto"/>
        </w:rPr>
      </w:pPr>
    </w:p>
    <w:p>
      <w:pPr>
        <w:jc w:val="both"/>
        <w:ind w:left="-1120" w:firstLine="1198"/>
        <w:spacing w:after="0" w:line="309" w:lineRule="auto"/>
        <w:tabs>
          <w:tab w:leader="none" w:pos="9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Executive acknowledges and agrees that the Company's obligation to make any payments under this Agreement shall cease upon any violation of Paragraph 4 above. The Company must first provide written notice to the Executive specifying the act which has violated Paragraph 4, and if such violation is not cured within fifteen (15) days, if capable of being cured, than the Company will inform the Executive of its termination of its post-employment payments. The Executive agrees that the restrictions contained in Paragraph 4 are essential elements of this Agreement, and, but for the Executive's agreement to comply with such restrictions, the Company would not have entered into this Agreement.</w:t>
      </w:r>
    </w:p>
    <w:p>
      <w:pPr>
        <w:spacing w:after="0" w:line="148" w:lineRule="exact"/>
        <w:rPr>
          <w:rFonts w:ascii="Arial" w:cs="Arial" w:eastAsia="Arial" w:hAnsi="Arial"/>
          <w:sz w:val="19"/>
          <w:szCs w:val="19"/>
          <w:color w:val="auto"/>
        </w:rPr>
      </w:pPr>
    </w:p>
    <w:p>
      <w:pPr>
        <w:jc w:val="both"/>
        <w:ind w:left="-1120" w:firstLine="1198"/>
        <w:spacing w:after="0" w:line="302" w:lineRule="auto"/>
        <w:tabs>
          <w:tab w:leader="none" w:pos="9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Promptly following the Transition Date, the Executive will certify that he has returned to the Company all Company property and equipment in his possession or control, including, but not limited to, computer equipment (including, but not limited to, computer hardware, software and printers, wireless handheld devices, cellular phones, pagers, etc.), customer information, customer lists, employee lists, Company files, notes, contracts, records, business plans, financial information, specifications, computer-recorded information, software, tangible property, identification badges and keys, and any other materials of any kind which contain or embody any proprietary or confidential material of the Company (and all reproductions thereof). The Executive also represents that he has and will leave intact all electronic Company documents, including those that he developed or helped to develop during his employment. The Executive further represents that he will, and will certify, that he has cancelled all accounts for his benefit, if any, in the Company's name including, but not limited to, credit cards, telephone charge cards, cellular phone accounts, pager accounts, and computer accounts promptly following the Transition Dae. Notwithstanding the foregoing, the Company will assist Executive in making an electronic copy of his contact list in whatever format Executive reasonably requests.</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1120" w:firstLine="1198"/>
        <w:spacing w:after="0" w:line="317" w:lineRule="auto"/>
        <w:tabs>
          <w:tab w:leader="none" w:pos="9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Executive agrees that he will not, at any time, publicly disparage, criticize or ridicule the Company, nor make any negative public comments regarding the Company, its officers, employees, directors, products, services or business practices. The Company agrees that its officers, directors and authorized spokespersons will not at any time publicly disparage, criticize, or ridicule the Executive or make any negative public comments regarding the Executive.</w:t>
      </w:r>
    </w:p>
    <w:p>
      <w:pPr>
        <w:spacing w:after="0" w:line="142" w:lineRule="exact"/>
        <w:rPr>
          <w:rFonts w:ascii="Arial" w:cs="Arial" w:eastAsia="Arial" w:hAnsi="Arial"/>
          <w:sz w:val="19"/>
          <w:szCs w:val="19"/>
          <w:color w:val="auto"/>
        </w:rPr>
      </w:pPr>
    </w:p>
    <w:p>
      <w:pPr>
        <w:jc w:val="both"/>
        <w:ind w:left="-1120" w:firstLine="1198"/>
        <w:spacing w:after="0" w:line="258" w:lineRule="auto"/>
        <w:tabs>
          <w:tab w:leader="none" w:pos="906" w:val="left"/>
        </w:tabs>
        <w:numPr>
          <w:ilvl w:val="0"/>
          <w:numId w:val="49"/>
        </w:numPr>
        <w:rPr>
          <w:rFonts w:ascii="Arial" w:cs="Arial" w:eastAsia="Arial" w:hAnsi="Arial"/>
          <w:sz w:val="21"/>
          <w:szCs w:val="21"/>
          <w:color w:val="auto"/>
        </w:rPr>
      </w:pPr>
      <w:r>
        <w:rPr>
          <w:rFonts w:ascii="Arial" w:cs="Arial" w:eastAsia="Arial" w:hAnsi="Arial"/>
          <w:sz w:val="21"/>
          <w:szCs w:val="21"/>
          <w:color w:val="auto"/>
        </w:rPr>
        <w:t>All amounts payable under this Agreement shall be subject to deduction for all federal, state and local taxes as may be required to be withheld pursuant to any applicable law or regulation and any other required deductions. The parties intend that all payments made under this Agreement comply with, or will be exempt from, the requirements of Section 409A of the Internal Revenue Code of 1986, as amended, the regulations and other guidance there under and any state law of similar effect (collectively “Section 409A”) so that none of the payments or benefits will be subject to the adverse tax penalties imposed under Section 409A, and any ambiguities herein will be interpreted to so comply or be exempt. Each payment and benefit payable under this Agreement is intended to constitute separate payments for purposes of Section 1.409A-2(b)(2) of the Treasury Regulations. Company shall have no liability to the Executive or to any other person if the payments and benefits provided in this Agreement that are intended to be exempt from or compliant with Section 409A are not so exempt or compliant. In no event will the Company be responsible for or reimburse Executive for any taxes or other penalties that may be imposed on Executive as a result of Section 409A.</w:t>
      </w:r>
    </w:p>
    <w:p>
      <w:pPr>
        <w:spacing w:after="0" w:line="183" w:lineRule="exact"/>
        <w:rPr>
          <w:rFonts w:ascii="Arial" w:cs="Arial" w:eastAsia="Arial" w:hAnsi="Arial"/>
          <w:sz w:val="21"/>
          <w:szCs w:val="21"/>
          <w:color w:val="auto"/>
        </w:rPr>
      </w:pPr>
    </w:p>
    <w:p>
      <w:pPr>
        <w:ind w:left="-1120" w:right="20" w:firstLine="1198"/>
        <w:spacing w:after="0" w:line="299" w:lineRule="auto"/>
        <w:tabs>
          <w:tab w:leader="none" w:pos="9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Agreement amicably resolves any issues between the parties and they agree that this Agreement shall neither be interpreted nor construed as an admission of any wrongdoing or liability on the part of the Executive or the Company.</w:t>
      </w:r>
    </w:p>
    <w:p>
      <w:pPr>
        <w:jc w:val="both"/>
        <w:ind w:left="-1120" w:firstLine="1198"/>
        <w:spacing w:after="0" w:line="247" w:lineRule="auto"/>
        <w:tabs>
          <w:tab w:leader="none" w:pos="101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New York, without regard to principles of conflicts of laws. The Executive hereby submits to and acknowledges and recognizes the jurisdiction of the courts of the State of New York, or, if appropriate, a federal court located in New York (which courts, for purposes of this Agreement, are the only courts of competent jurisdiction) over any suit, action or other proceeding arising out of, under, or in connection with this Agreement or the subject matter hereof.</w:t>
      </w:r>
    </w:p>
    <w:p>
      <w:pPr>
        <w:sectPr>
          <w:pgSz w:w="11900" w:h="16838" w:orient="portrait"/>
          <w:cols w:equalWidth="0" w:num="1">
            <w:col w:w="10220"/>
          </w:cols>
          <w:pgMar w:left="1440" w:top="375" w:right="239" w:bottom="0" w:gutter="0" w:footer="0" w:header="0"/>
        </w:sectPr>
      </w:pPr>
    </w:p>
    <w:bookmarkStart w:id="57" w:name="page58"/>
    <w:bookmarkEnd w:id="57"/>
    <w:p>
      <w:pPr>
        <w:jc w:val="both"/>
        <w:ind w:left="-1120" w:firstLine="1198"/>
        <w:spacing w:after="0" w:line="297" w:lineRule="auto"/>
        <w:tabs>
          <w:tab w:leader="none" w:pos="1006"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ectPr>
          <w:pgSz w:w="11900" w:h="16838" w:orient="portrait"/>
          <w:cols w:equalWidth="0" w:num="1">
            <w:col w:w="10220"/>
          </w:cols>
          <w:pgMar w:left="1440" w:top="132" w:right="239" w:bottom="1440" w:gutter="0" w:footer="0" w:header="0"/>
        </w:sectPr>
      </w:pPr>
    </w:p>
    <w:bookmarkStart w:id="58" w:name="page59"/>
    <w:bookmarkEnd w:id="58"/>
    <w:p>
      <w:pPr>
        <w:ind w:left="2200" w:hanging="922"/>
        <w:spacing w:after="0"/>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Executive understands and agrees that he may have, and has had, at</w:t>
      </w:r>
    </w:p>
    <w:p>
      <w:pPr>
        <w:spacing w:after="0" w:line="22" w:lineRule="exact"/>
        <w:rPr>
          <w:sz w:val="20"/>
          <w:szCs w:val="20"/>
          <w:color w:val="auto"/>
        </w:rPr>
      </w:pPr>
    </w:p>
    <w:p>
      <w:pPr>
        <w:jc w:val="both"/>
        <w:ind w:left="80" w:hanging="26"/>
        <w:spacing w:after="0" w:line="264" w:lineRule="auto"/>
        <w:rPr>
          <w:sz w:val="20"/>
          <w:szCs w:val="20"/>
          <w:color w:val="auto"/>
        </w:rPr>
      </w:pPr>
      <w:r>
        <w:rPr>
          <w:rFonts w:ascii="Arial" w:cs="Arial" w:eastAsia="Arial" w:hAnsi="Arial"/>
          <w:sz w:val="21"/>
          <w:szCs w:val="21"/>
          <w:color w:val="auto"/>
        </w:rPr>
        <w:t>least twenty-one (21) calendar days from the date hereof to accept this Agreement. The Executive acknowledges that he was advised by the Company to consult with an attorney of his own choosing concerning the waivers contained in and the terms of this Agreement, and that the waivers he has made and the terms he has agreed to herein are knowing, conscious and with full appreciation that he is forever foreclosed from pursuing any of the rights so waived.</w:t>
      </w:r>
    </w:p>
    <w:p>
      <w:pPr>
        <w:spacing w:after="0" w:line="176" w:lineRule="exact"/>
        <w:rPr>
          <w:sz w:val="20"/>
          <w:szCs w:val="20"/>
          <w:color w:val="auto"/>
        </w:rPr>
      </w:pPr>
    </w:p>
    <w:p>
      <w:pPr>
        <w:jc w:val="both"/>
        <w:ind w:left="80" w:firstLine="1198"/>
        <w:spacing w:after="0" w:line="248" w:lineRule="auto"/>
        <w:tabs>
          <w:tab w:leader="none" w:pos="221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This Agreement shall be binding on and shall inure to the benefit of the Executive's heirs, executors, administrators, representatives and assigns and the Company's successors in interest and assigns. The Executive may not assign any of his rights or duties hereunder, except with the written consent of the Company. The Executive covenants and represents that he has not assigned or attempted to assign any rights or claims he may have against the Company at any time prior to signing this Agreement.</w:t>
      </w:r>
    </w:p>
    <w:p>
      <w:pPr>
        <w:spacing w:after="0" w:line="192" w:lineRule="exact"/>
        <w:rPr>
          <w:rFonts w:ascii="Arial" w:cs="Arial" w:eastAsia="Arial" w:hAnsi="Arial"/>
          <w:sz w:val="22"/>
          <w:szCs w:val="22"/>
          <w:color w:val="auto"/>
        </w:rPr>
      </w:pPr>
    </w:p>
    <w:p>
      <w:pPr>
        <w:jc w:val="both"/>
        <w:ind w:firstLine="1426"/>
        <w:spacing w:after="0" w:line="284" w:lineRule="auto"/>
        <w:tabs>
          <w:tab w:leader="none" w:pos="1985"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Company will indemnify the Executive to the fullest extent permitted by the laws of Delaware in effect at that time, the Indemnification Agreement previously executed between the Executive and the Company, or the certificate of incorporation and by-laws of the Company, whichever affords the greater protection to the Executive.</w:t>
      </w:r>
    </w:p>
    <w:p>
      <w:pPr>
        <w:spacing w:after="0" w:line="223" w:lineRule="exact"/>
        <w:rPr>
          <w:sz w:val="20"/>
          <w:szCs w:val="20"/>
          <w:color w:val="auto"/>
        </w:rPr>
      </w:pPr>
    </w:p>
    <w:p>
      <w:pPr>
        <w:jc w:val="both"/>
        <w:ind w:firstLine="1426"/>
        <w:spacing w:after="0" w:line="297" w:lineRule="auto"/>
        <w:tabs>
          <w:tab w:leader="none" w:pos="201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parties agree that this Agreement contains the entire agreement between the parties and supersedes and cancels any and all prior agreement or understanding on the subjects covered herein, and no agreements, representations or statements of either party not contained in this Agreement shall bind that party. Notwithstanding the foregoing, the Executive acknowledges that nothing herein supersedes any pre-existing duties of confidentiality, or the assignment of any invention or intellectual property or proprietary rights to the Company. This Agreement can be modified only in writing signed by both parties.</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 WITNESS WHEREOF, the parties have executed this Agreement as of the Effective Date.</w:t>
      </w:r>
    </w:p>
    <w:p>
      <w:pPr>
        <w:spacing w:after="0" w:line="229"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22"/>
          <w:szCs w:val="22"/>
          <w:color w:val="auto"/>
        </w:rPr>
        <w:t>Executive</w:t>
        <w:tab/>
        <w:t>LivePerson, Inc.</w:t>
      </w:r>
    </w:p>
    <w:p>
      <w:pPr>
        <w:spacing w:after="0" w:line="328"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Eran Vanounou</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Daryl J. Carlough</w:t>
      </w:r>
    </w:p>
    <w:p>
      <w:pPr>
        <w:spacing w:after="0" w:line="22" w:lineRule="exact"/>
        <w:rPr>
          <w:sz w:val="20"/>
          <w:szCs w:val="20"/>
          <w:color w:val="auto"/>
        </w:rPr>
      </w:pPr>
    </w:p>
    <w:p>
      <w:pPr>
        <w:ind w:left="1200"/>
        <w:spacing w:after="0"/>
        <w:tabs>
          <w:tab w:leader="none" w:pos="3420" w:val="left"/>
        </w:tabs>
        <w:rPr>
          <w:sz w:val="20"/>
          <w:szCs w:val="20"/>
          <w:color w:val="auto"/>
        </w:rPr>
      </w:pPr>
      <w:r>
        <w:rPr>
          <w:rFonts w:ascii="Arial" w:cs="Arial" w:eastAsia="Arial" w:hAnsi="Arial"/>
          <w:sz w:val="22"/>
          <w:szCs w:val="22"/>
          <w:color w:val="auto"/>
        </w:rPr>
        <w:t>Name: Eran Vanounou</w:t>
      </w:r>
      <w:r>
        <w:rPr>
          <w:sz w:val="20"/>
          <w:szCs w:val="20"/>
          <w:color w:val="auto"/>
        </w:rPr>
        <w:tab/>
      </w:r>
      <w:r>
        <w:rPr>
          <w:rFonts w:ascii="Arial" w:cs="Arial" w:eastAsia="Arial" w:hAnsi="Arial"/>
          <w:sz w:val="19"/>
          <w:szCs w:val="19"/>
          <w:color w:val="auto"/>
        </w:rPr>
        <w:t>Name: Daryl J. Carlough</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SVP, Global Controller</w:t>
      </w:r>
    </w:p>
    <w:p>
      <w:pPr>
        <w:sectPr>
          <w:pgSz w:w="11900" w:h="16838" w:orient="portrait"/>
          <w:cols w:equalWidth="0" w:num="1">
            <w:col w:w="11420"/>
          </w:cols>
          <w:pgMar w:left="240" w:top="375"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22"/>
          <w:szCs w:val="22"/>
          <w:u w:val="single" w:color="auto"/>
          <w:color w:val="auto"/>
        </w:rPr>
        <w:t>SCHEDULE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GENERAL RELEASE OF ALL CLAIMS</w:t>
      </w:r>
    </w:p>
    <w:p>
      <w:pPr>
        <w:spacing w:after="0" w:line="200" w:lineRule="exact"/>
        <w:rPr>
          <w:sz w:val="20"/>
          <w:szCs w:val="20"/>
          <w:color w:val="auto"/>
        </w:rPr>
      </w:pPr>
    </w:p>
    <w:p>
      <w:pPr>
        <w:spacing w:after="0" w:line="209" w:lineRule="exact"/>
        <w:rPr>
          <w:sz w:val="20"/>
          <w:szCs w:val="20"/>
          <w:color w:val="auto"/>
        </w:rPr>
      </w:pPr>
    </w:p>
    <w:p>
      <w:pPr>
        <w:jc w:val="both"/>
        <w:ind w:firstLine="1601"/>
        <w:spacing w:after="0" w:line="400" w:lineRule="auto"/>
        <w:rPr>
          <w:sz w:val="20"/>
          <w:szCs w:val="20"/>
          <w:color w:val="auto"/>
        </w:rPr>
      </w:pPr>
      <w:r>
        <w:rPr>
          <w:rFonts w:ascii="Arial" w:cs="Arial" w:eastAsia="Arial" w:hAnsi="Arial"/>
          <w:sz w:val="19"/>
          <w:szCs w:val="19"/>
          <w:color w:val="auto"/>
        </w:rPr>
        <w:t>Pursuant to the Separation Agreement and General Release entered into by and between LivePerson, Inc. (the “Company”) and Eran Vanounou (the “Executive”), dated effective as of _________________ (the “Separation Agreement”),</w:t>
      </w:r>
    </w:p>
    <w:p>
      <w:pPr>
        <w:spacing w:after="0" w:line="1" w:lineRule="exact"/>
        <w:rPr>
          <w:sz w:val="20"/>
          <w:szCs w:val="20"/>
          <w:color w:val="auto"/>
        </w:rPr>
      </w:pPr>
    </w:p>
    <w:p>
      <w:pPr>
        <w:jc w:val="both"/>
        <w:spacing w:after="0" w:line="405" w:lineRule="auto"/>
        <w:rPr>
          <w:sz w:val="20"/>
          <w:szCs w:val="20"/>
          <w:color w:val="auto"/>
        </w:rPr>
      </w:pPr>
      <w:r>
        <w:rPr>
          <w:rFonts w:ascii="Arial" w:cs="Arial" w:eastAsia="Arial" w:hAnsi="Arial"/>
          <w:sz w:val="19"/>
          <w:szCs w:val="19"/>
          <w:color w:val="auto"/>
        </w:rPr>
        <w:t>Executive hereby enters into this General Release of All Claims (the “Release”). In consideration of the separation payments and benefits set forth in Paragraph 3 of the Separation Agreement and other good and valuable consideration, the receipt and sufficiency of which is hereby acknowledged, the Executive hereby forever unconditionally and irrevocably releases and discharges the Company, and each and all of its direct and indirect affiliates, parents, subsidiaries (wholly-owned or not), members, branches, divisions, business units or groups, agencies, predecessors, successors and assigns, any employee benefit plans established or maintained by any of the foregoing entities and each and all of their current and former officers, directors, employees, trustees, plan administrators, agents, attorneys, representatives, partners, advisors and shareholders (collectively and individually, the “Released Parties”), from any and all claims, demands, causes of action, complaints, agreements, promises (express or implied), contracts, undertakings, covenants, guarantees grievances, liabilities, damages, rights, obligations, expenses, debts and demands whatsoever, in law or equity, known or unknown, whether present or future, whether known or unknown, and of whatsoever kind or nature that the Executive, his heirs, executors, administrators, representatives and assigns ever had, now have or hereafter can, shall or may have, for, upon, or by reason of any alleged or actual matter, omission, act, cause or thing from the beginning of time until the date he signs this Release, including, but not limited to, those arising out of his employment or the termination thereof; provided, however, that the foregoing shall not release Company from its continuing obligations set forth in the Separation Agreement.</w:t>
      </w:r>
    </w:p>
    <w:p>
      <w:pPr>
        <w:spacing w:after="0" w:line="173" w:lineRule="exact"/>
        <w:rPr>
          <w:sz w:val="20"/>
          <w:szCs w:val="20"/>
          <w:color w:val="auto"/>
        </w:rPr>
      </w:pPr>
    </w:p>
    <w:p>
      <w:pPr>
        <w:jc w:val="both"/>
        <w:ind w:firstLine="1297"/>
        <w:spacing w:after="0" w:line="431" w:lineRule="auto"/>
        <w:rPr>
          <w:sz w:val="20"/>
          <w:szCs w:val="20"/>
          <w:color w:val="auto"/>
        </w:rPr>
      </w:pPr>
      <w:r>
        <w:rPr>
          <w:rFonts w:ascii="Arial" w:cs="Arial" w:eastAsia="Arial" w:hAnsi="Arial"/>
          <w:sz w:val="19"/>
          <w:szCs w:val="19"/>
          <w:color w:val="auto"/>
        </w:rPr>
        <w:t>The Executive understands and acknowledges that by signing this Release he is waiving and releasing any and all claims he may have concerning the terms and conditions of his employment and the termination of his employment including those prohibiting discrimination on the basis of age, sex, race, color, disability, religion, creed, national origin, ancestry, sexual</w:t>
      </w:r>
    </w:p>
    <w:p>
      <w:pPr>
        <w:sectPr>
          <w:pgSz w:w="11900" w:h="16838" w:orient="portrait"/>
          <w:cols w:equalWidth="0" w:num="1">
            <w:col w:w="11420"/>
          </w:cols>
          <w:pgMar w:left="240" w:top="780" w:right="239" w:bottom="1440" w:gutter="0" w:footer="0" w:header="0"/>
        </w:sectPr>
      </w:pPr>
    </w:p>
    <w:bookmarkStart w:id="60" w:name="page61"/>
    <w:bookmarkEnd w:id="60"/>
    <w:p>
      <w:pPr>
        <w:jc w:val="both"/>
        <w:spacing w:after="0" w:line="400" w:lineRule="auto"/>
        <w:rPr>
          <w:sz w:val="20"/>
          <w:szCs w:val="20"/>
          <w:color w:val="auto"/>
        </w:rPr>
      </w:pPr>
      <w:r>
        <w:rPr>
          <w:rFonts w:ascii="Arial" w:cs="Arial" w:eastAsia="Arial" w:hAnsi="Arial"/>
          <w:sz w:val="19"/>
          <w:szCs w:val="19"/>
          <w:color w:val="auto"/>
        </w:rPr>
        <w:t>orientation, gender expression, gender identity, handicap, marital status, citizenship or any other protected factor or characteristic, prohibiting discrimination for requesting or taking a family or medical leave, prohibiting discrimination with regard to benefits or any other terms and conditions of employment, or prohibiting retaliation in connection with any complaint or claim of alleged discrimination or harassment and that he intends to do so. As such, this release includes, but is not limited to, any claims arising under Title VII of the 1964 Civil Rights Act, 42 U. S. C. § 2000e et seq.; the Age Discrimination in Employment Act, 29 U. S. C. § 621, et seq.; the Older Workers’ Benefit Protection Act, 29 U.S.C. §626(f), et seq.; the Americans with Disabilities Act, 42 U. S. C.</w:t>
      </w:r>
    </w:p>
    <w:p>
      <w:pPr>
        <w:spacing w:after="0" w:line="3" w:lineRule="exact"/>
        <w:rPr>
          <w:sz w:val="20"/>
          <w:szCs w:val="20"/>
          <w:color w:val="auto"/>
        </w:rPr>
      </w:pPr>
    </w:p>
    <w:p>
      <w:pPr>
        <w:jc w:val="both"/>
        <w:ind w:firstLine="8"/>
        <w:spacing w:after="0" w:line="407" w:lineRule="auto"/>
        <w:tabs>
          <w:tab w:leader="none" w:pos="176" w:val="left"/>
        </w:tabs>
        <w:numPr>
          <w:ilvl w:val="0"/>
          <w:numId w:val="54"/>
        </w:numPr>
        <w:rPr>
          <w:rFonts w:ascii="Arial" w:cs="Arial" w:eastAsia="Arial" w:hAnsi="Arial"/>
          <w:sz w:val="19"/>
          <w:szCs w:val="19"/>
          <w:color w:val="auto"/>
        </w:rPr>
      </w:pPr>
      <w:r>
        <w:rPr>
          <w:rFonts w:ascii="Arial" w:cs="Arial" w:eastAsia="Arial" w:hAnsi="Arial"/>
          <w:sz w:val="19"/>
          <w:szCs w:val="19"/>
          <w:color w:val="auto"/>
        </w:rPr>
        <w:t>12101 et seq.; the Employee Retirement and Income Security Act, 29 U. S. C. § 1001 et seq.; the Fair Labor Standards Act, as amended, 29 U.S.C. § 201 et seq.; the Family Medical Leave Act, 29 U.S.C. §§ 2601 et seq.; the New York State Human Rights Law, N.Y. Exec. Law § 290 et seq.; New York Equal Rights Law, N.Y. Civ. Rights Law § 40-c et seq.; New York Whistleblower Protection Law, N.Y. Lab. Law § 740 et seq.; New York Family Leave Law, N.Y. Lab. Law § 201-c; New York Equal Pay Law, N.Y. Lab. Law § 194; N.Y. Lab. Law § 215; the New York City Human Rights Law, Administrative Code of the City of New York, Section 8-101 et seq.; and any other federal or state constitutions, federal, state or local statutes, or any contract, quasi contract, common law or tort claims, whether known or unknown, suspected or unsuspected, concealed or hidden, or developed or undeveloped, up through the date of his execution of this Release. The Executive further agrees that he will not institute or authorize any other party, governmental or otherwise, to institute any administrative or legal proceeding seeking compensation or damages on his behalf against the Released Parties relating to or arising out of any aspect of his employment or termination.</w:t>
      </w:r>
    </w:p>
    <w:p>
      <w:pPr>
        <w:spacing w:after="0" w:line="171" w:lineRule="exact"/>
        <w:rPr>
          <w:sz w:val="20"/>
          <w:szCs w:val="20"/>
          <w:color w:val="auto"/>
        </w:rPr>
      </w:pPr>
    </w:p>
    <w:p>
      <w:pPr>
        <w:jc w:val="both"/>
        <w:ind w:firstLine="1297"/>
        <w:spacing w:after="0" w:line="410" w:lineRule="auto"/>
        <w:rPr>
          <w:sz w:val="20"/>
          <w:szCs w:val="20"/>
          <w:color w:val="auto"/>
        </w:rPr>
      </w:pPr>
      <w:r>
        <w:rPr>
          <w:rFonts w:ascii="Arial" w:cs="Arial" w:eastAsia="Arial" w:hAnsi="Arial"/>
          <w:sz w:val="19"/>
          <w:szCs w:val="19"/>
          <w:color w:val="auto"/>
        </w:rPr>
        <w:t xml:space="preserve">The Executive acknowledges and agrees that, as of the date of this Release, Executive has been paid all compensation (including without limitation any accrued but unused vacation or paid time off) for all of Executive’s service with the Company </w:t>
      </w:r>
      <w:r>
        <w:rPr>
          <w:rFonts w:ascii="Arial" w:cs="Arial" w:eastAsia="Arial" w:hAnsi="Arial"/>
          <w:sz w:val="19"/>
          <w:szCs w:val="19"/>
          <w:b w:val="1"/>
          <w:bCs w:val="1"/>
          <w:color w:val="auto"/>
        </w:rPr>
        <w:t>except for compensation owed to Executive pursuant to the provisions of the Separation Agreement.</w:t>
      </w:r>
      <w:r>
        <w:rPr>
          <w:rFonts w:ascii="Arial" w:cs="Arial" w:eastAsia="Arial" w:hAnsi="Arial"/>
          <w:sz w:val="19"/>
          <w:szCs w:val="19"/>
          <w:color w:val="auto"/>
        </w:rPr>
        <w:t xml:space="preserve"> The Executive represents that as of the date hereof he was not denied a request for leave, or retaliated against for taking leave under the Family and Medical Leave Act, 29 U.S.C. §§2601 et seq., at any time during his employment with the Company. Executive and the Company also hereby agree that nothing contained in this Release shall constitute or be treated as an admission of liability or wrongdoing or of any violation of law by the Company or the Executive.</w:t>
      </w:r>
    </w:p>
    <w:p>
      <w:pPr>
        <w:sectPr>
          <w:pgSz w:w="11900" w:h="16838" w:orient="portrait"/>
          <w:cols w:equalWidth="0" w:num="1">
            <w:col w:w="11420"/>
          </w:cols>
          <w:pgMar w:left="240" w:top="429" w:right="239" w:bottom="1440" w:gutter="0" w:footer="0" w:header="0"/>
        </w:sectPr>
      </w:pPr>
    </w:p>
    <w:bookmarkStart w:id="61" w:name="page62"/>
    <w:bookmarkEnd w:id="61"/>
    <w:p>
      <w:pPr>
        <w:jc w:val="both"/>
        <w:ind w:firstLine="1297"/>
        <w:spacing w:after="0" w:line="415" w:lineRule="auto"/>
        <w:rPr>
          <w:sz w:val="20"/>
          <w:szCs w:val="20"/>
          <w:color w:val="auto"/>
        </w:rPr>
      </w:pPr>
      <w:r>
        <w:rPr>
          <w:rFonts w:ascii="Arial" w:cs="Arial" w:eastAsia="Arial" w:hAnsi="Arial"/>
          <w:sz w:val="19"/>
          <w:szCs w:val="19"/>
          <w:color w:val="auto"/>
        </w:rPr>
        <w:t>This Release constitutes the entire agreement between the Executive and the Company with regard to the subject matter of this Release. This Release supersedes any other agreements, representations or understandings, whether oral or written and whether express or implied, which relate to the subject matter of this Release other than the continuing obligations of Executive and Company that are set forth in the Separation Agreement. The Executive understands and agrees that this Release may be modified only in a written document signed by the Executive and a duly authorized officer of the Company.</w:t>
      </w:r>
    </w:p>
    <w:p>
      <w:pPr>
        <w:spacing w:after="0" w:line="42" w:lineRule="exact"/>
        <w:rPr>
          <w:sz w:val="20"/>
          <w:szCs w:val="20"/>
          <w:color w:val="auto"/>
        </w:rPr>
      </w:pPr>
    </w:p>
    <w:p>
      <w:pPr>
        <w:jc w:val="both"/>
        <w:ind w:left="20" w:firstLine="648"/>
        <w:spacing w:after="0" w:line="351" w:lineRule="auto"/>
        <w:rPr>
          <w:sz w:val="20"/>
          <w:szCs w:val="20"/>
          <w:color w:val="auto"/>
        </w:rPr>
      </w:pPr>
      <w:r>
        <w:rPr>
          <w:rFonts w:ascii="Arial" w:cs="Arial" w:eastAsia="Arial" w:hAnsi="Arial"/>
          <w:sz w:val="22"/>
          <w:szCs w:val="22"/>
          <w:color w:val="auto"/>
        </w:rPr>
        <w:t>This Release shall be governed by and construed in accordance with the laws of the State of New York, without regard to principles of conflicts of laws. The Executive hereby submits to and acknowledges and recognizes the jurisdiction of the courts of the State of New York, or, if appropriate, a federal court located in New York (which courts, for purposes of this Release, are the only courts of competent jurisdiction) over any suit, action or other proceeding arising out of, under, or in connection with this Release or the subject matter hereof.</w:t>
      </w:r>
    </w:p>
    <w:p>
      <w:pPr>
        <w:spacing w:after="0" w:line="81" w:lineRule="exact"/>
        <w:rPr>
          <w:sz w:val="20"/>
          <w:szCs w:val="20"/>
          <w:color w:val="auto"/>
        </w:rPr>
      </w:pPr>
    </w:p>
    <w:p>
      <w:pPr>
        <w:jc w:val="both"/>
        <w:ind w:left="20" w:firstLine="1945"/>
        <w:spacing w:after="0" w:line="415" w:lineRule="auto"/>
        <w:rPr>
          <w:sz w:val="20"/>
          <w:szCs w:val="20"/>
          <w:color w:val="auto"/>
        </w:rPr>
      </w:pPr>
      <w:r>
        <w:rPr>
          <w:rFonts w:ascii="Arial" w:cs="Arial" w:eastAsia="Arial" w:hAnsi="Arial"/>
          <w:sz w:val="19"/>
          <w:szCs w:val="19"/>
          <w:color w:val="auto"/>
        </w:rPr>
        <w:t>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64" w:lineRule="exact"/>
        <w:rPr>
          <w:sz w:val="20"/>
          <w:szCs w:val="20"/>
          <w:color w:val="auto"/>
        </w:rPr>
      </w:pPr>
    </w:p>
    <w:p>
      <w:pPr>
        <w:jc w:val="both"/>
        <w:ind w:firstLine="1297"/>
        <w:spacing w:after="0" w:line="409" w:lineRule="auto"/>
        <w:rPr>
          <w:sz w:val="20"/>
          <w:szCs w:val="20"/>
          <w:color w:val="auto"/>
        </w:rPr>
      </w:pPr>
      <w:r>
        <w:rPr>
          <w:rFonts w:ascii="Arial" w:cs="Arial" w:eastAsia="Arial" w:hAnsi="Arial"/>
          <w:sz w:val="19"/>
          <w:szCs w:val="19"/>
          <w:color w:val="auto"/>
        </w:rPr>
        <w:t>By signing below, the Executive acknowledges that this Release affects substantial rights and that the Executive has been advised to consult with an attorney prior to execution of this Release. The Executive further understands and acknowledges that the Executive has up to twenty-one (21) days to review this Release and to discuss it with an attorney of the Executive’s own choosing, at the Executive’s own expense, whether or not the Executive wishes to sign this Release. Furthermore, the Executive understands and acknowledges that the Executive has seven (7) days after the Executive signs this Release during which time the Executive may revoke this Release. If the Executive wishes to revoke this Release, the Executive may do so by delivering a letter of revocation to the Company’s Human Resources Department with a copy to the Company’s General Counsel, by 5 p.m. EST on the seventh (7) days after the Executive signs this Release.</w:t>
      </w:r>
    </w:p>
    <w:p>
      <w:pPr>
        <w:sectPr>
          <w:pgSz w:w="11900" w:h="16838" w:orient="portrait"/>
          <w:cols w:equalWidth="0" w:num="1">
            <w:col w:w="11420"/>
          </w:cols>
          <w:pgMar w:left="240" w:top="429" w:right="239" w:bottom="1440" w:gutter="0" w:footer="0" w:header="0"/>
        </w:sectPr>
      </w:pPr>
    </w:p>
    <w:bookmarkStart w:id="62" w:name="page63"/>
    <w:bookmarkEnd w:id="62"/>
    <w:p>
      <w:pPr>
        <w:jc w:val="both"/>
        <w:ind w:firstLine="1297"/>
        <w:spacing w:after="0" w:line="366" w:lineRule="auto"/>
        <w:rPr>
          <w:sz w:val="20"/>
          <w:szCs w:val="20"/>
          <w:color w:val="auto"/>
        </w:rPr>
      </w:pPr>
      <w:r>
        <w:rPr>
          <w:rFonts w:ascii="Arial" w:cs="Arial" w:eastAsia="Arial" w:hAnsi="Arial"/>
          <w:sz w:val="22"/>
          <w:szCs w:val="22"/>
          <w:color w:val="auto"/>
        </w:rPr>
        <w:t>Because of the revocation period, the Executive understands that this Release will not become effective or enforceable until the eighth (8th) day after the date the Executive signs this Release.</w:t>
      </w:r>
    </w:p>
    <w:p>
      <w:pPr>
        <w:spacing w:after="0" w:line="187" w:lineRule="exact"/>
        <w:rPr>
          <w:sz w:val="20"/>
          <w:szCs w:val="20"/>
          <w:color w:val="auto"/>
        </w:rPr>
      </w:pPr>
    </w:p>
    <w:p>
      <w:pPr>
        <w:jc w:val="both"/>
        <w:ind w:firstLine="1297"/>
        <w:spacing w:after="0" w:line="366" w:lineRule="auto"/>
        <w:rPr>
          <w:sz w:val="20"/>
          <w:szCs w:val="20"/>
          <w:color w:val="auto"/>
        </w:rPr>
      </w:pPr>
      <w:r>
        <w:rPr>
          <w:rFonts w:ascii="Arial" w:cs="Arial" w:eastAsia="Arial" w:hAnsi="Arial"/>
          <w:sz w:val="22"/>
          <w:szCs w:val="22"/>
          <w:color w:val="auto"/>
        </w:rPr>
        <w:t>To accept this Release, the Executive must sign and date this Release and return it to the Company’s Human Resources Department with a copy to the Company’s General Counsel.</w:t>
      </w:r>
    </w:p>
    <w:p>
      <w:pPr>
        <w:spacing w:after="0" w:line="187" w:lineRule="exact"/>
        <w:rPr>
          <w:sz w:val="20"/>
          <w:szCs w:val="20"/>
          <w:color w:val="auto"/>
        </w:rPr>
      </w:pPr>
    </w:p>
    <w:p>
      <w:pPr>
        <w:jc w:val="both"/>
        <w:ind w:firstLine="1297"/>
        <w:spacing w:after="0" w:line="352" w:lineRule="auto"/>
        <w:rPr>
          <w:sz w:val="20"/>
          <w:szCs w:val="20"/>
          <w:color w:val="auto"/>
        </w:rPr>
      </w:pPr>
      <w:r>
        <w:rPr>
          <w:rFonts w:ascii="Arial" w:cs="Arial" w:eastAsia="Arial" w:hAnsi="Arial"/>
          <w:sz w:val="22"/>
          <w:szCs w:val="22"/>
          <w:color w:val="auto"/>
        </w:rPr>
        <w:t>The Executive’s agreement with the terms of this Release is signified by the Executive’s signature below. Furthermore, the Executive acknowledges that the Executive has read and understands this Release and that the Executive signs this Release of all claims voluntarily, with full appreciation that at no time in the future may the Executive pursue any of the rights that the Executive has waived in this Release.</w:t>
      </w:r>
    </w:p>
    <w:p>
      <w:pPr>
        <w:spacing w:after="0" w:line="380" w:lineRule="exact"/>
        <w:rPr>
          <w:sz w:val="20"/>
          <w:szCs w:val="20"/>
          <w:color w:val="auto"/>
        </w:rPr>
      </w:pPr>
    </w:p>
    <w:p>
      <w:pPr>
        <w:spacing w:after="0"/>
        <w:tabs>
          <w:tab w:leader="none" w:pos="4120" w:val="left"/>
        </w:tabs>
        <w:rPr>
          <w:sz w:val="20"/>
          <w:szCs w:val="20"/>
          <w:color w:val="auto"/>
        </w:rPr>
      </w:pPr>
      <w:r>
        <w:rPr>
          <w:rFonts w:ascii="Arial" w:cs="Arial" w:eastAsia="Arial" w:hAnsi="Arial"/>
          <w:sz w:val="22"/>
          <w:szCs w:val="22"/>
          <w:color w:val="auto"/>
        </w:rPr>
        <w:t>Date*: ______________________________</w:t>
      </w:r>
      <w:r>
        <w:rPr>
          <w:sz w:val="20"/>
          <w:szCs w:val="20"/>
          <w:color w:val="auto"/>
        </w:rPr>
        <w:tab/>
      </w:r>
      <w:r>
        <w:rPr>
          <w:rFonts w:ascii="Arial" w:cs="Arial" w:eastAsia="Arial" w:hAnsi="Arial"/>
          <w:sz w:val="19"/>
          <w:szCs w:val="19"/>
          <w:color w:val="auto"/>
        </w:rPr>
        <w:t>By: __________________________________</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 that this Release must also be executed on or after the Separation Date.</w:t>
      </w:r>
    </w:p>
    <w:p>
      <w:pPr>
        <w:sectPr>
          <w:pgSz w:w="11900" w:h="16838" w:orient="portrait"/>
          <w:cols w:equalWidth="0" w:num="1">
            <w:col w:w="11420"/>
          </w:cols>
          <w:pgMar w:left="240" w:top="429" w:right="2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22"/>
          <w:szCs w:val="22"/>
          <w:u w:val="single" w:color="auto"/>
          <w:color w:val="auto"/>
        </w:rPr>
        <w:t>GENERAL RELEASE OF ALL CLAIMS</w:t>
      </w:r>
    </w:p>
    <w:p>
      <w:pPr>
        <w:spacing w:after="0" w:line="200" w:lineRule="exact"/>
        <w:rPr>
          <w:sz w:val="20"/>
          <w:szCs w:val="20"/>
          <w:color w:val="auto"/>
        </w:rPr>
      </w:pPr>
    </w:p>
    <w:p>
      <w:pPr>
        <w:spacing w:after="0" w:line="209" w:lineRule="exact"/>
        <w:rPr>
          <w:sz w:val="20"/>
          <w:szCs w:val="20"/>
          <w:color w:val="auto"/>
        </w:rPr>
      </w:pPr>
    </w:p>
    <w:p>
      <w:pPr>
        <w:jc w:val="both"/>
        <w:ind w:firstLine="1601"/>
        <w:spacing w:after="0" w:line="404" w:lineRule="auto"/>
        <w:rPr>
          <w:sz w:val="20"/>
          <w:szCs w:val="20"/>
          <w:color w:val="auto"/>
        </w:rPr>
      </w:pPr>
      <w:r>
        <w:rPr>
          <w:rFonts w:ascii="Arial" w:cs="Arial" w:eastAsia="Arial" w:hAnsi="Arial"/>
          <w:sz w:val="19"/>
          <w:szCs w:val="19"/>
          <w:color w:val="auto"/>
        </w:rPr>
        <w:t>Pursuant to the Separation Agreement and General Release entered into by and between LivePerson, Inc. (the “Company”) and Eran Vanounou (the “Executive”), dated effective as of April 30, 2018 (the “Separation Agreement”), Executive hereby enters into this General Release of All Claims (the “Release”). In consideration of the separation payments and benefits set forth in Paragraph 3 of the Separation Agreement and other good and valuable consideration, the receipt and sufficiency of which is hereby acknowledged, the Executive hereby forever unconditionally and irrevocably releases and discharges the Company, and each and all of its direct and indirect affiliates, parents, subsidiaries (wholly-owned or not), members, branches, divisions, business units or groups, agencies, predecessors, successors and assigns, any employee benefit plans established or maintained by any of the foregoing entities and each and all of their current and former officers, directors, employees, trustees, plan administrators, agents, attorneys, representatives, partners, advisors and shareholders (collectively and individually, the “Released Parties”), from any and all claims, demands, causes of action, complaints, agreements, promises (express or implied), contracts, undertakings, covenants, guarantees grievances, liabilities, damages, rights, obligations, expenses, debts and demands whatsoever, in law or equity, known or unknown, whether present or future, whether known or unknown, and of whatsoever kind or nature that the Executive, his heirs, executors, administrators, representatives and assigns ever had, now have or hereafter can, shall or may have, for, upon, or by reason of any alleged or actual matter, omission, act, cause or thing from the beginning of time until the date he signs this Release, including, but not limited to, those arising out of his employment or the termination thereof; provided, however, that the foregoing shall not release Company from its continuing obligations set forth in the Separation Agreement.</w:t>
      </w:r>
    </w:p>
    <w:p>
      <w:pPr>
        <w:spacing w:after="0" w:line="179" w:lineRule="exact"/>
        <w:rPr>
          <w:sz w:val="20"/>
          <w:szCs w:val="20"/>
          <w:color w:val="auto"/>
        </w:rPr>
      </w:pPr>
    </w:p>
    <w:p>
      <w:pPr>
        <w:jc w:val="both"/>
        <w:ind w:left="20" w:firstLine="1945"/>
        <w:spacing w:after="0" w:line="351" w:lineRule="auto"/>
        <w:rPr>
          <w:sz w:val="20"/>
          <w:szCs w:val="20"/>
          <w:color w:val="auto"/>
        </w:rPr>
      </w:pPr>
      <w:r>
        <w:rPr>
          <w:rFonts w:ascii="Arial" w:cs="Arial" w:eastAsia="Arial" w:hAnsi="Arial"/>
          <w:sz w:val="22"/>
          <w:szCs w:val="22"/>
          <w:color w:val="auto"/>
        </w:rPr>
        <w:t>The Executive understands and acknowledges that by signing this Release he is waiving and releasing any and all claims he may have concerning the terms and conditions of his employment and the termination of his employment including those prohibiting discrimination on the basis of age, sex, race, color, disability, religion, creed, national origin, ancestry, sexual orientation, gender expression, gender identity, handicap, marital status, citizenship or any other protected factor or characteristic, prohibiting discrimination for</w:t>
      </w:r>
    </w:p>
    <w:p>
      <w:pPr>
        <w:sectPr>
          <w:pgSz w:w="11900" w:h="16838" w:orient="portrait"/>
          <w:cols w:equalWidth="0" w:num="1">
            <w:col w:w="11420"/>
          </w:cols>
          <w:pgMar w:left="240" w:top="780" w:right="239" w:bottom="1440" w:gutter="0" w:footer="0" w:header="0"/>
        </w:sectPr>
      </w:pPr>
    </w:p>
    <w:bookmarkStart w:id="64" w:name="page65"/>
    <w:bookmarkEnd w:id="64"/>
    <w:p>
      <w:pPr>
        <w:jc w:val="both"/>
        <w:ind w:left="20"/>
        <w:spacing w:after="0" w:line="400" w:lineRule="auto"/>
        <w:rPr>
          <w:sz w:val="20"/>
          <w:szCs w:val="20"/>
          <w:color w:val="auto"/>
        </w:rPr>
      </w:pPr>
      <w:r>
        <w:rPr>
          <w:rFonts w:ascii="Arial" w:cs="Arial" w:eastAsia="Arial" w:hAnsi="Arial"/>
          <w:sz w:val="19"/>
          <w:szCs w:val="19"/>
          <w:color w:val="auto"/>
        </w:rPr>
        <w:t>requesting or taking a family or medical leave, prohibiting discrimination with regard to benefits or any other terms and conditions of employment, or prohibiting retaliation in connection with any complaint or claim of alleged discrimination or harassment and that he intends to do so. As such, this release includes, but is not limited to, any claims arising under Title VII of the 1964 Civil Rights Act, 42 U. S. C. § 2000e et seq.; the Age Discrimination in Employment Act, 29 U. S. C. § 621, et seq.; the Older Workers’ Benefit Protection Act, 29 U.S.C. §626(f), et seq.; the Americans with Disabilities Act, 42 U. S. C. § 12101 et seq.; the Employee Retirement and Income Security Act, 29 U. S. C. § 1001 et seq.; the Fair Labor Standards Act, as amended, 29 U.S.C. § 201 et seq.; the Family Medical Leave Act, 29 U.S.C. §§ 2601 et seq.; the New York State Human Rights Law, N.Y. Exec. Law § 290 et seq.; New York Equal Rights Law, N.Y. Civ. Rights Law § 40-c et seq.; New York Whistleblower Protection Law, N.Y. Lab. Law § 740 et seq.; New York Family Leave Law, N.Y. Lab. Law § 201-c; New York Equal Pay Law, N.Y. Lab. Law § 194; N.Y. Lab. Law</w:t>
      </w:r>
    </w:p>
    <w:p>
      <w:pPr>
        <w:spacing w:after="0" w:line="4" w:lineRule="exact"/>
        <w:rPr>
          <w:sz w:val="20"/>
          <w:szCs w:val="20"/>
          <w:color w:val="auto"/>
        </w:rPr>
      </w:pPr>
    </w:p>
    <w:p>
      <w:pPr>
        <w:jc w:val="both"/>
        <w:ind w:left="20" w:firstLine="2"/>
        <w:spacing w:after="0" w:line="412" w:lineRule="auto"/>
        <w:tabs>
          <w:tab w:leader="none" w:pos="188" w:val="left"/>
        </w:tabs>
        <w:numPr>
          <w:ilvl w:val="0"/>
          <w:numId w:val="55"/>
        </w:numPr>
        <w:rPr>
          <w:rFonts w:ascii="Arial" w:cs="Arial" w:eastAsia="Arial" w:hAnsi="Arial"/>
          <w:sz w:val="19"/>
          <w:szCs w:val="19"/>
          <w:color w:val="auto"/>
        </w:rPr>
      </w:pPr>
      <w:r>
        <w:rPr>
          <w:rFonts w:ascii="Arial" w:cs="Arial" w:eastAsia="Arial" w:hAnsi="Arial"/>
          <w:sz w:val="19"/>
          <w:szCs w:val="19"/>
          <w:color w:val="auto"/>
        </w:rPr>
        <w:t>215; the New York City Human Rights Law, Administrative Code of the City of New York, Section 8-101 et seq.; and any other federal or state constitutions, federal, state or local statutes, or any contract, quasi contract, common law or tort claims, whether known or unknown, suspected or unsuspected, concealed or hidden, or developed or undeveloped, up through the date of his execution of this Release. The Executive further agrees that he will not institute or authorize any other party, governmental or otherwise, to institute any administrative or legal proceeding seeking compensation or damages on his behalf against the Released Parties relating to or arising out of any aspect of his employment or termination.</w:t>
      </w:r>
    </w:p>
    <w:p>
      <w:pPr>
        <w:spacing w:after="0" w:line="167"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21"/>
          <w:szCs w:val="21"/>
          <w:color w:val="auto"/>
        </w:rPr>
        <w:t>The Executive acknowledges and agrees that, as of the date of this Release, Executive has been paid all compensation (including without limitation any accrued but unused vacation or paid time off) for all of Executive’s service with the Company except for compensation owed to Executive pursuant to the provisions of the Separation Agreement. The Executive represents that as of the date hereof he was not denied a request for leave, or retaliated against for taking leave under the Family and Medical Leave Act, 29 U.S.C. §§2601 et seq., at any time during his employment with the Company. Executive and the Company also hereby agree that nothing contained in this Release shall constitute or be treated as an admission of liability or wrongdoing or of any violation of law by the Company or the Executive.</w:t>
      </w:r>
    </w:p>
    <w:p>
      <w:pPr>
        <w:sectPr>
          <w:pgSz w:w="11900" w:h="16838" w:orient="portrait"/>
          <w:cols w:equalWidth="0" w:num="1">
            <w:col w:w="11420"/>
          </w:cols>
          <w:pgMar w:left="240" w:top="429" w:right="239" w:bottom="1440" w:gutter="0" w:footer="0" w:header="0"/>
        </w:sectPr>
      </w:pPr>
    </w:p>
    <w:bookmarkStart w:id="65" w:name="page66"/>
    <w:bookmarkEnd w:id="65"/>
    <w:p>
      <w:pPr>
        <w:jc w:val="both"/>
        <w:ind w:firstLine="1297"/>
        <w:spacing w:after="0" w:line="415" w:lineRule="auto"/>
        <w:rPr>
          <w:sz w:val="20"/>
          <w:szCs w:val="20"/>
          <w:color w:val="auto"/>
        </w:rPr>
      </w:pPr>
      <w:r>
        <w:rPr>
          <w:rFonts w:ascii="Arial" w:cs="Arial" w:eastAsia="Arial" w:hAnsi="Arial"/>
          <w:sz w:val="19"/>
          <w:szCs w:val="19"/>
          <w:color w:val="auto"/>
        </w:rPr>
        <w:t>This Release constitutes the entire agreement between the Executive and the Company with regard to the subject matter of this Release. This Release supersedes any other agreements, representations or understandings, whether oral or written and whether express or implied, which relate to the subject matter of this Release other than the continuing obligations of Executive and Company that are set forth in the Separation Agreement. The Executive understands and agrees that this Release may be modified only in a written document signed by the Executive and a duly authorized officer of the Company.</w:t>
      </w:r>
    </w:p>
    <w:p>
      <w:pPr>
        <w:spacing w:after="0" w:line="42" w:lineRule="exact"/>
        <w:rPr>
          <w:sz w:val="20"/>
          <w:szCs w:val="20"/>
          <w:color w:val="auto"/>
        </w:rPr>
      </w:pPr>
    </w:p>
    <w:p>
      <w:pPr>
        <w:jc w:val="both"/>
        <w:ind w:left="20" w:firstLine="1945"/>
        <w:spacing w:after="0" w:line="351" w:lineRule="auto"/>
        <w:rPr>
          <w:sz w:val="20"/>
          <w:szCs w:val="20"/>
          <w:color w:val="auto"/>
        </w:rPr>
      </w:pPr>
      <w:r>
        <w:rPr>
          <w:rFonts w:ascii="Arial" w:cs="Arial" w:eastAsia="Arial" w:hAnsi="Arial"/>
          <w:sz w:val="22"/>
          <w:szCs w:val="22"/>
          <w:color w:val="auto"/>
        </w:rPr>
        <w:t>This Release shall be governed by and construed in accordance with the laws of the State of New York, without regard to principles of conflicts of laws. The Executive hereby submits to and acknowledges and recognizes the jurisdiction of the courts of the State of New York, or, if appropriate, a federal court located in New York (which courts, for purposes of this Release, are the only courts of competent jurisdiction) over any suit, action or other proceeding arising out of, under, or in connection with this Release or the subject matter hereof.</w:t>
      </w:r>
    </w:p>
    <w:p>
      <w:pPr>
        <w:spacing w:after="0" w:line="203" w:lineRule="exact"/>
        <w:rPr>
          <w:sz w:val="20"/>
          <w:szCs w:val="20"/>
          <w:color w:val="auto"/>
        </w:rPr>
      </w:pPr>
    </w:p>
    <w:p>
      <w:pPr>
        <w:jc w:val="both"/>
        <w:ind w:left="20" w:firstLine="1945"/>
        <w:spacing w:after="0" w:line="415" w:lineRule="auto"/>
        <w:rPr>
          <w:sz w:val="20"/>
          <w:szCs w:val="20"/>
          <w:color w:val="auto"/>
        </w:rPr>
      </w:pPr>
      <w:r>
        <w:rPr>
          <w:rFonts w:ascii="Arial" w:cs="Arial" w:eastAsia="Arial" w:hAnsi="Arial"/>
          <w:sz w:val="19"/>
          <w:szCs w:val="19"/>
          <w:color w:val="auto"/>
        </w:rPr>
        <w:t>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64" w:lineRule="exact"/>
        <w:rPr>
          <w:sz w:val="20"/>
          <w:szCs w:val="20"/>
          <w:color w:val="auto"/>
        </w:rPr>
      </w:pPr>
    </w:p>
    <w:p>
      <w:pPr>
        <w:jc w:val="both"/>
        <w:ind w:firstLine="1297"/>
        <w:spacing w:after="0" w:line="349" w:lineRule="auto"/>
        <w:rPr>
          <w:sz w:val="20"/>
          <w:szCs w:val="20"/>
          <w:color w:val="auto"/>
        </w:rPr>
      </w:pPr>
      <w:r>
        <w:rPr>
          <w:rFonts w:ascii="Arial" w:cs="Arial" w:eastAsia="Arial" w:hAnsi="Arial"/>
          <w:sz w:val="22"/>
          <w:szCs w:val="22"/>
          <w:color w:val="auto"/>
        </w:rPr>
        <w:t>By signing below, the Executive acknowledges that this Release affects substantial rights and that the Executive has been advised to consult with an attorney prior to execution of this Release. The Executive further understands and acknowledges that the Executive has up to twenty-one (21) days to review this Release and to discuss it with an attorney of the Executive’s own choosing, at the Executive’s own expense, whether or not the Executive wishes to sign this Release. Furthermore, the Executive understands and acknowledges that the Executive has seven (7) days after the Executive signs this Release during which time the Executive may revoke this Release. If the Executive wishes to revoke this Release, the Executive may do so by delivering a letter of</w:t>
      </w:r>
    </w:p>
    <w:p>
      <w:pPr>
        <w:sectPr>
          <w:pgSz w:w="11900" w:h="16838" w:orient="portrait"/>
          <w:cols w:equalWidth="0" w:num="1">
            <w:col w:w="11420"/>
          </w:cols>
          <w:pgMar w:left="240" w:top="429" w:right="239" w:bottom="1440" w:gutter="0" w:footer="0" w:header="0"/>
        </w:sectPr>
      </w:pPr>
    </w:p>
    <w:bookmarkStart w:id="66" w:name="page67"/>
    <w:bookmarkEnd w:id="66"/>
    <w:p>
      <w:pPr>
        <w:jc w:val="both"/>
        <w:spacing w:after="0" w:line="366" w:lineRule="auto"/>
        <w:rPr>
          <w:sz w:val="20"/>
          <w:szCs w:val="20"/>
          <w:color w:val="auto"/>
        </w:rPr>
      </w:pPr>
      <w:r>
        <w:rPr>
          <w:rFonts w:ascii="Arial" w:cs="Arial" w:eastAsia="Arial" w:hAnsi="Arial"/>
          <w:sz w:val="22"/>
          <w:szCs w:val="22"/>
          <w:color w:val="auto"/>
        </w:rPr>
        <w:t>revocation to the Company’s Human Resources Department with a copy to the Company’s General Counsel, by 5 p.m. EST on the seventh (7) days after the Executive signs this Release.</w:t>
      </w:r>
    </w:p>
    <w:p>
      <w:pPr>
        <w:spacing w:after="0" w:line="187" w:lineRule="exact"/>
        <w:rPr>
          <w:sz w:val="20"/>
          <w:szCs w:val="20"/>
          <w:color w:val="auto"/>
        </w:rPr>
      </w:pPr>
    </w:p>
    <w:p>
      <w:pPr>
        <w:jc w:val="both"/>
        <w:ind w:left="20" w:firstLine="1945"/>
        <w:spacing w:after="0" w:line="366" w:lineRule="auto"/>
        <w:rPr>
          <w:sz w:val="20"/>
          <w:szCs w:val="20"/>
          <w:color w:val="auto"/>
        </w:rPr>
      </w:pPr>
      <w:r>
        <w:rPr>
          <w:rFonts w:ascii="Arial" w:cs="Arial" w:eastAsia="Arial" w:hAnsi="Arial"/>
          <w:sz w:val="22"/>
          <w:szCs w:val="22"/>
          <w:color w:val="auto"/>
        </w:rPr>
        <w:t>Because of the revocation period, the Executive understands that this Release will not become effective or enforceable until the eighth (8th) day after the date the Executive signs this Release.</w:t>
      </w:r>
    </w:p>
    <w:p>
      <w:pPr>
        <w:spacing w:after="0" w:line="187" w:lineRule="exact"/>
        <w:rPr>
          <w:sz w:val="20"/>
          <w:szCs w:val="20"/>
          <w:color w:val="auto"/>
        </w:rPr>
      </w:pPr>
    </w:p>
    <w:p>
      <w:pPr>
        <w:jc w:val="both"/>
        <w:ind w:left="20" w:firstLine="1945"/>
        <w:spacing w:after="0" w:line="366" w:lineRule="auto"/>
        <w:rPr>
          <w:sz w:val="20"/>
          <w:szCs w:val="20"/>
          <w:color w:val="auto"/>
        </w:rPr>
      </w:pPr>
      <w:r>
        <w:rPr>
          <w:rFonts w:ascii="Arial" w:cs="Arial" w:eastAsia="Arial" w:hAnsi="Arial"/>
          <w:sz w:val="22"/>
          <w:szCs w:val="22"/>
          <w:color w:val="auto"/>
        </w:rPr>
        <w:t>To accept this Release, the Executive must sign and date this Release and return it to the Company’s Human Resources Department with a copy to the Company’s General Counsel.</w:t>
      </w:r>
    </w:p>
    <w:p>
      <w:pPr>
        <w:spacing w:after="0" w:line="187" w:lineRule="exact"/>
        <w:rPr>
          <w:sz w:val="20"/>
          <w:szCs w:val="20"/>
          <w:color w:val="auto"/>
        </w:rPr>
      </w:pPr>
    </w:p>
    <w:p>
      <w:pPr>
        <w:jc w:val="both"/>
        <w:ind w:firstLine="1297"/>
        <w:spacing w:after="0" w:line="352" w:lineRule="auto"/>
        <w:rPr>
          <w:sz w:val="20"/>
          <w:szCs w:val="20"/>
          <w:color w:val="auto"/>
        </w:rPr>
      </w:pPr>
      <w:r>
        <w:rPr>
          <w:rFonts w:ascii="Arial" w:cs="Arial" w:eastAsia="Arial" w:hAnsi="Arial"/>
          <w:sz w:val="22"/>
          <w:szCs w:val="22"/>
          <w:color w:val="auto"/>
        </w:rPr>
        <w:t>The Executive’s agreement with the terms of this Release is signified by the Executive’s signature below. Furthermore, the Executive acknowledges that the Executive has read and understands this Release and that the Executive signs this Release of all claims voluntarily, with full appreciation that at no time in the future may the Executive pursue any of the rights that the Executive has waived in this Release.</w:t>
      </w:r>
    </w:p>
    <w:p>
      <w:pPr>
        <w:spacing w:after="0" w:line="380"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/s/ Daryl J. Carlough</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Eran Vanounou</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 that this Release must also be executed on or after the Separation Date.</w:t>
      </w:r>
    </w:p>
    <w:p>
      <w:pPr>
        <w:sectPr>
          <w:pgSz w:w="11900" w:h="16838" w:orient="portrait"/>
          <w:cols w:equalWidth="0" w:num="1">
            <w:col w:w="11420"/>
          </w:cols>
          <w:pgMar w:left="240" w:top="42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August 6, 2018</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60" w:type="dxa"/>
            <w:vAlign w:val="bottom"/>
            <w:vMerge w:val="restart"/>
          </w:tcPr>
          <w:p>
            <w:pPr>
              <w:ind w:left="170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260"/>
              <w:spacing w:after="0"/>
              <w:rPr>
                <w:sz w:val="20"/>
                <w:szCs w:val="20"/>
                <w:color w:val="auto"/>
              </w:rPr>
            </w:pPr>
            <w:r>
              <w:rPr>
                <w:rFonts w:ascii="Arial" w:cs="Arial" w:eastAsia="Arial" w:hAnsi="Arial"/>
                <w:sz w:val="18"/>
                <w:szCs w:val="18"/>
                <w:color w:val="auto"/>
              </w:rPr>
              <w:t>August 6, 2018</w:t>
            </w:r>
          </w:p>
        </w:tc>
        <w:tc>
          <w:tcPr>
            <w:tcW w:w="2360" w:type="dxa"/>
            <w:vAlign w:val="bottom"/>
          </w:tcPr>
          <w:p>
            <w:pPr>
              <w:ind w:left="160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vMerge w:val="restart"/>
          </w:tcPr>
          <w:p>
            <w:pPr>
              <w:ind w:left="160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360" w:type="dxa"/>
            <w:vAlign w:val="bottom"/>
          </w:tcPr>
          <w:p>
            <w:pPr>
              <w:ind w:left="160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2018,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200"/>
              <w:spacing w:after="0"/>
              <w:rPr>
                <w:sz w:val="20"/>
                <w:szCs w:val="20"/>
                <w:color w:val="auto"/>
              </w:rPr>
            </w:pPr>
            <w:r>
              <w:rPr>
                <w:rFonts w:ascii="Arial" w:cs="Arial" w:eastAsia="Arial" w:hAnsi="Arial"/>
                <w:sz w:val="18"/>
                <w:szCs w:val="18"/>
                <w:color w:val="auto"/>
              </w:rPr>
              <w:t>August 6, 2018</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80" w:type="dxa"/>
            <w:vAlign w:val="bottom"/>
            <w:vMerge w:val="restart"/>
          </w:tcPr>
          <w:p>
            <w:pPr>
              <w:ind w:left="174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480" w:type="dxa"/>
            <w:vAlign w:val="bottom"/>
          </w:tcPr>
          <w:p>
            <w:pPr>
              <w:ind w:left="174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Christopher E. Greiner, Chief Financial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2018,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300"/>
              <w:spacing w:after="0"/>
              <w:rPr>
                <w:sz w:val="20"/>
                <w:szCs w:val="20"/>
                <w:color w:val="auto"/>
              </w:rPr>
            </w:pPr>
            <w:r>
              <w:rPr>
                <w:rFonts w:ascii="Arial" w:cs="Arial" w:eastAsia="Arial" w:hAnsi="Arial"/>
                <w:sz w:val="18"/>
                <w:szCs w:val="18"/>
                <w:color w:val="auto"/>
              </w:rPr>
              <w:t>August 6, 2018</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4"/>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5"/>
    </w:lvl>
  </w:abstractNum>
  <w:abstractNum w:abstractNumId="10">
    <w:nsid w:val="5C482A97"/>
    <w:multiLevelType w:val="hybridMultilevel"/>
    <w:lvl w:ilvl="0">
      <w:lvlJc w:val="left"/>
      <w:lvlText w:val="%1."/>
      <w:numFmt w:val="decimal"/>
      <w:start w:val="6"/>
    </w:lvl>
  </w:abstractNum>
  <w:abstractNum w:abstractNumId="11">
    <w:nsid w:val="2463B9EA"/>
    <w:multiLevelType w:val="hybridMultilevel"/>
    <w:lvl w:ilvl="0">
      <w:lvlJc w:val="left"/>
      <w:lvlText w:val="%1."/>
      <w:numFmt w:val="decimal"/>
      <w:start w:val="7"/>
    </w:lvl>
  </w:abstractNum>
  <w:abstractNum w:abstractNumId="12">
    <w:nsid w:val="5E884ADC"/>
    <w:multiLevelType w:val="hybridMultilevel"/>
    <w:lvl w:ilvl="0">
      <w:lvlJc w:val="left"/>
      <w:lvlText w:val="%1."/>
      <w:numFmt w:val="decimal"/>
      <w:start w:val="8"/>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9"/>
    </w:lvl>
  </w:abstractNum>
  <w:abstractNum w:abstractNumId="15">
    <w:nsid w:val="580BD78F"/>
    <w:multiLevelType w:val="hybridMultilevel"/>
    <w:lvl w:ilvl="0">
      <w:lvlJc w:val="left"/>
      <w:lvlText w:val="%1."/>
      <w:numFmt w:val="decimal"/>
      <w:start w:val="450"/>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bullet"/>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34">
    <w:nsid w:val="749ABB43"/>
    <w:multiLevelType w:val="hybridMultilevel"/>
    <w:lvl w:ilvl="0">
      <w:lvlJc w:val="left"/>
      <w:lvlText w:val="%1"/>
      <w:numFmt w:val="lowerLetter"/>
      <w:start w:val="1"/>
    </w:lvl>
    <w:lvl w:ilvl="1">
      <w:lvlJc w:val="left"/>
      <w:lvlText w:val="(%2)"/>
      <w:numFmt w:val="decimal"/>
      <w:start w:val="3"/>
    </w:lvl>
  </w:abstractNum>
  <w:abstractNum w:abstractNumId="35">
    <w:nsid w:val="3DC240FB"/>
    <w:multiLevelType w:val="hybridMultilevel"/>
    <w:lvl w:ilvl="0">
      <w:lvlJc w:val="left"/>
      <w:lvlText w:val="(%1)"/>
      <w:numFmt w:val="lowerLetter"/>
      <w:start w:val="5"/>
    </w:lvl>
    <w:lvl w:ilvl="1">
      <w:lvlJc w:val="left"/>
      <w:lvlText w:val="%2"/>
      <w:numFmt w:val="decimal"/>
      <w:start w:val="1"/>
    </w:lvl>
  </w:abstractNum>
  <w:abstractNum w:abstractNumId="36">
    <w:nsid w:val="1BA026F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7">
    <w:nsid w:val="79A1DEAA"/>
    <w:multiLevelType w:val="hybridMultilevel"/>
    <w:lvl w:ilvl="0">
      <w:lvlJc w:val="left"/>
      <w:lvlText w:val="(%1)"/>
      <w:numFmt w:val="lowerLetter"/>
      <w:start w:val="7"/>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lowerLetter"/>
      <w:start w:val="1"/>
    </w:lvl>
    <w:lvl w:ilvl="1">
      <w:lvlJc w:val="left"/>
      <w:lvlText w:val="(%2)"/>
      <w:numFmt w:val="decimal"/>
      <w:start w:val="2"/>
    </w:lvl>
  </w:abstractNum>
  <w:abstractNum w:abstractNumId="40">
    <w:nsid w:val="70C6A529"/>
    <w:multiLevelType w:val="hybridMultilevel"/>
    <w:lvl w:ilvl="0">
      <w:lvlJc w:val="left"/>
      <w:lvlText w:val="(%1)"/>
      <w:numFmt w:val="lowerLetter"/>
      <w:start w:val="2"/>
    </w:lvl>
    <w:lvl w:ilvl="1">
      <w:lvlJc w:val="left"/>
      <w:lvlText w:val="%2"/>
      <w:numFmt w:val="decimal"/>
      <w:start w:val="1"/>
    </w:lvl>
  </w:abstractNum>
  <w:abstractNum w:abstractNumId="41">
    <w:nsid w:val="520EEDD1"/>
    <w:multiLevelType w:val="hybridMultilevel"/>
    <w:lvl w:ilvl="0">
      <w:lvlJc w:val="left"/>
      <w:lvlText w:val="(%1)"/>
      <w:numFmt w:val="lowerLetter"/>
      <w:start w:val="4"/>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4"/>
    </w:lvl>
  </w:abstractNum>
  <w:abstractNum w:abstractNumId="45">
    <w:nsid w:val="649BB77C"/>
    <w:multiLevelType w:val="hybridMultilevel"/>
    <w:lvl w:ilvl="0">
      <w:lvlJc w:val="left"/>
      <w:lvlText w:val="%1."/>
      <w:numFmt w:val="decimal"/>
      <w:start w:val="1"/>
    </w:lvl>
    <w:lvl w:ilvl="1">
      <w:lvlJc w:val="left"/>
      <w:lvlText w:val="(%2)"/>
      <w:numFmt w:val="lowerLetter"/>
      <w:start w:val="1"/>
    </w:lvl>
  </w:abstractNum>
  <w:abstractNum w:abstractNumId="46">
    <w:nsid w:val="275AC794"/>
    <w:multiLevelType w:val="hybridMultilevel"/>
    <w:lvl w:ilvl="0">
      <w:lvlJc w:val="left"/>
      <w:lvlText w:val="%1."/>
      <w:numFmt w:val="decimal"/>
      <w:start w:val="4"/>
    </w:lvl>
    <w:lvl w:ilvl="1">
      <w:lvlJc w:val="left"/>
      <w:lvlText w:val="%2."/>
      <w:numFmt w:val="lowerLetter"/>
      <w:start w:val="1"/>
    </w:lvl>
  </w:abstractNum>
  <w:abstractNum w:abstractNumId="47">
    <w:nsid w:val="39386575"/>
    <w:multiLevelType w:val="hybridMultilevel"/>
    <w:lvl w:ilvl="0">
      <w:lvlJc w:val="left"/>
      <w:lvlText w:val="%1"/>
      <w:numFmt w:val="decimal"/>
      <w:start w:val="1"/>
    </w:lvl>
    <w:lvl w:ilvl="1">
      <w:lvlJc w:val="left"/>
      <w:lvlText w:val="%2."/>
      <w:numFmt w:val="lowerLetter"/>
      <w:start w:val="3"/>
    </w:lvl>
  </w:abstractNum>
  <w:abstractNum w:abstractNumId="48">
    <w:nsid w:val="1CF10FD8"/>
    <w:multiLevelType w:val="hybridMultilevel"/>
    <w:lvl w:ilvl="0">
      <w:lvlJc w:val="left"/>
      <w:lvlText w:val="%1."/>
      <w:numFmt w:val="decimal"/>
      <w:start w:val="5"/>
    </w:lvl>
    <w:lvl w:ilvl="1">
      <w:lvlJc w:val="left"/>
      <w:lvlText w:val="%2"/>
      <w:numFmt w:val="lowerLetter"/>
      <w:start w:val="1"/>
    </w:lvl>
  </w:abstractNum>
  <w:abstractNum w:abstractNumId="49">
    <w:nsid w:val="180115BE"/>
    <w:multiLevelType w:val="hybridMultilevel"/>
    <w:lvl w:ilvl="0">
      <w:lvlJc w:val="left"/>
      <w:lvlText w:val="%1."/>
      <w:numFmt w:val="decimal"/>
      <w:start w:val="11"/>
    </w:lvl>
  </w:abstractNum>
  <w:abstractNum w:abstractNumId="50">
    <w:nsid w:val="235BA861"/>
    <w:multiLevelType w:val="hybridMultilevel"/>
    <w:lvl w:ilvl="0">
      <w:lvlJc w:val="left"/>
      <w:lvlText w:val="%1."/>
      <w:numFmt w:val="decimal"/>
      <w:start w:val="12"/>
    </w:lvl>
  </w:abstractNum>
  <w:abstractNum w:abstractNumId="51">
    <w:nsid w:val="47398C89"/>
    <w:multiLevelType w:val="hybridMultilevel"/>
    <w:lvl w:ilvl="0">
      <w:lvlJc w:val="left"/>
      <w:lvlText w:val="%1."/>
      <w:numFmt w:val="decimal"/>
      <w:start w:val="13"/>
    </w:lvl>
    <w:lvl w:ilvl="1">
      <w:lvlJc w:val="left"/>
      <w:lvlText w:val="%2."/>
      <w:numFmt w:val="decimal"/>
      <w:start w:val="21"/>
    </w:lvl>
  </w:abstractNum>
  <w:abstractNum w:abstractNumId="52">
    <w:nsid w:val="354FE9F9"/>
    <w:multiLevelType w:val="hybridMultilevel"/>
    <w:lvl w:ilvl="0">
      <w:lvlJc w:val="left"/>
      <w:lvlText w:val="%1."/>
      <w:numFmt w:val="decimal"/>
      <w:start w:val="14"/>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2019-12-28T20:30:49Z</dcterms:created>
  <dcterms:modified xsi:type="dcterms:W3CDTF">2019-12-28T20:30:49Z</dcterms:modified>
</cp:coreProperties>
</file>