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Filed by: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Pursuant to Rule 425 under the Securities Act of 1933</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Subject Company: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Commission File No. 001-41926</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Date: September 1, 2026</w:t>
      </w:r>
    </w:p>
    <w:p>
      <w:pPr>
        <w:pStyle w:val="TextBody"/>
        <w:bidi w:val="0"/>
        <w:spacing w:before="0" w:after="0"/>
        <w:jc w:val="left"/>
        <w:rPr/>
      </w:pPr>
      <w:r>
        <w:rPr/>
      </w:r>
    </w:p>
    <w:p>
      <w:pPr>
        <w:pStyle w:val="TextBody"/>
        <w:bidi w:val="0"/>
        <w:spacing w:before="0" w:after="0"/>
        <w:jc w:val="center"/>
        <w:rPr/>
      </w:pPr>
      <w:r>
        <w:rPr/>
        <w:drawing>
          <wp:inline distT="0" distB="0" distL="0" distR="0">
            <wp:extent cx="5486400" cy="5038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5038725"/>
                    </a:xfrm>
                    <a:prstGeom prst="rect">
                      <a:avLst/>
                    </a:prstGeom>
                  </pic:spPr>
                </pic:pic>
              </a:graphicData>
            </a:graphic>
          </wp:inline>
        </w:drawing>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486400" cy="395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486400" cy="39528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34385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5486400" cy="3438525"/>
                    </a:xfrm>
                    <a:prstGeom prst="rect">
                      <a:avLst/>
                    </a:prstGeom>
                  </pic:spPr>
                </pic:pic>
              </a:graphicData>
            </a:graphic>
          </wp:inline>
        </w:drawing>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486400" cy="35052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486400" cy="35052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12287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486400" cy="12287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website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1314</Words>
  <Characters>7786</Characters>
  <CharactersWithSpaces>9084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