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688" w:right="279" w:bottom="1440" w:gutter="0" w:footer="0" w:header="0"/>
          <w:type w:val="continuous"/>
        </w:sectPr>
      </w:pPr>
    </w:p>
    <w:p>
      <w:pPr>
        <w:spacing w:after="0" w:line="134"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July 25, 2016, 57,778,685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1020" w:type="dxa"/>
            <w:vAlign w:val="bottom"/>
            <w:gridSpan w:val="4"/>
            <w:shd w:val="clear" w:color="auto" w:fill="CCFFCC"/>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June 30, 2016 and December 31, 2015</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6"/>
              </w:rPr>
              <w:t>Condensed Consolidated Statements of Operations for the Three and Six Months Ended June 30, 2016 and 2015</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29"/>
        </w:trPr>
        <w:tc>
          <w:tcPr>
            <w:tcW w:w="1040" w:type="dxa"/>
            <w:vAlign w:val="bottom"/>
            <w:shd w:val="clear" w:color="auto" w:fill="CCFFCC"/>
          </w:tcPr>
          <w:p>
            <w:pPr>
              <w:spacing w:after="0"/>
              <w:rPr>
                <w:sz w:val="19"/>
                <w:szCs w:val="19"/>
                <w:color w:val="auto"/>
              </w:rPr>
            </w:pPr>
          </w:p>
        </w:tc>
        <w:tc>
          <w:tcPr>
            <w:tcW w:w="9360" w:type="dxa"/>
            <w:vAlign w:val="bottom"/>
            <w:shd w:val="clear" w:color="auto" w:fill="CCFFCC"/>
          </w:tcPr>
          <w:p>
            <w:pPr>
              <w:ind w:left="600"/>
              <w:spacing w:after="0"/>
              <w:rPr>
                <w:sz w:val="20"/>
                <w:szCs w:val="20"/>
                <w:color w:val="auto"/>
              </w:rPr>
            </w:pPr>
            <w:r>
              <w:rPr>
                <w:rFonts w:ascii="Arial" w:cs="Arial" w:eastAsia="Arial" w:hAnsi="Arial"/>
                <w:sz w:val="18"/>
                <w:szCs w:val="18"/>
                <w:color w:val="auto"/>
                <w:w w:val="92"/>
              </w:rPr>
              <w:t>Condensed Consolidated Statements of Comprehensive Loss for the Three and Six Months Ended June 30, 2016 and</w:t>
            </w: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r>
      <w:tr>
        <w:trPr>
          <w:trHeight w:val="237"/>
        </w:trPr>
        <w:tc>
          <w:tcPr>
            <w:tcW w:w="1040" w:type="dxa"/>
            <w:vAlign w:val="bottom"/>
            <w:shd w:val="clear" w:color="auto" w:fill="CCFFCC"/>
          </w:tcPr>
          <w:p>
            <w:pPr>
              <w:spacing w:after="0"/>
              <w:rPr>
                <w:sz w:val="20"/>
                <w:szCs w:val="20"/>
                <w:color w:val="auto"/>
              </w:rPr>
            </w:pPr>
          </w:p>
        </w:tc>
        <w:tc>
          <w:tcPr>
            <w:tcW w:w="9360" w:type="dxa"/>
            <w:vAlign w:val="bottom"/>
            <w:shd w:val="clear" w:color="auto" w:fill="CCFFCC"/>
          </w:tcPr>
          <w:p>
            <w:pPr>
              <w:ind w:left="600"/>
              <w:spacing w:after="0" w:line="190" w:lineRule="exact"/>
              <w:rPr>
                <w:sz w:val="20"/>
                <w:szCs w:val="20"/>
                <w:color w:val="auto"/>
              </w:rPr>
            </w:pPr>
            <w:r>
              <w:rPr>
                <w:rFonts w:ascii="Arial" w:cs="Arial" w:eastAsia="Arial" w:hAnsi="Arial"/>
                <w:sz w:val="18"/>
                <w:szCs w:val="18"/>
                <w:color w:val="auto"/>
              </w:rPr>
              <w:t>2015</w:t>
            </w:r>
          </w:p>
        </w:tc>
        <w:tc>
          <w:tcPr>
            <w:tcW w:w="1020" w:type="dxa"/>
            <w:vAlign w:val="bottom"/>
            <w:gridSpan w:val="4"/>
            <w:shd w:val="clear" w:color="auto" w:fill="CCFFCC"/>
          </w:tcPr>
          <w:p>
            <w:pPr>
              <w:jc w:val="right"/>
              <w:ind w:righ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Cash Flows for the Six Months Ended June 30, 2016 and 2015</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52,326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48,803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3,961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5,409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4"/>
              </w:rPr>
              <w:t>Accounts receivable, net of allowance for doubtful accounts of $1,605 and $1,184 as of June 30, 2016 and December 31,</w:t>
            </w:r>
          </w:p>
        </w:tc>
        <w:tc>
          <w:tcPr>
            <w:tcW w:w="30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2015, respectively</w:t>
            </w:r>
          </w:p>
        </w:tc>
        <w:tc>
          <w:tcPr>
            <w:tcW w:w="30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28,649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30,388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11,946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9,327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assets, net</w:t>
            </w:r>
          </w:p>
        </w:tc>
        <w:tc>
          <w:tcPr>
            <w:tcW w:w="30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96,882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94,382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23,221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24,129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21,550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24,619</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80,360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80,322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785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2,379</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1,957</w:t>
            </w:r>
          </w:p>
        </w:tc>
      </w:tr>
      <w:tr>
        <w:trPr>
          <w:trHeight w:val="284"/>
        </w:trPr>
        <w:tc>
          <w:tcPr>
            <w:tcW w:w="834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225,488</w:t>
            </w:r>
          </w:p>
        </w:tc>
        <w:tc>
          <w:tcPr>
            <w:tcW w:w="12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226,194</w:t>
            </w:r>
          </w:p>
        </w:tc>
      </w:tr>
      <w:tr>
        <w:trPr>
          <w:trHeight w:val="311"/>
        </w:trPr>
        <w:tc>
          <w:tcPr>
            <w:tcW w:w="834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6,233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7,102</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29,209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34,296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29,454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13,862</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64,896</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55,260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3,145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3,270</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liability</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3,628</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2,359</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71,669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60,889</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3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288,297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286,856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(129,500)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(119,071)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(2,536)</w:t>
            </w:r>
          </w:p>
        </w:tc>
      </w:tr>
      <w:tr>
        <w:trPr>
          <w:trHeight w:val="33"/>
        </w:trPr>
        <w:tc>
          <w:tcPr>
            <w:tcW w:w="8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153,819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165,305</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225,488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226,194</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2100" w:type="dxa"/>
            <w:vAlign w:val="bottom"/>
            <w:gridSpan w:val="4"/>
          </w:tcPr>
          <w:p>
            <w:pPr>
              <w:jc w:val="center"/>
              <w:ind w:right="42"/>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6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663"/>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left="643"/>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666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r>
      <w:tr>
        <w:trPr>
          <w:trHeight w:val="256"/>
        </w:trPr>
        <w:tc>
          <w:tcPr>
            <w:tcW w:w="66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56,679</w:t>
            </w:r>
          </w:p>
        </w:tc>
        <w:tc>
          <w:tcPr>
            <w:tcW w:w="12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59,334</w:t>
            </w:r>
          </w:p>
        </w:tc>
        <w:tc>
          <w:tcPr>
            <w:tcW w:w="2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112,144</w:t>
            </w:r>
          </w:p>
        </w:tc>
        <w:tc>
          <w:tcPr>
            <w:tcW w:w="10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119,104</w:t>
            </w:r>
          </w:p>
        </w:tc>
      </w:tr>
      <w:tr>
        <w:trPr>
          <w:trHeight w:val="264"/>
        </w:trPr>
        <w:tc>
          <w:tcPr>
            <w:tcW w:w="666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0"/>
        </w:trPr>
        <w:tc>
          <w:tcPr>
            <w:tcW w:w="666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17,508</w:t>
            </w:r>
          </w:p>
        </w:tc>
        <w:tc>
          <w:tcPr>
            <w:tcW w:w="12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86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18,052</w:t>
            </w:r>
          </w:p>
        </w:tc>
        <w:tc>
          <w:tcPr>
            <w:tcW w:w="2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33,372</w:t>
            </w:r>
          </w:p>
        </w:tc>
        <w:tc>
          <w:tcPr>
            <w:tcW w:w="10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84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34,307</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23,088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24,382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45,764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48,676</w:t>
            </w: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10,161</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10,306</w:t>
            </w:r>
          </w:p>
        </w:tc>
        <w:tc>
          <w:tcPr>
            <w:tcW w:w="2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19,690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20,470</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10,719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10,109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19,933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19,909</w:t>
            </w: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2,988</w:t>
            </w:r>
          </w:p>
        </w:tc>
        <w:tc>
          <w:tcPr>
            <w:tcW w:w="2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2,988</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1,178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2,490</w:t>
            </w:r>
          </w:p>
        </w:tc>
      </w:tr>
      <w:tr>
        <w:trPr>
          <w:trHeight w:val="33"/>
        </w:trPr>
        <w:tc>
          <w:tcPr>
            <w:tcW w:w="666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66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62,493</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67,015</w:t>
            </w:r>
          </w:p>
        </w:tc>
        <w:tc>
          <w:tcPr>
            <w:tcW w:w="2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120,700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128,840</w:t>
            </w:r>
          </w:p>
        </w:tc>
      </w:tr>
      <w:tr>
        <w:trPr>
          <w:trHeight w:val="217"/>
        </w:trPr>
        <w:tc>
          <w:tcPr>
            <w:tcW w:w="666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(7,681)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(8,556)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(9,736)</w:t>
            </w: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229</w:t>
            </w:r>
          </w:p>
        </w:tc>
        <w:tc>
          <w:tcPr>
            <w:tcW w:w="2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6660" w:type="dxa"/>
            <w:vAlign w:val="bottom"/>
          </w:tcPr>
          <w:p>
            <w:pPr>
              <w:ind w:left="40"/>
              <w:spacing w:after="0"/>
              <w:rPr>
                <w:sz w:val="20"/>
                <w:szCs w:val="20"/>
                <w:color w:val="auto"/>
              </w:rPr>
            </w:pPr>
            <w:r>
              <w:rPr>
                <w:rFonts w:ascii="Arial" w:cs="Arial" w:eastAsia="Arial" w:hAnsi="Arial"/>
                <w:sz w:val="16"/>
                <w:szCs w:val="16"/>
                <w:color w:val="auto"/>
              </w:rPr>
              <w:t>Loss before provision for (benefit from) income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(7,452)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(8,568)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(9,738)</w:t>
            </w: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1,306</w:t>
            </w:r>
          </w:p>
        </w:tc>
        <w:tc>
          <w:tcPr>
            <w:tcW w:w="1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(2,098)</w:t>
            </w:r>
          </w:p>
        </w:tc>
        <w:tc>
          <w:tcPr>
            <w:tcW w:w="2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(2,326)</w:t>
            </w:r>
          </w:p>
        </w:tc>
      </w:tr>
      <w:tr>
        <w:trPr>
          <w:trHeight w:val="284"/>
        </w:trPr>
        <w:tc>
          <w:tcPr>
            <w:tcW w:w="66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(7,766)</w:t>
            </w:r>
          </w:p>
        </w:tc>
        <w:tc>
          <w:tcPr>
            <w:tcW w:w="120" w:type="dxa"/>
            <w:vAlign w:val="bottom"/>
            <w:tcBorders>
              <w:bottom w:val="single" w:sz="8" w:color="CCFFCC"/>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(5,354)</w:t>
            </w:r>
          </w:p>
        </w:tc>
        <w:tc>
          <w:tcPr>
            <w:tcW w:w="2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tcBorders>
              <w:bottom w:val="single" w:sz="8" w:color="CCFFCC"/>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(7,412)</w:t>
            </w:r>
          </w:p>
        </w:tc>
      </w:tr>
      <w:tr>
        <w:trPr>
          <w:trHeight w:val="284"/>
        </w:trPr>
        <w:tc>
          <w:tcPr>
            <w:tcW w:w="666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spacing w:after="0"/>
              <w:rPr>
                <w:sz w:val="24"/>
                <w:szCs w:val="24"/>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Net loss per share of 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(0.09)</w:t>
            </w:r>
          </w:p>
        </w:tc>
        <w:tc>
          <w:tcPr>
            <w:tcW w:w="2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(0.13)</w:t>
            </w: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7"/>
        </w:trPr>
        <w:tc>
          <w:tcPr>
            <w:tcW w:w="666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2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84"/>
        </w:trPr>
        <w:tc>
          <w:tcPr>
            <w:tcW w:w="666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spacing w:after="0"/>
              <w:rPr>
                <w:sz w:val="24"/>
                <w:szCs w:val="24"/>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4"/>
              </w:rPr>
              <w:t>55,965,525</w:t>
            </w:r>
          </w:p>
        </w:tc>
        <w:tc>
          <w:tcPr>
            <w:tcW w:w="1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2"/>
              </w:rPr>
              <w:t>56,491,989</w:t>
            </w:r>
          </w:p>
        </w:tc>
        <w:tc>
          <w:tcPr>
            <w:tcW w:w="2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2"/>
              </w:rPr>
              <w:t>56,174,603</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89"/>
              </w:rPr>
              <w:t>56,392,240</w:t>
            </w: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7"/>
        </w:trPr>
        <w:tc>
          <w:tcPr>
            <w:tcW w:w="666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4"/>
              </w:rPr>
              <w:t>55,965,525</w:t>
            </w:r>
          </w:p>
        </w:tc>
        <w:tc>
          <w:tcPr>
            <w:tcW w:w="12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2"/>
              </w:rPr>
              <w:t>56,491,989</w:t>
            </w:r>
          </w:p>
        </w:tc>
        <w:tc>
          <w:tcPr>
            <w:tcW w:w="2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2"/>
              </w:rPr>
              <w:t>56,174,603</w:t>
            </w:r>
          </w:p>
        </w:tc>
        <w:tc>
          <w:tcPr>
            <w:tcW w:w="10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56,392,240</w:t>
            </w:r>
          </w:p>
        </w:tc>
      </w:tr>
      <w:tr>
        <w:trPr>
          <w:trHeight w:val="284"/>
        </w:trPr>
        <w:tc>
          <w:tcPr>
            <w:tcW w:w="666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spacing w:after="0"/>
              <w:rPr>
                <w:sz w:val="24"/>
                <w:szCs w:val="24"/>
                <w:color w:val="auto"/>
              </w:rPr>
            </w:pPr>
          </w:p>
        </w:tc>
      </w:tr>
      <w:tr>
        <w:trPr>
          <w:trHeight w:val="297"/>
        </w:trPr>
        <w:tc>
          <w:tcPr>
            <w:tcW w:w="666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280" w:type="dxa"/>
            <w:vAlign w:val="bottom"/>
            <w:tcBorders>
              <w:bottom w:val="single" w:sz="8" w:color="CCFFCC"/>
            </w:tcBorders>
          </w:tcPr>
          <w:p>
            <w:pPr>
              <w:spacing w:after="0"/>
              <w:rPr>
                <w:sz w:val="24"/>
                <w:szCs w:val="24"/>
                <w:color w:val="auto"/>
              </w:rPr>
            </w:pPr>
          </w:p>
        </w:tc>
        <w:tc>
          <w:tcPr>
            <w:tcW w:w="860" w:type="dxa"/>
            <w:vAlign w:val="bottom"/>
            <w:tcBorders>
              <w:bottom w:val="single" w:sz="8" w:color="CCFFCC"/>
            </w:tcBorders>
          </w:tcPr>
          <w:p>
            <w:pPr>
              <w:spacing w:after="0"/>
              <w:rPr>
                <w:sz w:val="24"/>
                <w:szCs w:val="24"/>
                <w:color w:val="auto"/>
              </w:rPr>
            </w:pPr>
          </w:p>
        </w:tc>
        <w:tc>
          <w:tcPr>
            <w:tcW w:w="22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280" w:type="dxa"/>
            <w:vAlign w:val="bottom"/>
            <w:tcBorders>
              <w:bottom w:val="single" w:sz="8" w:color="CCFFCC"/>
            </w:tcBorders>
          </w:tcPr>
          <w:p>
            <w:pPr>
              <w:spacing w:after="0"/>
              <w:rPr>
                <w:sz w:val="24"/>
                <w:szCs w:val="24"/>
                <w:color w:val="auto"/>
              </w:rPr>
            </w:pPr>
          </w:p>
        </w:tc>
        <w:tc>
          <w:tcPr>
            <w:tcW w:w="840" w:type="dxa"/>
            <w:vAlign w:val="bottom"/>
            <w:tcBorders>
              <w:bottom w:val="single" w:sz="8" w:color="CCFFCC"/>
            </w:tcBorders>
          </w:tcPr>
          <w:p>
            <w:pPr>
              <w:spacing w:after="0"/>
              <w:rPr>
                <w:sz w:val="24"/>
                <w:szCs w:val="24"/>
                <w:color w:val="auto"/>
              </w:rPr>
            </w:pPr>
          </w:p>
        </w:tc>
      </w:tr>
      <w:tr>
        <w:trPr>
          <w:trHeight w:val="250"/>
        </w:trPr>
        <w:tc>
          <w:tcPr>
            <w:tcW w:w="666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r>
      <w:tr>
        <w:trPr>
          <w:trHeight w:val="264"/>
        </w:trPr>
        <w:tc>
          <w:tcPr>
            <w:tcW w:w="666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
              <w:spacing w:after="0"/>
              <w:rPr>
                <w:sz w:val="20"/>
                <w:szCs w:val="20"/>
                <w:color w:val="auto"/>
              </w:rPr>
            </w:pPr>
            <w:r>
              <w:rPr>
                <w:rFonts w:ascii="Arial" w:cs="Arial" w:eastAsia="Arial" w:hAnsi="Arial"/>
                <w:sz w:val="14"/>
                <w:szCs w:val="14"/>
                <w:color w:val="auto"/>
              </w:rPr>
              <w:t>476</w:t>
            </w:r>
          </w:p>
        </w:tc>
        <w:tc>
          <w:tcPr>
            <w:tcW w:w="2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
              <w:spacing w:after="0"/>
              <w:rPr>
                <w:sz w:val="20"/>
                <w:szCs w:val="20"/>
                <w:color w:val="auto"/>
              </w:rPr>
            </w:pPr>
            <w:r>
              <w:rPr>
                <w:rFonts w:ascii="Arial" w:cs="Arial" w:eastAsia="Arial" w:hAnsi="Arial"/>
                <w:sz w:val="14"/>
                <w:szCs w:val="14"/>
                <w:color w:val="auto"/>
              </w:rPr>
              <w:t>804</w:t>
            </w:r>
          </w:p>
        </w:tc>
      </w:tr>
      <w:tr>
        <w:trPr>
          <w:trHeight w:val="276"/>
        </w:trPr>
        <w:tc>
          <w:tcPr>
            <w:tcW w:w="666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937</w:t>
            </w:r>
          </w:p>
        </w:tc>
        <w:tc>
          <w:tcPr>
            <w:tcW w:w="2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1,532</w:t>
            </w:r>
          </w:p>
        </w:tc>
      </w:tr>
      <w:tr>
        <w:trPr>
          <w:trHeight w:val="264"/>
        </w:trPr>
        <w:tc>
          <w:tcPr>
            <w:tcW w:w="666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941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4"/>
                <w:szCs w:val="14"/>
                <w:color w:val="auto"/>
              </w:rPr>
              <w:t>746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4"/>
                <w:szCs w:val="14"/>
                <w:color w:val="auto"/>
              </w:rPr>
              <w:t>1,678</w:t>
            </w:r>
          </w:p>
        </w:tc>
      </w:tr>
      <w:tr>
        <w:trPr>
          <w:trHeight w:val="276"/>
        </w:trPr>
        <w:tc>
          <w:tcPr>
            <w:tcW w:w="666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953</w:t>
            </w:r>
          </w:p>
        </w:tc>
        <w:tc>
          <w:tcPr>
            <w:tcW w:w="2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1,897</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1,892</w:t>
            </w:r>
          </w:p>
        </w:tc>
      </w:tr>
      <w:tr>
        <w:trPr>
          <w:trHeight w:val="270"/>
        </w:trPr>
        <w:tc>
          <w:tcPr>
            <w:tcW w:w="6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66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r>
      <w:tr>
        <w:trPr>
          <w:trHeight w:val="264"/>
        </w:trPr>
        <w:tc>
          <w:tcPr>
            <w:tcW w:w="666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
              <w:spacing w:after="0"/>
              <w:rPr>
                <w:sz w:val="20"/>
                <w:szCs w:val="20"/>
                <w:color w:val="auto"/>
              </w:rPr>
            </w:pPr>
            <w:r>
              <w:rPr>
                <w:rFonts w:ascii="Arial" w:cs="Arial" w:eastAsia="Arial" w:hAnsi="Arial"/>
                <w:sz w:val="14"/>
                <w:szCs w:val="14"/>
                <w:color w:val="auto"/>
              </w:rPr>
              <w:t>2,323</w:t>
            </w:r>
          </w:p>
        </w:tc>
        <w:tc>
          <w:tcPr>
            <w:tcW w:w="2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4,712</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
              <w:spacing w:after="0"/>
              <w:rPr>
                <w:sz w:val="20"/>
                <w:szCs w:val="20"/>
                <w:color w:val="auto"/>
              </w:rPr>
            </w:pPr>
            <w:r>
              <w:rPr>
                <w:rFonts w:ascii="Arial" w:cs="Arial" w:eastAsia="Arial" w:hAnsi="Arial"/>
                <w:sz w:val="14"/>
                <w:szCs w:val="14"/>
                <w:color w:val="auto"/>
              </w:rPr>
              <w:t>4,225</w:t>
            </w:r>
          </w:p>
        </w:tc>
      </w:tr>
      <w:tr>
        <w:trPr>
          <w:trHeight w:val="276"/>
        </w:trPr>
        <w:tc>
          <w:tcPr>
            <w:tcW w:w="666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314</w:t>
            </w:r>
          </w:p>
        </w:tc>
        <w:tc>
          <w:tcPr>
            <w:tcW w:w="2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565</w:t>
            </w:r>
          </w:p>
        </w:tc>
      </w:tr>
      <w:tr>
        <w:trPr>
          <w:trHeight w:val="264"/>
        </w:trPr>
        <w:tc>
          <w:tcPr>
            <w:tcW w:w="666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4"/>
                <w:szCs w:val="14"/>
                <w:color w:val="auto"/>
              </w:rPr>
              <w:t>473</w:t>
            </w:r>
          </w:p>
        </w:tc>
      </w:tr>
      <w:tr>
        <w:trPr>
          <w:trHeight w:val="276"/>
        </w:trPr>
        <w:tc>
          <w:tcPr>
            <w:tcW w:w="666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209</w:t>
            </w:r>
          </w:p>
        </w:tc>
        <w:tc>
          <w:tcPr>
            <w:tcW w:w="2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4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397</w:t>
            </w:r>
          </w:p>
        </w:tc>
      </w:tr>
      <w:tr>
        <w:trPr>
          <w:trHeight w:val="270"/>
        </w:trPr>
        <w:tc>
          <w:tcPr>
            <w:tcW w:w="6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66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r>
      <w:tr>
        <w:trPr>
          <w:trHeight w:val="258"/>
        </w:trPr>
        <w:tc>
          <w:tcPr>
            <w:tcW w:w="666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
              <w:spacing w:after="0"/>
              <w:rPr>
                <w:sz w:val="20"/>
                <w:szCs w:val="20"/>
                <w:color w:val="auto"/>
              </w:rPr>
            </w:pPr>
            <w:r>
              <w:rPr>
                <w:rFonts w:ascii="Arial" w:cs="Arial" w:eastAsia="Arial" w:hAnsi="Arial"/>
                <w:sz w:val="14"/>
                <w:szCs w:val="14"/>
                <w:color w:val="auto"/>
              </w:rPr>
              <w:t>839</w:t>
            </w:r>
          </w:p>
        </w:tc>
        <w:tc>
          <w:tcPr>
            <w:tcW w:w="2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
              <w:spacing w:after="0"/>
              <w:rPr>
                <w:sz w:val="20"/>
                <w:szCs w:val="20"/>
                <w:color w:val="auto"/>
              </w:rPr>
            </w:pPr>
            <w:r>
              <w:rPr>
                <w:rFonts w:ascii="Arial" w:cs="Arial" w:eastAsia="Arial" w:hAnsi="Arial"/>
                <w:sz w:val="14"/>
                <w:szCs w:val="14"/>
                <w:color w:val="auto"/>
              </w:rPr>
              <w:t>1,679</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24"/>
                <w:szCs w:val="24"/>
                <w:color w:val="auto"/>
              </w:rPr>
            </w:pPr>
          </w:p>
        </w:tc>
      </w:tr>
      <w:tr>
        <w:trPr>
          <w:trHeight w:val="264"/>
        </w:trPr>
        <w:tc>
          <w:tcPr>
            <w:tcW w:w="72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r>
      <w:tr>
        <w:trPr>
          <w:trHeight w:val="236"/>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(7,766)</w:t>
            </w:r>
          </w:p>
        </w:tc>
        <w:tc>
          <w:tcPr>
            <w:tcW w:w="1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FFCC"/>
            </w:tcBorders>
            <w:shd w:val="clear" w:color="auto" w:fill="CCFFCC"/>
          </w:tcPr>
          <w:p>
            <w:pPr>
              <w:jc w:val="right"/>
              <w:ind w:right="1"/>
              <w:spacing w:after="0"/>
              <w:rPr>
                <w:sz w:val="20"/>
                <w:szCs w:val="20"/>
                <w:color w:val="auto"/>
              </w:rPr>
            </w:pPr>
            <w:r>
              <w:rPr>
                <w:rFonts w:ascii="Arial" w:cs="Arial" w:eastAsia="Arial" w:hAnsi="Arial"/>
                <w:sz w:val="16"/>
                <w:szCs w:val="16"/>
                <w:color w:val="auto"/>
              </w:rPr>
              <w:t>(5,354)</w:t>
            </w:r>
          </w:p>
        </w:tc>
        <w:tc>
          <w:tcPr>
            <w:tcW w:w="2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(7,412)</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2,060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1,071</w:t>
            </w:r>
          </w:p>
        </w:tc>
      </w:tr>
      <w:tr>
        <w:trPr>
          <w:trHeight w:val="33"/>
        </w:trPr>
        <w:tc>
          <w:tcPr>
            <w:tcW w:w="72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(9,032)</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(3,294)</w:t>
            </w:r>
          </w:p>
        </w:tc>
        <w:tc>
          <w:tcPr>
            <w:tcW w:w="2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(12,927)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(6,341)</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119"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(10,429)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(7,412)</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5,345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5,906</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6,794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5,660</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3,335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4,169</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Deferred income taxes and other non-cash tax items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(1,114)</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Provision for doubtful accounts, net</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1,037</w:t>
            </w:r>
          </w:p>
        </w:tc>
      </w:tr>
      <w:tr>
        <w:trPr>
          <w:trHeight w:val="303"/>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(1,913)</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(2,762)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(2,902)</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assets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1,817</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(5,101)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(5,516)</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15,593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351</w:t>
            </w:r>
          </w:p>
        </w:tc>
      </w:tr>
      <w:tr>
        <w:trPr>
          <w:trHeight w:val="270"/>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1,166</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263</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14,762</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(6,646)</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(8,442)</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(5,464)</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20" w:type="dxa"/>
            <w:vAlign w:val="bottom"/>
            <w:shd w:val="clear" w:color="auto" w:fill="CCFFCC"/>
          </w:tcPr>
          <w:p>
            <w:pPr>
              <w:spacing w:after="0"/>
              <w:rPr>
                <w:sz w:val="23"/>
                <w:szCs w:val="23"/>
                <w:color w:val="auto"/>
              </w:rPr>
            </w:pP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(5,198)</w:t>
            </w:r>
          </w:p>
        </w:tc>
        <w:tc>
          <w:tcPr>
            <w:tcW w:w="120" w:type="dxa"/>
            <w:vAlign w:val="bottom"/>
            <w:tcBorders>
              <w:bottom w:val="single" w:sz="8" w:color="CCFFC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(14,056)</w:t>
            </w:r>
          </w:p>
        </w:tc>
      </w:tr>
      <w:tr>
        <w:trPr>
          <w:trHeight w:val="297"/>
        </w:trPr>
        <w:tc>
          <w:tcPr>
            <w:tcW w:w="83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Excess tax benefit from the exercise of employee stock options</w:t>
            </w:r>
          </w:p>
        </w:tc>
        <w:tc>
          <w:tcPr>
            <w:tcW w:w="920" w:type="dxa"/>
            <w:vAlign w:val="bottom"/>
            <w:shd w:val="clear" w:color="auto" w:fill="CCFFCC"/>
          </w:tcPr>
          <w:p>
            <w:pPr>
              <w:spacing w:after="0"/>
              <w:rPr>
                <w:sz w:val="24"/>
                <w:szCs w:val="24"/>
                <w:color w:val="auto"/>
              </w:rPr>
            </w:pP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757</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3,105</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(4,571)</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(2,534)</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provided by financing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(3,916)</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1,328</w:t>
            </w:r>
          </w:p>
        </w:tc>
      </w:tr>
      <w:tr>
        <w:trPr>
          <w:trHeight w:val="25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65</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CHANGE IN CASH AND CASH EQUIVALENTS</w:t>
            </w:r>
          </w:p>
        </w:tc>
        <w:tc>
          <w:tcPr>
            <w:tcW w:w="9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(12,333)</w:t>
            </w: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48,803</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49,372</w:t>
            </w:r>
          </w:p>
        </w:tc>
      </w:tr>
      <w:tr>
        <w:trPr>
          <w:trHeight w:val="283"/>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52,326</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37,039</w:t>
            </w:r>
          </w:p>
        </w:tc>
      </w:tr>
      <w:tr>
        <w:trPr>
          <w:trHeight w:val="264"/>
        </w:trPr>
        <w:tc>
          <w:tcPr>
            <w:tcW w:w="8340" w:type="dxa"/>
            <w:vAlign w:val="bottom"/>
            <w:shd w:val="clear" w:color="auto" w:fill="CCFFCC"/>
          </w:tcPr>
          <w:p>
            <w:pPr>
              <w:spacing w:after="0"/>
              <w:rPr>
                <w:sz w:val="22"/>
                <w:szCs w:val="22"/>
                <w:color w:val="auto"/>
              </w:rPr>
            </w:pP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Cash paid for income taxes</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923</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1,122</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580</w:t>
            </w:r>
          </w:p>
        </w:tc>
      </w:tr>
      <w:tr>
        <w:trPr>
          <w:trHeight w:val="21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Leasehold improvements funded by landlord</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international offices in Amsterdam, Berlin, London, Mannheim, Melbourne, Milan, Paris, Ra'anana (Israel), Reading (UK), and Tokyo.</w:t>
      </w:r>
    </w:p>
    <w:p>
      <w:pPr>
        <w:spacing w:after="0" w:line="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 provides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email systems or call a 1-800 number. Brands leverage LivePerson’s sophisticated intelligence engine and suite of text and mobile messaging, real-time chat messaging, content delivery, and cobrowsing offerings to proactively engage with consumers through m-dot sites, mobile apps, the desktop, social media and third-party consumer messaging platforms. The Company’s campaign-based messaging enables the brand to target the right consumer at the right time on a brand’s site by leveraging proprietary analysis and data-driven intelligence.</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data the Company gathers and analyzes, on behalf of its customers, spans the breadth of an online or mobile visitor session, starting from an initial keyword search or application login, through actions on the website or mobile application of the Company’s customer, and even into a shopping cart and an executed sale. The Company combines this session data with other historical, behavioral and operational information to develop insights into each step of a consumer’s journey for sales and service transactions. These unique, industry- and use-case specific insights are mapped to each brand’s business goals in order to deliver successful campaign outcomes. LivePerson’s products, coupled with its domain knowledge, industry expertise and consulting services, have been proven to maximize the effectiveness of consumer engagement.</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mobile and online messaging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June 30, 2016 and for the three and six months ended June 30, 2016 and 2015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June 30, 2016, and the consolidated results of operations, comprehensive loss and cash flows for the interim periods ended June 30, 2016 and 2015.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2015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2015, included in the Company’s Annual Report on Form 10-K filed with the SEC on March 15,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comparability, certain 2015 amounts have been reclassified, where appropriate, to conform to the financial presentation in 2016. The Company reclassified $0.2 million related to the fair value adjustment of the contingent earn-out for Engage Pty Ltd. (“Engage”) from cost of revenue to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November 2015, the Financial Accounting Standards Board (“FASB”) issued Accounting Standards Update No. 2015-17, “Income taxes: Balance Sheet Classification of Deferred Taxes Business” (“ASU 2015-17”). Topic 740, Income Taxes,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ASU 2015-17 requires that deferred income tax liabilities and assets be classified as noncurrent in a classified statement of financial position. ASU 2015-17 is effective for financial statements issued for annual periods beginning after December 15, 2016, and interim periods within those annual periods. The Company has elected to early adopt ASU 2015-17 on its financial statements effective June 30, 2016 on a prospective basis.</w:t>
      </w:r>
    </w:p>
    <w:p>
      <w:pPr>
        <w:spacing w:after="0" w:line="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2015, FASB issued Accounting Standards Update No. 2015-16, “Business Combinations: Simplifying the Accounting for Measurement-Period Adjustments” (“ASU 2015-16”). ASU 2015-16 requires that an acquirer recognize adjustments to provisional amounts that are identified 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This standard became effective for the Company in the first quarter of 2016, and is applied on a prospective basis to adjustments to provisional amounts that occur after the effective date with no material impact to its financial statements.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2015, FASB issued Accounting Standards Update No. 2015-02, Consolidation: Amendments to the Consolidation Analysis (“ASU 2015-02”), which affects reporting entities that are required to evaluate whether they should consolidate 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The Company adopted this standard during the first quarter of 2016 and there was no material impact of this on its financial statements.</w:t>
      </w:r>
    </w:p>
    <w:p>
      <w:pPr>
        <w:spacing w:after="0" w:line="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May 2014,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the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The Company will adopt this guidance at the beginning of its first quarter of fiscal year 2018. Adoption of this guidance is not expected to have a material impact on the Company’s financial statements.</w:t>
      </w:r>
    </w:p>
    <w:p>
      <w:pPr>
        <w:spacing w:after="0" w:line="29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quarterly or annual fee, which varies by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type of service, the level of customer usage and website traffic, and in some cases, the number of orders placed via the Company’s online engagement solutions.</w:t>
      </w:r>
    </w:p>
    <w:p>
      <w:pPr>
        <w:spacing w:after="0" w:line="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The Company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29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Diluted net loss per common share for the three and six months ended June 30, 2016 does not include the effect of 9,156,278 outstanding common stock awards, as the effect of their inclusion is anti-dilutive. Diluted net loss per common share for the three and six months ended June 30, 2015 does not include the effect of 11,358,658 outstanding common stock awards, as the effect of their inclusion is anti-dilutive.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276"/>
        </w:trPr>
        <w:tc>
          <w:tcPr>
            <w:tcW w:w="5620" w:type="dxa"/>
            <w:vAlign w:val="bottom"/>
          </w:tcPr>
          <w:p>
            <w:pPr>
              <w:spacing w:after="0"/>
              <w:rPr>
                <w:sz w:val="24"/>
                <w:szCs w:val="24"/>
                <w:color w:val="auto"/>
              </w:rPr>
            </w:pPr>
          </w:p>
        </w:tc>
        <w:tc>
          <w:tcPr>
            <w:tcW w:w="1860" w:type="dxa"/>
            <w:vAlign w:val="bottom"/>
            <w:tcBorders>
              <w:bottom w:val="single" w:sz="8" w:color="auto"/>
            </w:tcBorders>
            <w:gridSpan w:val="3"/>
          </w:tcPr>
          <w:p>
            <w:pPr>
              <w:jc w:val="center"/>
              <w:ind w:left="943"/>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FFCC"/>
            </w:tcBorders>
          </w:tcPr>
          <w:p>
            <w:pPr>
              <w:spacing w:after="0"/>
              <w:rPr>
                <w:sz w:val="22"/>
                <w:szCs w:val="22"/>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FFCC"/>
            </w:tcBorders>
          </w:tcPr>
          <w:p>
            <w:pPr>
              <w:spacing w:after="0"/>
              <w:rPr>
                <w:sz w:val="22"/>
                <w:szCs w:val="22"/>
                <w:color w:val="auto"/>
              </w:rPr>
            </w:pP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236"/>
        </w:trPr>
        <w:tc>
          <w:tcPr>
            <w:tcW w:w="5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1380" w:type="dxa"/>
            <w:vAlign w:val="bottom"/>
            <w:tcBorders>
              <w:bottom w:val="single" w:sz="8" w:color="CCFFCC"/>
            </w:tcBorders>
            <w:shd w:val="clear" w:color="auto" w:fill="CCFFCC"/>
          </w:tcPr>
          <w:p>
            <w:pPr>
              <w:jc w:val="right"/>
              <w:ind w:right="63"/>
              <w:spacing w:after="0"/>
              <w:rPr>
                <w:sz w:val="20"/>
                <w:szCs w:val="20"/>
                <w:color w:val="auto"/>
              </w:rPr>
            </w:pPr>
            <w:r>
              <w:rPr>
                <w:rFonts w:ascii="Arial" w:cs="Arial" w:eastAsia="Arial" w:hAnsi="Arial"/>
                <w:sz w:val="16"/>
                <w:szCs w:val="16"/>
                <w:color w:val="auto"/>
              </w:rPr>
              <w:t>55,965,525</w:t>
            </w:r>
          </w:p>
        </w:tc>
        <w:tc>
          <w:tcPr>
            <w:tcW w:w="1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56,491,989</w:t>
            </w:r>
          </w:p>
        </w:tc>
        <w:tc>
          <w:tcPr>
            <w:tcW w:w="140" w:type="dxa"/>
            <w:vAlign w:val="bottom"/>
            <w:tcBorders>
              <w:bottom w:val="single" w:sz="8" w:color="CCFFCC"/>
            </w:tcBorders>
            <w:shd w:val="clear" w:color="auto" w:fill="CCFFCC"/>
          </w:tcPr>
          <w:p>
            <w:pPr>
              <w:spacing w:after="0"/>
              <w:rPr>
                <w:sz w:val="20"/>
                <w:szCs w:val="20"/>
                <w:color w:val="auto"/>
              </w:rPr>
            </w:pPr>
          </w:p>
        </w:tc>
        <w:tc>
          <w:tcPr>
            <w:tcW w:w="134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56,174,603</w:t>
            </w:r>
          </w:p>
        </w:tc>
        <w:tc>
          <w:tcPr>
            <w:tcW w:w="10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56,392,240</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Effect of assumed exercised options</w:t>
            </w:r>
          </w:p>
        </w:tc>
        <w:tc>
          <w:tcPr>
            <w:tcW w:w="186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FFC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1380" w:type="dxa"/>
            <w:vAlign w:val="bottom"/>
            <w:tcBorders>
              <w:bottom w:val="single" w:sz="8" w:color="auto"/>
            </w:tcBorders>
            <w:shd w:val="clear" w:color="auto" w:fill="CCFFCC"/>
          </w:tcPr>
          <w:p>
            <w:pPr>
              <w:jc w:val="right"/>
              <w:ind w:right="63"/>
              <w:spacing w:after="0"/>
              <w:rPr>
                <w:sz w:val="20"/>
                <w:szCs w:val="20"/>
                <w:color w:val="auto"/>
              </w:rPr>
            </w:pPr>
            <w:r>
              <w:rPr>
                <w:rFonts w:ascii="Arial" w:cs="Arial" w:eastAsia="Arial" w:hAnsi="Arial"/>
                <w:sz w:val="16"/>
                <w:szCs w:val="16"/>
                <w:color w:val="auto"/>
              </w:rPr>
              <w:t>55,965,525</w:t>
            </w:r>
          </w:p>
        </w:tc>
        <w:tc>
          <w:tcPr>
            <w:tcW w:w="1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56,491,989</w:t>
            </w:r>
          </w:p>
        </w:tc>
        <w:tc>
          <w:tcPr>
            <w:tcW w:w="14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56,174,603</w:t>
            </w:r>
          </w:p>
        </w:tc>
        <w:tc>
          <w:tcPr>
            <w:tcW w:w="10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spacing w:after="0"/>
              <w:rPr>
                <w:sz w:val="21"/>
                <w:szCs w:val="21"/>
                <w:color w:val="auto"/>
              </w:rPr>
            </w:pPr>
          </w:p>
        </w:tc>
        <w:tc>
          <w:tcPr>
            <w:tcW w:w="9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56,392,240</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2016,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46,729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46,729</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4,238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4,238</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5,712</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52,441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4,238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56,679</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16,691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17,508</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21,315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1,773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23,088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1,017</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20,880</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20,880</w:t>
            </w:r>
          </w:p>
        </w:tc>
      </w:tr>
      <w:tr>
        <w:trPr>
          <w:trHeight w:val="244"/>
        </w:trPr>
        <w:tc>
          <w:tcPr>
            <w:tcW w:w="61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13,418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1,648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(20,880)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(5,814)</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June 30,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50,197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50,197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3,862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3,862</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5,275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5,275</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55,472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3,862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59,334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17,436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18,052</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22,617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24,382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1,178</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23,403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23,403</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14,241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2016,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92,688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92,688</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8,004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8,004</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11,452</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104,140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8,004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112,144</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31,929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33,372</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42,328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3,436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45,764</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1,941</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39,623</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39,623</w:t>
            </w:r>
          </w:p>
        </w:tc>
      </w:tr>
      <w:tr>
        <w:trPr>
          <w:trHeight w:val="244"/>
        </w:trPr>
        <w:tc>
          <w:tcPr>
            <w:tcW w:w="61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27,942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(8,556)</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six months ended June 30,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100,809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100,809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7,559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7,559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10,736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10,736</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111,545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7,559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119,104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33,053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34,307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45,531</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3,145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48,676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2,490</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43,367</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43,367</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30,471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3,160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(43,367)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FFC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236"/>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38,272</w:t>
            </w:r>
          </w:p>
        </w:tc>
        <w:tc>
          <w:tcPr>
            <w:tcW w:w="14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38,996</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76,063</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80,437</w:t>
            </w:r>
          </w:p>
        </w:tc>
      </w:tr>
      <w:tr>
        <w:trPr>
          <w:trHeight w:val="270"/>
        </w:trPr>
        <w:tc>
          <w:tcPr>
            <w:tcW w:w="60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1,546</w:t>
            </w:r>
          </w:p>
        </w:tc>
        <w:tc>
          <w:tcPr>
            <w:tcW w:w="140" w:type="dxa"/>
            <w:vAlign w:val="bottom"/>
            <w:tcBorders>
              <w:bottom w:val="single" w:sz="8" w:color="CCFFC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3,145</w:t>
            </w:r>
          </w:p>
        </w:tc>
        <w:tc>
          <w:tcPr>
            <w:tcW w:w="120" w:type="dxa"/>
            <w:vAlign w:val="bottom"/>
            <w:tcBorders>
              <w:bottom w:val="single" w:sz="8" w:color="CCFFC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3,092</w:t>
            </w:r>
          </w:p>
        </w:tc>
        <w:tc>
          <w:tcPr>
            <w:tcW w:w="100" w:type="dxa"/>
            <w:vAlign w:val="bottom"/>
            <w:tcBorders>
              <w:bottom w:val="single" w:sz="8" w:color="CCFFC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5,848</w:t>
            </w:r>
          </w:p>
        </w:tc>
      </w:tr>
      <w:tr>
        <w:trPr>
          <w:trHeight w:val="23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32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39,818</w:t>
            </w:r>
          </w:p>
        </w:tc>
        <w:tc>
          <w:tcPr>
            <w:tcW w:w="14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42,141</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79,155</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86,285</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EMEA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12,274</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13,421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23,880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25,206</w:t>
            </w:r>
          </w:p>
        </w:tc>
      </w:tr>
      <w:tr>
        <w:trPr>
          <w:trHeight w:val="270"/>
        </w:trPr>
        <w:tc>
          <w:tcPr>
            <w:tcW w:w="606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4,587</w:t>
            </w:r>
          </w:p>
        </w:tc>
        <w:tc>
          <w:tcPr>
            <w:tcW w:w="140" w:type="dxa"/>
            <w:vAlign w:val="bottom"/>
            <w:shd w:val="clear" w:color="auto" w:fill="CCFFCC"/>
          </w:tcPr>
          <w:p>
            <w:pPr>
              <w:spacing w:after="0"/>
              <w:rPr>
                <w:sz w:val="23"/>
                <w:szCs w:val="23"/>
                <w:color w:val="auto"/>
              </w:rPr>
            </w:pPr>
          </w:p>
        </w:tc>
        <w:tc>
          <w:tcPr>
            <w:tcW w:w="380" w:type="dxa"/>
            <w:vAlign w:val="bottom"/>
            <w:tcBorders>
              <w:bottom w:val="single" w:sz="8" w:color="auto"/>
            </w:tcBorders>
            <w:shd w:val="clear" w:color="auto" w:fill="CCFFCC"/>
          </w:tcPr>
          <w:p>
            <w:pPr>
              <w:spacing w:after="0"/>
              <w:rPr>
                <w:sz w:val="23"/>
                <w:szCs w:val="23"/>
                <w:color w:val="auto"/>
              </w:rPr>
            </w:pPr>
          </w:p>
        </w:tc>
        <w:tc>
          <w:tcPr>
            <w:tcW w:w="10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3,772</w:t>
            </w:r>
          </w:p>
        </w:tc>
        <w:tc>
          <w:tcPr>
            <w:tcW w:w="12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9,109</w:t>
            </w:r>
          </w:p>
        </w:tc>
        <w:tc>
          <w:tcPr>
            <w:tcW w:w="100" w:type="dxa"/>
            <w:vAlign w:val="bottom"/>
            <w:shd w:val="clear" w:color="auto" w:fill="CCFFCC"/>
          </w:tcPr>
          <w:p>
            <w:pPr>
              <w:spacing w:after="0"/>
              <w:rPr>
                <w:sz w:val="23"/>
                <w:szCs w:val="23"/>
                <w:color w:val="auto"/>
              </w:rPr>
            </w:pPr>
          </w:p>
        </w:tc>
        <w:tc>
          <w:tcPr>
            <w:tcW w:w="32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7,613</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56,679</w:t>
            </w:r>
          </w:p>
        </w:tc>
        <w:tc>
          <w:tcPr>
            <w:tcW w:w="14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59,334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112,144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119,104</w:t>
            </w: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ectPr>
          <w:pgSz w:w="11900" w:h="16838" w:orient="portrait"/>
          <w:cols w:equalWidth="0" w:num="1">
            <w:col w:w="11420"/>
          </w:cols>
          <w:pgMar w:left="240" w:top="584" w:right="2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95,171</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96,362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15,173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16,393</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8,556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8,290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30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7,467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8,285</w:t>
            </w: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2,482</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128,606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131,812</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June 30, 2016 and December 31, 2015</w:t>
      </w:r>
    </w:p>
    <w:p>
      <w:pPr>
        <w:spacing w:after="0" w:line="2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six months ended June 30, 2016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2015</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72,298</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80,322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38</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June 30, 2016</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72,336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80,360</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As of June 30, 2016</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378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308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3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28,050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(17,818)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10,232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 years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308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16,016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(7,777)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8,239</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 years</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 years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308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 years</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Patents</w:t>
            </w: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3,690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2,656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 years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30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3.0 years</w:t>
            </w:r>
          </w:p>
        </w:tc>
        <w:tc>
          <w:tcPr>
            <w:tcW w:w="0" w:type="dxa"/>
            <w:vAlign w:val="bottom"/>
          </w:tcPr>
          <w:p>
            <w:pPr>
              <w:spacing w:after="0"/>
              <w:rPr>
                <w:sz w:val="1"/>
                <w:szCs w:val="1"/>
                <w:color w:val="auto"/>
              </w:rPr>
            </w:pPr>
          </w:p>
        </w:tc>
      </w:tr>
      <w:tr>
        <w:trPr>
          <w:trHeight w:val="244"/>
        </w:trPr>
        <w:tc>
          <w:tcPr>
            <w:tcW w:w="3780" w:type="dxa"/>
            <w:vAlign w:val="bottom"/>
          </w:tcPr>
          <w:p>
            <w:pPr>
              <w:ind w:left="280"/>
              <w:spacing w:after="0"/>
              <w:rPr>
                <w:sz w:val="20"/>
                <w:szCs w:val="20"/>
                <w:color w:val="auto"/>
              </w:rPr>
            </w:pPr>
            <w:r>
              <w:rPr>
                <w:rFonts w:ascii="Arial" w:cs="Arial" w:eastAsia="Arial" w:hAnsi="Arial"/>
                <w:sz w:val="16"/>
                <w:szCs w:val="16"/>
                <w:color w:val="auto"/>
              </w:rPr>
              <w:t>Total</w:t>
            </w:r>
          </w:p>
        </w:tc>
        <w:tc>
          <w:tcPr>
            <w:tcW w:w="30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50,764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21,550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80" w:type="dxa"/>
            <w:vAlign w:val="bottom"/>
            <w:vMerge w:val="restart"/>
          </w:tcPr>
          <w:p>
            <w:pPr>
              <w:jc w:val="right"/>
              <w:ind w:right="974"/>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(15,723)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12,282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(6,873)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9,135</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3,440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3.0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50,498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24,619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$1.7 million and $2.0 million for the three months ended June 30, 2016 and 2015, respectively. Aggregate amortization expense for intangible assets was $3.3 million and $4.2 million for the six months ended June 30, 2016 and 2015, respectively. For the three and six months ended June 30, 2016 and 2015, respectively, a portion of this amortization is included in cost of revenue. Estimated amortization expense for the next five years is as follows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2016</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3,326</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4,934</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2,827</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2,608</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2,417</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5,438</w:t>
            </w:r>
          </w:p>
        </w:tc>
      </w:tr>
      <w:tr>
        <w:trPr>
          <w:trHeight w:val="33"/>
        </w:trPr>
        <w:tc>
          <w:tcPr>
            <w:tcW w:w="9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21,550</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FFCC"/>
            </w:tcBorders>
          </w:tcPr>
          <w:p>
            <w:pPr>
              <w:spacing w:after="0"/>
              <w:rPr>
                <w:sz w:val="16"/>
                <w:szCs w:val="16"/>
                <w:color w:val="auto"/>
              </w:rPr>
            </w:pPr>
          </w:p>
        </w:tc>
        <w:tc>
          <w:tcPr>
            <w:tcW w:w="374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404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73,429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67,631</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13,849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FFCC"/>
            </w:tcBorders>
          </w:tcPr>
          <w:p>
            <w:pPr>
              <w:spacing w:after="0"/>
              <w:rPr>
                <w:sz w:val="2"/>
                <w:szCs w:val="2"/>
                <w:color w:val="auto"/>
              </w:rPr>
            </w:pPr>
          </w:p>
        </w:tc>
        <w:tc>
          <w:tcPr>
            <w:tcW w:w="37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FFCC"/>
            </w:tcBorders>
            <w:shd w:val="clear" w:color="auto" w:fill="CCFFCC"/>
          </w:tcPr>
          <w:p>
            <w:pPr>
              <w:spacing w:after="0"/>
              <w:rPr>
                <w:sz w:val="21"/>
                <w:szCs w:val="21"/>
                <w:color w:val="auto"/>
              </w:rPr>
            </w:pPr>
          </w:p>
        </w:tc>
        <w:tc>
          <w:tcPr>
            <w:tcW w:w="374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87,278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81,392</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(57,263)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FFCC"/>
            </w:tcBorders>
          </w:tcPr>
          <w:p>
            <w:pPr>
              <w:spacing w:after="0"/>
              <w:rPr>
                <w:sz w:val="2"/>
                <w:szCs w:val="2"/>
                <w:color w:val="auto"/>
              </w:rPr>
            </w:pPr>
          </w:p>
        </w:tc>
        <w:tc>
          <w:tcPr>
            <w:tcW w:w="37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4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5"/>
              <w:spacing w:after="0"/>
              <w:rPr>
                <w:sz w:val="20"/>
                <w:szCs w:val="20"/>
                <w:color w:val="auto"/>
              </w:rPr>
            </w:pPr>
            <w:r>
              <w:rPr>
                <w:rFonts w:ascii="Arial" w:cs="Arial" w:eastAsia="Arial" w:hAnsi="Arial"/>
                <w:sz w:val="18"/>
                <w:szCs w:val="18"/>
                <w:color w:val="auto"/>
              </w:rPr>
              <w:t>23,221</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FFCC"/>
          </w:tcPr>
          <w:p>
            <w:pPr>
              <w:jc w:val="right"/>
              <w:ind w:right="15"/>
              <w:spacing w:after="0"/>
              <w:rPr>
                <w:sz w:val="20"/>
                <w:szCs w:val="20"/>
                <w:color w:val="auto"/>
              </w:rPr>
            </w:pPr>
            <w:r>
              <w:rPr>
                <w:rFonts w:ascii="Arial" w:cs="Arial" w:eastAsia="Arial" w:hAnsi="Arial"/>
                <w:sz w:val="18"/>
                <w:szCs w:val="18"/>
                <w:color w:val="auto"/>
              </w:rPr>
              <w:t>24,129</w:t>
            </w:r>
          </w:p>
        </w:tc>
        <w:tc>
          <w:tcPr>
            <w:tcW w:w="0" w:type="dxa"/>
            <w:vAlign w:val="bottom"/>
          </w:tcPr>
          <w:p>
            <w:pPr>
              <w:spacing w:after="0"/>
              <w:rPr>
                <w:sz w:val="1"/>
                <w:szCs w:val="1"/>
                <w:color w:val="auto"/>
              </w:rPr>
            </w:pPr>
          </w:p>
        </w:tc>
      </w:tr>
      <w:tr>
        <w:trPr>
          <w:trHeight w:val="20"/>
        </w:trPr>
        <w:tc>
          <w:tcPr>
            <w:tcW w:w="4600" w:type="dxa"/>
            <w:vAlign w:val="bottom"/>
            <w:tcBorders>
              <w:top w:val="single" w:sz="8" w:color="CCFFCC"/>
            </w:tcBorders>
          </w:tcPr>
          <w:p>
            <w:pPr>
              <w:spacing w:after="0" w:line="20" w:lineRule="exact"/>
              <w:rPr>
                <w:sz w:val="1"/>
                <w:szCs w:val="1"/>
                <w:color w:val="auto"/>
              </w:rPr>
            </w:pPr>
          </w:p>
        </w:tc>
        <w:tc>
          <w:tcPr>
            <w:tcW w:w="3740" w:type="dxa"/>
            <w:vAlign w:val="bottom"/>
            <w:tcBorders>
              <w:top w:val="single" w:sz="8" w:color="CCFFCC"/>
              <w:bottom w:val="single" w:sz="8" w:color="CCFFCC"/>
            </w:tcBorders>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6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4" w:name="page15"/>
    <w:bookmarkEnd w:id="14"/>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14,107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12,372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commissions</w:t>
            </w:r>
          </w:p>
        </w:tc>
        <w:tc>
          <w:tcPr>
            <w:tcW w:w="3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4,522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Contingent earnout (see Notes 8 and 9)</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2,918</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29,209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34,296</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 Pty Ltd.</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9, 2012, the Company acquired all of the outstanding shares of Engage Pty Ltd. (“Engage”), an Australian provider of cloud-based customer contact solutions. The transaction was accounted for under the purchase method of accounting and, accordingly, the operating results of Engage were included in the Company’s consolidated results of operations from the date of acquisition.</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purchase price was approximately $10.6 million. The total acquisition costs incurred in the year ended December 31, 2012 were approximately $0.5 million and are included in general and administrative expenses in the Company’s condensed consolidated statements of operations for the same period. The acquisition enhances the Company’s ability to offer intelligent engagement solutions to businesses in the Asia Pacific region. Of the total purchase price, $0.8 million was allocated to the net book values of the acquired assets and assumed liabilities. The historical carrying amounts of such assets and liabilities approximated their fair values. All receivables acquired are expected to be collectible. The purchase price in excess of the fair value of the net book values of the assets acquired and liabilities assumed was allocated to intangible assets based on management’s best estimate of fair values, taking into account all relevant information available at the time of acquisition, and the excess was allocated to goodwill. The goodwill is not deductible for tax purposes. The intangible assets are being amortized over their expected period of benefit. The purchase price includes approximately $1.7 million of potential earn-out consideration for the shareholders if certain revenue targets are achieved. The earn-out is payable in shares of LivePerson common stock and cash. The Company recorded the contingent earn-out as part of the purchase price. In accordance with ASC 480, the Company had classified this amount as a liability with the amount included in accrued expenses. At June 30, 2015, the Company assessed this earn-out and recorded a $0.7 million fair value re-measurement adjustment, which was recorded in operating income as a decrease to general and administrative expenses and cost of revenue. As of June 30, 2016, there was no remaining liability included in accrued expenses relating to this earn-out.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Synchronite,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 2014, the Company acquired Synchronite, LLC (“Synchronite”), a German-based start-up that provides co-browsing technology. The transaction was accounted for under the purchase method of accounting and, accordingly, the operating results of Synchronite were included in the Company’s consolidated results of operations from the date of acquisition.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5" w:name="page16"/>
    <w:bookmarkEnd w:id="15"/>
    <w:p>
      <w:pPr>
        <w:jc w:val="both"/>
        <w:ind w:firstLine="648"/>
        <w:spacing w:after="0" w:line="287" w:lineRule="auto"/>
        <w:rPr>
          <w:sz w:val="20"/>
          <w:szCs w:val="20"/>
          <w:color w:val="auto"/>
        </w:rPr>
      </w:pPr>
      <w:r>
        <w:rPr>
          <w:rFonts w:ascii="Arial" w:cs="Arial" w:eastAsia="Arial" w:hAnsi="Arial"/>
          <w:sz w:val="16"/>
          <w:szCs w:val="16"/>
          <w:color w:val="auto"/>
        </w:rPr>
        <w:t>The allocation of the total purchase price of approximately $4.1 million was based upon the estimated fair value of Synchronite’s net tangible and identifiable intangible assets as of the date of acquisition. The total acquisition costs incurred were approximately $0.4 million and are included in general and administrative expenses in the Company’s condensed consolidated statements of operations. Of the total purchase price, $45,000 was allocated to the net book values of the acquired assets and assumed liabilities. The historical carrying amounts of such assets and liabilities approximated their fair values. All receivables acquired are expected to be collectible. The purchase price includes approximately $2.7 million of goodwill and approximately $1.5 million of intangible assets. The goodwill is deductible for tax purposes. The intangible assets are being amortized over their expected period of benefit. The purchase price includes $1.8 million of potential earn-out consideration for the shareholders if complete product integration is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June 30, 2016 condensed consolidated balance sheet, due to the variable number of shares that will be issued if and when the targets are achieved. For the year ended December 31, 2015, the Company made $1.6 million of earn-out payments. The remaining potential earn-out consideration at June 30, 2016 was $0.2 million. The Company will continue to assess the earn-out calculation in future periods and any future adjustments will affect operating income.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At Once!, LLC</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7, 2014, the Company acquired Contact At Once!, LLC (“CAO!”), a software company with a cloud-based platform that instantly connects consumers with businesses through instant messaging, text messaging, chat, social media and video over the internet for consumer-to-business sales conversions. The transaction was accounted for under the purchase method of accounting and, accordingly, the operating results of CAO! were included in the Company’s consolidated results of operations from the date of acquisition.</w:t>
      </w:r>
    </w:p>
    <w:p>
      <w:pPr>
        <w:spacing w:after="0" w:line="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allocation of the total purchase price of approximately $67.0 million, which includes approximately $42.8 million in cash, approximately $20.0 million in shares of common stock and approximately $4.2 million of potential earn-out consideration in cash, was based upon the estimated fair value of CAO!’s net tangible and identifiable intangible assets as of the date of acquisition. The historical carrying amounts of such assets and liabilities approximated their fair values. All receivables acquired are expected to be collectible. The purchase price includes approximately $45.1 million of goodwill and approximately $20.4 million of intangible assets. The goodwill will be deductible for tax purposes. The intangible assets are being amortized over their expected period of benefit. The purchase price includes $4.2 million of potential earn-out consideration for the shareholders if certain targeted financial, strategic and integration objectives is achieved. The earn-out is payable in cash. The Company recorded the contingent earn-out as part of the purchase price. In accordance with ASC 480, the Company had classified this amount as a liability included in accrued expenses in the consolidated balance sheet. During the year ended December 31, 2015, the Company assessed this earn-out and recorded a $3.2 million fair value re-measurement adjustment, which was recorded in loss from operations as a decrease to general and administrative expenses. During the six months ended June 30, 2016, the Company made cash payments of $0.2 million. There is no remaining liability included in accrued expenses relating to this contingent earn-out as of June 30, 2016.</w:t>
      </w:r>
    </w:p>
    <w:p>
      <w:pPr>
        <w:spacing w:after="0" w:line="27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Company’s assets and liabilities that are measured at fair value on a recurring basis, by level, within the fair value hierarchy as of June 30, 2016 and December 31, 2015, are summarized as follows (amounts in thousands). The Company’s restricted cash balance of $4.0 million at June 30, 2016 and $5.4 million at December 31, 2015 is not held in a money market account and is not included in the following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80"/>
              <w:spacing w:after="0"/>
              <w:rPr>
                <w:sz w:val="20"/>
                <w:szCs w:val="20"/>
                <w:color w:val="auto"/>
              </w:rPr>
            </w:pPr>
            <w:r>
              <w:rPr>
                <w:rFonts w:ascii="Arial" w:cs="Arial" w:eastAsia="Arial" w:hAnsi="Arial"/>
                <w:sz w:val="16"/>
                <w:szCs w:val="16"/>
                <w:b w:val="1"/>
                <w:bCs w:val="1"/>
                <w:color w:val="auto"/>
              </w:rPr>
              <w:t>June 30, 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3,073</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3,073</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3,073</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3,360</w:t>
            </w: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4,161</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310</w:t>
            </w:r>
          </w:p>
        </w:tc>
      </w:tr>
      <w:tr>
        <w:trPr>
          <w:trHeight w:val="244"/>
        </w:trPr>
        <w:tc>
          <w:tcPr>
            <w:tcW w:w="41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687</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contingent earn-out amounts as of June 30, 2016 are recorded in accrued expense on the condensed consolidated balance sheet and are payable in 2016. The contingent earn-out balance as of June 30, 2016 relates to Synchronite and is based on the fulfillment of a complete product integration and a minimum number of “Co-Browse” interactions per month.</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Contingent Earn-Out</w:t>
            </w:r>
          </w:p>
        </w:tc>
      </w:tr>
      <w:tr>
        <w:trPr>
          <w:trHeight w:val="264"/>
        </w:trPr>
        <w:tc>
          <w:tcPr>
            <w:tcW w:w="8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2015</w:t>
            </w:r>
          </w:p>
        </w:tc>
      </w:tr>
      <w:tr>
        <w:trPr>
          <w:trHeight w:val="236"/>
        </w:trPr>
        <w:tc>
          <w:tcPr>
            <w:tcW w:w="82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Period</w:t>
            </w: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377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6,940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payments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(2,883)</w:t>
            </w:r>
          </w:p>
        </w:tc>
      </w:tr>
      <w:tr>
        <w:trPr>
          <w:trHeight w:val="3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2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Changes in fair value</w:t>
            </w:r>
          </w:p>
        </w:tc>
        <w:tc>
          <w:tcPr>
            <w:tcW w:w="18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(3,680)</w:t>
            </w:r>
          </w:p>
        </w:tc>
      </w:tr>
      <w:tr>
        <w:trPr>
          <w:trHeight w:val="244"/>
        </w:trPr>
        <w:tc>
          <w:tcPr>
            <w:tcW w:w="824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377</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$4.0 million at June 30, 2016, and $5.4 million at December 31, 2015 recorded as cash held as collateral in current assets.</w:t>
      </w:r>
    </w:p>
    <w:p>
      <w:pPr>
        <w:spacing w:after="0" w:line="3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6"/>
              </w:rPr>
              <w:t>As of June 30, 2016</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2015</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62"/>
              <w:spacing w:after="0"/>
              <w:rPr>
                <w:sz w:val="20"/>
                <w:szCs w:val="20"/>
                <w:color w:val="auto"/>
              </w:rPr>
            </w:pPr>
            <w:r>
              <w:rPr>
                <w:rFonts w:ascii="Arial" w:cs="Arial" w:eastAsia="Arial" w:hAnsi="Arial"/>
                <w:sz w:val="16"/>
                <w:szCs w:val="16"/>
                <w:color w:val="auto"/>
              </w:rPr>
              <w:t>43,067</w:t>
            </w:r>
          </w:p>
        </w:tc>
        <w:tc>
          <w:tcPr>
            <w:tcW w:w="7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43,431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266</w:t>
            </w:r>
          </w:p>
        </w:tc>
        <w:tc>
          <w:tcPr>
            <w:tcW w:w="7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(208)</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7"/>
              </w:rPr>
              <w:t>Fair Value of Derivative Instruments</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June 30, 2016</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 2015</w:t>
            </w:r>
          </w:p>
        </w:tc>
        <w:tc>
          <w:tcPr>
            <w:tcW w:w="0" w:type="dxa"/>
            <w:vAlign w:val="bottom"/>
          </w:tcPr>
          <w:p>
            <w:pPr>
              <w:spacing w:after="0"/>
              <w:rPr>
                <w:sz w:val="1"/>
                <w:szCs w:val="1"/>
                <w:color w:val="auto"/>
              </w:rPr>
            </w:pPr>
          </w:p>
        </w:tc>
      </w:tr>
      <w:tr>
        <w:trPr>
          <w:trHeight w:val="250"/>
        </w:trPr>
        <w:tc>
          <w:tcPr>
            <w:tcW w:w="44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Derivative Assets</w:t>
            </w:r>
          </w:p>
        </w:tc>
        <w:tc>
          <w:tcPr>
            <w:tcW w:w="34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5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46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tcPr>
          <w:p>
            <w:pPr>
              <w:ind w:left="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5800" w:type="dxa"/>
            <w:vAlign w:val="bottom"/>
            <w:tcBorders>
              <w:bottom w:val="single" w:sz="8" w:color="auto"/>
            </w:tcBorders>
            <w:gridSpan w:val="13"/>
          </w:tcPr>
          <w:p>
            <w:pPr>
              <w:jc w:val="right"/>
              <w:ind w:right="363"/>
              <w:spacing w:after="0"/>
              <w:rPr>
                <w:sz w:val="20"/>
                <w:szCs w:val="20"/>
                <w:color w:val="auto"/>
              </w:rPr>
            </w:pPr>
            <w:r>
              <w:rPr>
                <w:rFonts w:ascii="Arial" w:cs="Arial" w:eastAsia="Arial" w:hAnsi="Arial"/>
                <w:sz w:val="14"/>
                <w:szCs w:val="14"/>
                <w:b w:val="1"/>
                <w:bCs w:val="1"/>
                <w:color w:val="auto"/>
                <w:w w:val="99"/>
              </w:rPr>
              <w:t>Gain (losses) on Derivative Instruments Recognized in Statements of Operations</w:t>
            </w:r>
          </w:p>
        </w:tc>
      </w:tr>
      <w:tr>
        <w:trPr>
          <w:trHeight w:val="264"/>
        </w:trPr>
        <w:tc>
          <w:tcPr>
            <w:tcW w:w="56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64"/>
        </w:trPr>
        <w:tc>
          <w:tcPr>
            <w:tcW w:w="562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18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6"/>
                <w:szCs w:val="16"/>
                <w:color w:val="auto"/>
              </w:rPr>
              <w:t>Other (expense)income</w:t>
            </w:r>
          </w:p>
        </w:tc>
        <w:tc>
          <w:tcPr>
            <w:tcW w:w="22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33</w:t>
            </w:r>
          </w:p>
        </w:tc>
      </w:tr>
      <w:tr>
        <w:trPr>
          <w:trHeight w:val="20"/>
        </w:trPr>
        <w:tc>
          <w:tcPr>
            <w:tcW w:w="5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and six months ended June 30, 2016 was approximately $2.6 million and $5.3 million, respectively. Rental expense for operating leases for the three and six months ended June 30, 2015 was approximately $2.4 million and $4.9 million,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$0.3 million and $0.7 million of employer matching contributions for the three and six months ended June 30, 2016, respectively. Salaries and related expenses include $0.4 million and $0.8 million of employer matching contributions for the three and six months ended June 30, 2015,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2016,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and six months ended June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June 30, 2016, there were 100,000,000 shares of common stock authorized, and 57,772,165 shares issued and outstanding. As of December 31, 2015, there were 100,000,000 shares of common stock authorized, and 57,374,907 shares issued and outstanding. The par value for common shares is $0.001.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2016 and December 31, 2015,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March 5, 2015, the Company’s Board of Directors extended the expiration date of the program out to December 31, 2016. On February 16, 2016, the Company's Board of Directors increased the aggregate purchase price of the total stock repurchase program by an additional $14.0 million. There were 837,773 shares repurchased under this program during the six months ended June 30, 2016, which were recorded in treasury stock at par on the condensed consolidated balance sheets as of June 30, 2016. As of June 30, 2016, approximately $15.5 million remained available for purchase under the program.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 share weighted average fair value of stock options granted during the three and six months ended June 30, 2016 was $3.03 and $3.00, respectively. The per share weighted average fair value of stock options granted during the three and six months ended June 30, 2015 was $4.20 and $4.54, respectively. The fair value of each option grant is estimated on the date of grant using the Black-Scholes option-pricing model with the following weighted average assumptions: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0" w:type="dxa"/>
            <w:vAlign w:val="bottom"/>
            <w:gridSpan w:val="3"/>
          </w:tcPr>
          <w:p>
            <w:pPr>
              <w:jc w:val="center"/>
              <w:ind w:left="163"/>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3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163"/>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FFCC"/>
            </w:tcBorders>
          </w:tcPr>
          <w:p>
            <w:pPr>
              <w:spacing w:after="0"/>
              <w:rPr>
                <w:sz w:val="22"/>
                <w:szCs w:val="22"/>
                <w:color w:val="auto"/>
              </w:rPr>
            </w:pPr>
          </w:p>
        </w:tc>
        <w:tc>
          <w:tcPr>
            <w:tcW w:w="1420" w:type="dxa"/>
            <w:vAlign w:val="bottom"/>
            <w:tcBorders>
              <w:bottom w:val="single" w:sz="8" w:color="auto"/>
            </w:tcBorders>
            <w:gridSpan w:val="2"/>
          </w:tcPr>
          <w:p>
            <w:pPr>
              <w:jc w:val="center"/>
              <w:ind w:left="221"/>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36"/>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93"/>
              </w:rPr>
              <w:t>0.0%</w:t>
            </w:r>
          </w:p>
        </w:tc>
        <w:tc>
          <w:tcPr>
            <w:tcW w:w="12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501"/>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420" w:type="dxa"/>
            <w:vAlign w:val="bottom"/>
            <w:tcBorders>
              <w:bottom w:val="single" w:sz="8" w:color="CCFFCC"/>
            </w:tcBorders>
            <w:gridSpan w:val="2"/>
            <w:shd w:val="clear" w:color="auto" w:fill="CCFFCC"/>
          </w:tcPr>
          <w:p>
            <w:pPr>
              <w:jc w:val="center"/>
              <w:ind w:left="221"/>
              <w:spacing w:after="0"/>
              <w:rPr>
                <w:sz w:val="20"/>
                <w:szCs w:val="20"/>
                <w:color w:val="auto"/>
              </w:rPr>
            </w:pPr>
            <w:r>
              <w:rPr>
                <w:rFonts w:ascii="Arial" w:cs="Arial" w:eastAsia="Arial" w:hAnsi="Arial"/>
                <w:sz w:val="16"/>
                <w:szCs w:val="16"/>
                <w:color w:val="auto"/>
                <w:w w:val="87"/>
              </w:rPr>
              <w:t>0.0%</w:t>
            </w:r>
          </w:p>
        </w:tc>
        <w:tc>
          <w:tcPr>
            <w:tcW w:w="2100" w:type="dxa"/>
            <w:vAlign w:val="bottom"/>
            <w:tcBorders>
              <w:bottom w:val="single" w:sz="8" w:color="CCFFCC"/>
            </w:tcBorders>
            <w:gridSpan w:val="4"/>
            <w:shd w:val="clear" w:color="auto" w:fill="CCFFCC"/>
          </w:tcPr>
          <w:p>
            <w:pPr>
              <w:jc w:val="center"/>
              <w:ind w:left="321"/>
              <w:spacing w:after="0"/>
              <w:rPr>
                <w:sz w:val="20"/>
                <w:szCs w:val="20"/>
                <w:color w:val="auto"/>
              </w:rPr>
            </w:pPr>
            <w:r>
              <w:rPr>
                <w:rFonts w:ascii="Arial" w:cs="Arial" w:eastAsia="Arial" w:hAnsi="Arial"/>
                <w:sz w:val="16"/>
                <w:szCs w:val="16"/>
                <w:color w:val="auto"/>
                <w:w w:val="93"/>
              </w:rPr>
              <w:t>0.0%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920" w:type="dxa"/>
            <w:vAlign w:val="bottom"/>
          </w:tcPr>
          <w:p>
            <w:pPr>
              <w:ind w:left="20"/>
              <w:spacing w:after="0"/>
              <w:rPr>
                <w:sz w:val="20"/>
                <w:szCs w:val="20"/>
                <w:color w:val="auto"/>
              </w:rPr>
            </w:pPr>
            <w:r>
              <w:rPr>
                <w:rFonts w:ascii="Arial" w:cs="Arial" w:eastAsia="Arial" w:hAnsi="Arial"/>
                <w:sz w:val="16"/>
                <w:szCs w:val="16"/>
                <w:color w:val="auto"/>
              </w:rPr>
              <w:t>- 1.4%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3"/>
              </w:rPr>
              <w:t>1.4%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620" w:type="dxa"/>
            <w:vAlign w:val="bottom"/>
          </w:tcPr>
          <w:p>
            <w:pPr>
              <w:ind w:left="40"/>
              <w:spacing w:after="0"/>
              <w:rPr>
                <w:sz w:val="20"/>
                <w:szCs w:val="20"/>
                <w:color w:val="auto"/>
              </w:rPr>
            </w:pPr>
            <w:r>
              <w:rPr>
                <w:rFonts w:ascii="Arial" w:cs="Arial" w:eastAsia="Arial" w:hAnsi="Arial"/>
                <w:sz w:val="16"/>
                <w:szCs w:val="16"/>
                <w:color w:val="auto"/>
              </w:rPr>
              <w:t>- 1.4%</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900" w:type="dxa"/>
            <w:vAlign w:val="bottom"/>
          </w:tcPr>
          <w:p>
            <w:pPr>
              <w:ind w:left="20"/>
              <w:spacing w:after="0"/>
              <w:rPr>
                <w:sz w:val="20"/>
                <w:szCs w:val="20"/>
                <w:color w:val="auto"/>
              </w:rPr>
            </w:pPr>
            <w:r>
              <w:rPr>
                <w:rFonts w:ascii="Arial" w:cs="Arial" w:eastAsia="Arial" w:hAnsi="Arial"/>
                <w:sz w:val="16"/>
                <w:szCs w:val="16"/>
                <w:color w:val="auto"/>
              </w:rPr>
              <w:t>- 1.4%</w:t>
            </w:r>
          </w:p>
        </w:tc>
      </w:tr>
      <w:tr>
        <w:trPr>
          <w:trHeight w:val="33"/>
        </w:trPr>
        <w:tc>
          <w:tcPr>
            <w:tcW w:w="4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8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center"/>
              <w:ind w:right="723"/>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jc w:val="center"/>
              <w:ind w:right="421"/>
              <w:spacing w:after="0"/>
              <w:rPr>
                <w:sz w:val="20"/>
                <w:szCs w:val="20"/>
                <w:color w:val="auto"/>
              </w:rPr>
            </w:pPr>
            <w:r>
              <w:rPr>
                <w:rFonts w:ascii="Arial" w:cs="Arial" w:eastAsia="Arial" w:hAnsi="Arial"/>
                <w:sz w:val="16"/>
                <w:szCs w:val="16"/>
                <w:color w:val="auto"/>
                <w:w w:val="89"/>
              </w:rPr>
              <w:t>5</w:t>
            </w:r>
          </w:p>
        </w:tc>
        <w:tc>
          <w:tcPr>
            <w:tcW w:w="3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center"/>
              <w:ind w:right="739"/>
              <w:spacing w:after="0"/>
              <w:rPr>
                <w:sz w:val="20"/>
                <w:szCs w:val="20"/>
                <w:color w:val="auto"/>
              </w:rPr>
            </w:pPr>
            <w:r>
              <w:rPr>
                <w:rFonts w:ascii="Arial" w:cs="Arial" w:eastAsia="Arial" w:hAnsi="Arial"/>
                <w:sz w:val="16"/>
                <w:szCs w:val="16"/>
                <w:color w:val="auto"/>
                <w:w w:val="89"/>
              </w:rPr>
              <w:t>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47.7%</w:t>
            </w:r>
          </w:p>
        </w:tc>
        <w:tc>
          <w:tcPr>
            <w:tcW w:w="920" w:type="dxa"/>
            <w:vAlign w:val="bottom"/>
          </w:tcPr>
          <w:p>
            <w:pPr>
              <w:ind w:left="20"/>
              <w:spacing w:after="0"/>
              <w:rPr>
                <w:sz w:val="20"/>
                <w:szCs w:val="20"/>
                <w:color w:val="auto"/>
              </w:rPr>
            </w:pPr>
            <w:r>
              <w:rPr>
                <w:rFonts w:ascii="Arial" w:cs="Arial" w:eastAsia="Arial" w:hAnsi="Arial"/>
                <w:sz w:val="16"/>
                <w:szCs w:val="16"/>
                <w:color w:val="auto"/>
              </w:rPr>
              <w:t>- 48.2%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2"/>
              </w:rPr>
              <w:t>49.4%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w:t>
            </w:r>
          </w:p>
        </w:tc>
        <w:tc>
          <w:tcPr>
            <w:tcW w:w="620" w:type="dxa"/>
            <w:vAlign w:val="bottom"/>
          </w:tcPr>
          <w:p>
            <w:pPr>
              <w:ind w:left="40"/>
              <w:spacing w:after="0"/>
              <w:rPr>
                <w:sz w:val="20"/>
                <w:szCs w:val="20"/>
                <w:color w:val="auto"/>
              </w:rPr>
            </w:pPr>
            <w:r>
              <w:rPr>
                <w:rFonts w:ascii="Arial" w:cs="Arial" w:eastAsia="Arial" w:hAnsi="Arial"/>
                <w:sz w:val="16"/>
                <w:szCs w:val="16"/>
                <w:color w:val="auto"/>
              </w:rPr>
              <w:t>- 48.2%</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49.4%</w:t>
            </w:r>
          </w:p>
        </w:tc>
        <w:tc>
          <w:tcPr>
            <w:tcW w:w="900" w:type="dxa"/>
            <w:vAlign w:val="bottom"/>
          </w:tcPr>
          <w:p>
            <w:pPr>
              <w:ind w:left="20"/>
              <w:spacing w:after="0"/>
              <w:rPr>
                <w:sz w:val="20"/>
                <w:szCs w:val="20"/>
                <w:color w:val="auto"/>
              </w:rPr>
            </w:pPr>
            <w:r>
              <w:rPr>
                <w:rFonts w:ascii="Arial" w:cs="Arial" w:eastAsia="Arial" w:hAnsi="Arial"/>
                <w:sz w:val="16"/>
                <w:szCs w:val="16"/>
                <w:color w:val="auto"/>
              </w:rPr>
              <w:t>- 49.7%</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 thereby reserving for issuance 23,817,744 shares of common stock in the aggregate. Options to acquire common stock granted thereunder have 10-year terms. As of June 30, 2016, approximately 2,409,000 shares of common stock were reserved for issuance under the 2009 Plan (taking into account all option exercises through June 30,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As of June 30, 2016, approximately 284,000 shares of common stock were reserved for issuance under the Employee Stock Purchase Plan (taking into account all share purchases through June 30,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2015</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9,139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June 30, 2016</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8,366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1,738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7,961</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June 30, 2016</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5,573</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six months ended June 30, 2016 was approximately $89,927. As of June 30, 2016, there was approximately $9.6 million of total unrecognized compensation cost related to nonvested share-based compensation arrangements. That cost is expected to be recognized over a weighted average period of approximately 1.7 years.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June 30,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6"/>
                <w:szCs w:val="16"/>
                <w:b w:val="1"/>
                <w:bCs w:val="1"/>
                <w:color w:val="auto"/>
              </w:rPr>
              <w:t>Options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Weighted-Average Remaining</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Number of Shares (in</w:t>
            </w:r>
          </w:p>
        </w:tc>
        <w:tc>
          <w:tcPr>
            <w:tcW w:w="30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Weighted-Average</w:t>
            </w:r>
          </w:p>
        </w:tc>
      </w:tr>
      <w:tr>
        <w:trPr>
          <w:trHeight w:val="210"/>
        </w:trPr>
        <w:tc>
          <w:tcPr>
            <w:tcW w:w="220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thousands)</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Contractual Life (Years)</w:t>
            </w:r>
          </w:p>
        </w:tc>
        <w:tc>
          <w:tcPr>
            <w:tcW w:w="4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thousands)</w:t>
            </w:r>
          </w:p>
        </w:tc>
        <w:tc>
          <w:tcPr>
            <w:tcW w:w="30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$1.79 - $7.02</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1,150</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2.52</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5.04</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1,135</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5.03</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$7.04 - $9.24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1,045</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6.92</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8.88</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$9.34 - $10.05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977</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7.81</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464</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9.72</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$10.09 - $10.09</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4.64</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10.09</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$10.13 - $10.13</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1,219</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7.69</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616</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10.13</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$10.31 - $12.32</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945</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6.22</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694</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11.47</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$12.46 - $13.28</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1,295</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5.17</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1,142</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13.09</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$13.34 - $16.00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840</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7.10</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14.71</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$16.98 - $18.09</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886</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6.00</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684</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17.46</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$18.24 - $18.24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6.08</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18.24</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18.24</w:t>
            </w:r>
          </w:p>
        </w:tc>
      </w:tr>
      <w:tr>
        <w:trPr>
          <w:trHeight w:val="3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24"/>
        </w:trPr>
        <w:tc>
          <w:tcPr>
            <w:tcW w:w="20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60" w:type="dxa"/>
            <w:vAlign w:val="bottom"/>
            <w:tcBorders>
              <w:bottom w:val="single" w:sz="8" w:color="auto"/>
            </w:tcBorders>
            <w:shd w:val="clear" w:color="auto" w:fill="CCFFCC"/>
          </w:tcPr>
          <w:p>
            <w:pPr>
              <w:spacing w:after="0"/>
              <w:rPr>
                <w:sz w:val="24"/>
                <w:szCs w:val="24"/>
                <w:color w:val="auto"/>
              </w:rPr>
            </w:pPr>
          </w:p>
        </w:tc>
        <w:tc>
          <w:tcPr>
            <w:tcW w:w="2640" w:type="dxa"/>
            <w:vAlign w:val="bottom"/>
            <w:shd w:val="clear" w:color="auto" w:fill="CCFFCC"/>
          </w:tcPr>
          <w:p>
            <w:pPr>
              <w:spacing w:after="0"/>
              <w:rPr>
                <w:sz w:val="24"/>
                <w:szCs w:val="24"/>
                <w:color w:val="auto"/>
              </w:rPr>
            </w:pPr>
          </w:p>
        </w:tc>
        <w:tc>
          <w:tcPr>
            <w:tcW w:w="4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700" w:type="dxa"/>
            <w:vAlign w:val="bottom"/>
            <w:tcBorders>
              <w:bottom w:val="single" w:sz="8" w:color="auto"/>
            </w:tcBorders>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1620" w:type="dxa"/>
            <w:vAlign w:val="bottom"/>
            <w:shd w:val="clear" w:color="auto" w:fill="CCFFCC"/>
          </w:tcPr>
          <w:p>
            <w:pPr>
              <w:spacing w:after="0"/>
              <w:rPr>
                <w:sz w:val="24"/>
                <w:szCs w:val="24"/>
                <w:color w:val="auto"/>
              </w:rPr>
            </w:pPr>
          </w:p>
        </w:tc>
      </w:tr>
      <w:tr>
        <w:trPr>
          <w:trHeight w:val="244"/>
        </w:trPr>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8,366</w:t>
            </w:r>
          </w:p>
        </w:tc>
        <w:tc>
          <w:tcPr>
            <w:tcW w:w="264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5,754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10.96</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Shares (in</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2015</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June 30, 2016</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5,009</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4,132</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RSUs granted to employees generally vest over a four-year period. As of June 30, 2016, total unrecognized compensation cost, adjusted for estimated forfeitures, related to nonvested RSUs was approximately $8.1 million and the weighted-average remaining vesting period was 3.0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Company's restructuring costs relate to the termination and severance costs associated with a large customer contract, as well as re-prioritizing and reallocating resources to focus on areas showing high growth potential. There was no expense associated with this restructuring during the three and six months ended June 30, 2016. The expense associated with this restructuring was approximately $3.0 million during the three and six months ended June 30, 2015 and is classified in the condensed consolidated statements of operations as restructuring costs. The restructuring liability was approximately $1.7 million as of June 30, 2015 and is classified as accrued expenses and other current liabilities on the condensed consolidated balance sheets. The following table present the detail of expenses and liability for the Company's restructuring charges for the periods presented (amounts in thousands):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Expense incurred during the Six</w:t>
            </w:r>
          </w:p>
        </w:tc>
        <w:tc>
          <w:tcPr>
            <w:tcW w:w="180" w:type="dxa"/>
            <w:vAlign w:val="bottom"/>
          </w:tcPr>
          <w:p>
            <w:pPr>
              <w:spacing w:after="0"/>
              <w:rPr>
                <w:sz w:val="14"/>
                <w:szCs w:val="14"/>
                <w:color w:val="auto"/>
              </w:rPr>
            </w:pPr>
          </w:p>
        </w:tc>
        <w:tc>
          <w:tcPr>
            <w:tcW w:w="20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6"/>
              </w:rPr>
              <w:t>Liability as of June 30, 2015</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Months Ended June 30, 2015</w:t>
            </w:r>
          </w:p>
        </w:tc>
        <w:tc>
          <w:tcPr>
            <w:tcW w:w="18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 termination costs</w:t>
            </w: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1,745</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Severance and other associated costs</w:t>
            </w:r>
          </w:p>
        </w:tc>
        <w:tc>
          <w:tcPr>
            <w:tcW w:w="140" w:type="dxa"/>
            <w:vAlign w:val="bottom"/>
          </w:tcPr>
          <w:p>
            <w:pPr>
              <w:spacing w:after="0"/>
              <w:rPr>
                <w:sz w:val="20"/>
                <w:szCs w:val="20"/>
                <w:color w:val="auto"/>
              </w:rPr>
            </w:pPr>
          </w:p>
        </w:tc>
        <w:tc>
          <w:tcPr>
            <w:tcW w:w="2160" w:type="dxa"/>
            <w:vAlign w:val="bottom"/>
          </w:tcPr>
          <w:p>
            <w:pPr>
              <w:jc w:val="right"/>
              <w:ind w:right="23"/>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jc w:val="right"/>
              <w:ind w:right="21"/>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2,988</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33"/>
        </w:trPr>
        <w:tc>
          <w:tcPr>
            <w:tcW w:w="674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21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20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Discovery in the New York case is in process. On June 22, 2015, [24]7 Customer, Inc. filed suit against the Company in the Northern District of California alleging patent infringement. On December 7, 2015, [24]7 Customer Inc. filed a second patent infringement suit against the Company, also in the Northern District of California. On January 5, 2016, the two California cases were consolidated for all pre-trial purposes. The Company believes the claims filed by [24]7 Customer Inc. are without merit and intends to defend them vigorously.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26" w:right="239" w:bottom="1440" w:gutter="0" w:footer="0" w:header="0"/>
        </w:sectPr>
      </w:pPr>
    </w:p>
    <w:bookmarkStart w:id="22" w:name="page23"/>
    <w:bookmarkEnd w:id="22"/>
    <w:p>
      <w:pPr>
        <w:ind w:right="3980"/>
        <w:spacing w:after="0" w:line="378" w:lineRule="auto"/>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LivePerson was incorporated in the State of Delaware in November 1995 and the LivePerson service was introduced in November 1998. We are a leading provider of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outdated email systems or call a 1-800 number. Brands leverage LiveEngage’s sophisticated intelligence engine and suite of text and mobile messaging, real-time chat messaging, content delivery, and cobrowsing offerings to proactively engage with consumers through m-dot sites, mobile apps, the desktop, social media and third-party consumer messaging platforms. Our campaign-based messaging enables the brand to target the right consumer at the right time on a brand's site by leveraging proprietary analysis and data driven intelligence.</w:t>
      </w:r>
    </w:p>
    <w:p>
      <w:pPr>
        <w:spacing w:after="0" w:line="5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and suite of online and mobile messaging offerings to proactively engage with consumers.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facilitate meaningful connection and expert advice. To accomplish this, we are focused on the following current initiatives:</w:t>
      </w:r>
    </w:p>
    <w:p>
      <w:pPr>
        <w:spacing w:after="0" w:line="38" w:lineRule="exact"/>
        <w:rPr>
          <w:sz w:val="20"/>
          <w:szCs w:val="20"/>
          <w:color w:val="auto"/>
        </w:rPr>
      </w:pPr>
    </w:p>
    <w:p>
      <w:pPr>
        <w:jc w:val="both"/>
        <w:ind w:left="460" w:hanging="330"/>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Expanding Business with Existing Customers and Adding New Customers. </w:t>
      </w:r>
      <w:r>
        <w:rPr>
          <w:rFonts w:ascii="Arial" w:cs="Arial" w:eastAsia="Arial" w:hAnsi="Arial"/>
          <w:sz w:val="16"/>
          <w:szCs w:val="16"/>
          <w:color w:val="auto"/>
        </w:rPr>
        <w:t>We segmented our sales organization to increase productivity. Our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are solely focused on adding new customers, while our account managers are tasked with retaining and expanding existing customers.We also anticipate leveraging our LiveEngage platform to increase adoption of real-time, campaign-based messaging across our customer’s online properties and to expand with brands offline, by shifting onto our mobile messaging platform a portion of calls made to 1-800 numbers.</w:t>
      </w:r>
    </w:p>
    <w:p>
      <w:pPr>
        <w:spacing w:after="0" w:line="46" w:lineRule="exact"/>
        <w:rPr>
          <w:rFonts w:ascii="Arial" w:cs="Arial" w:eastAsia="Arial" w:hAnsi="Arial"/>
          <w:sz w:val="16"/>
          <w:szCs w:val="16"/>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Introducing New Products and Capabilities. </w:t>
      </w:r>
      <w:r>
        <w:rPr>
          <w:rFonts w:ascii="Arial" w:cs="Arial" w:eastAsia="Arial" w:hAnsi="Arial"/>
          <w:sz w:val="18"/>
          <w:szCs w:val="18"/>
          <w:color w:val="auto"/>
        </w:rPr>
        <w:t>We are investing in product marketing, mobile resources, research and development,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to support our efforts to build and launch new products and capabilities, to support existing customer deployments, and to further penetrate our total addressable market. These investments are initially focused in the areas of online and mobile consumer engagement, enhanced data and reporting and chat transcript text analysis. Over time, we expect to develop and launch additional capabilities that leverage our existing market position as a leader in mobile and online messaging.</w:t>
      </w:r>
    </w:p>
    <w:p>
      <w:pPr>
        <w:spacing w:after="0" w:line="80" w:lineRule="exact"/>
        <w:rPr>
          <w:rFonts w:ascii="Arial" w:cs="Arial" w:eastAsia="Arial" w:hAnsi="Arial"/>
          <w:sz w:val="18"/>
          <w:szCs w:val="18"/>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Leveraging Partners to Enhance our Offering. </w:t>
      </w:r>
      <w:r>
        <w:rPr>
          <w:rFonts w:ascii="Arial" w:cs="Arial" w:eastAsia="Arial" w:hAnsi="Arial"/>
          <w:sz w:val="18"/>
          <w:szCs w:val="18"/>
          <w:color w:val="auto"/>
        </w:rPr>
        <w:t>In addition to developing our own applications, we continue to cultivate a partner eco-system 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additional applications and services to our customers. For example, in 2015 we integrated LiveEngage with one of the leading consumer messaging platforms.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w:t>
      </w:r>
    </w:p>
    <w:p>
      <w:pPr>
        <w:spacing w:after="0" w:line="80" w:lineRule="exact"/>
        <w:rPr>
          <w:rFonts w:ascii="Arial" w:cs="Arial" w:eastAsia="Arial" w:hAnsi="Arial"/>
          <w:sz w:val="18"/>
          <w:szCs w:val="18"/>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Maintaining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left="460"/>
        <w:spacing w:after="0" w:line="324" w:lineRule="auto"/>
        <w:rPr>
          <w:sz w:val="20"/>
          <w:szCs w:val="20"/>
          <w:color w:val="auto"/>
        </w:rPr>
      </w:pPr>
      <w:r>
        <w:rPr>
          <w:rFonts w:ascii="Arial" w:cs="Arial" w:eastAsia="Arial" w:hAnsi="Arial"/>
          <w:sz w:val="18"/>
          <w:szCs w:val="18"/>
          <w:color w:val="auto"/>
        </w:rPr>
        <w:t>the demands of the world’s largest and most demanding corporations. We believe that these efforts will allow us to effectively anticipate changing customer and consumer requirements in our rapidly evolving industry.</w:t>
      </w:r>
    </w:p>
    <w:p>
      <w:pPr>
        <w:spacing w:after="0" w:line="35" w:lineRule="exact"/>
        <w:rPr>
          <w:sz w:val="20"/>
          <w:szCs w:val="20"/>
          <w:color w:val="auto"/>
        </w:rPr>
      </w:pPr>
    </w:p>
    <w:p>
      <w:pPr>
        <w:jc w:val="both"/>
        <w:ind w:left="460" w:hanging="330"/>
        <w:spacing w:after="0" w:line="28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Expanding our International Presence. </w:t>
      </w:r>
      <w:r>
        <w:rPr>
          <w:rFonts w:ascii="Arial" w:cs="Arial" w:eastAsia="Arial" w:hAnsi="Arial"/>
          <w:sz w:val="17"/>
          <w:szCs w:val="17"/>
          <w:color w:val="auto"/>
        </w:rPr>
        <w:t>We continue to invest in sales and support personnel in the United Kingdom, Asia-Pacific, Latin America and</w:t>
      </w:r>
      <w:r>
        <w:rPr>
          <w:rFonts w:ascii="Arial" w:cs="Arial" w:eastAsia="Arial" w:hAnsi="Arial"/>
          <w:sz w:val="17"/>
          <w:szCs w:val="17"/>
          <w:i w:val="1"/>
          <w:iCs w:val="1"/>
          <w:color w:val="auto"/>
        </w:rPr>
        <w:t xml:space="preserve"> </w:t>
      </w:r>
      <w:r>
        <w:rPr>
          <w:rFonts w:ascii="Arial" w:cs="Arial" w:eastAsia="Arial" w:hAnsi="Arial"/>
          <w:sz w:val="17"/>
          <w:szCs w:val="17"/>
          <w:color w:val="auto"/>
        </w:rPr>
        <w:t>Western Europe. We are also working with sales and support partners in the Asia-Pacific region. We continue to improve our e-commerce capabilities, and the multi-language and translation capabilities within our hosted solutions to further support international expansion.</w:t>
      </w:r>
    </w:p>
    <w:p>
      <w:pPr>
        <w:spacing w:after="0" w:line="57" w:lineRule="exact"/>
        <w:rPr>
          <w:rFonts w:ascii="Arial" w:cs="Arial" w:eastAsia="Arial" w:hAnsi="Arial"/>
          <w:sz w:val="17"/>
          <w:szCs w:val="17"/>
          <w:color w:val="auto"/>
        </w:rPr>
      </w:pPr>
    </w:p>
    <w:p>
      <w:pPr>
        <w:jc w:val="both"/>
        <w:ind w:left="460" w:hanging="330"/>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Continuing to Build Brand Recognition. </w:t>
      </w:r>
      <w:r>
        <w:rPr>
          <w:rFonts w:ascii="Arial" w:cs="Arial" w:eastAsia="Arial" w:hAnsi="Arial"/>
          <w:sz w:val="18"/>
          <w:szCs w:val="18"/>
          <w:color w:val="auto"/>
        </w:rPr>
        <w:t>As a pioneer of brand-to-consumer digital messaging, LivePerson enjoys strong brand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w:t>
      </w:r>
    </w:p>
    <w:p>
      <w:pPr>
        <w:spacing w:after="0" w:line="78" w:lineRule="exact"/>
        <w:rPr>
          <w:rFonts w:ascii="Arial" w:cs="Arial" w:eastAsia="Arial" w:hAnsi="Arial"/>
          <w:sz w:val="18"/>
          <w:szCs w:val="18"/>
          <w:color w:val="auto"/>
        </w:rPr>
      </w:pPr>
    </w:p>
    <w:p>
      <w:pPr>
        <w:jc w:val="both"/>
        <w:ind w:left="460" w:hanging="330"/>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Increasing the Value of Our Service to Our Customers. </w:t>
      </w:r>
      <w:r>
        <w:rPr>
          <w:rFonts w:ascii="Arial" w:cs="Arial" w:eastAsia="Arial" w:hAnsi="Arial"/>
          <w:sz w:val="17"/>
          <w:szCs w:val="17"/>
          <w:color w:val="auto"/>
        </w:rPr>
        <w:t>We regularly add both new products and services, and new features and functionality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services to further enhance value to our customers. Because we directly manage the server infrastructure, we can make new features available to our customers immediately upon release, without customer or end-user installation of software or hardware. We continue to enhance our reporting, analysis, and administrative tools as part of our overall portfolio of services, as well as our ability to capture, analyze, and report on the substantial amount of online activity data we collect on behalf of our customers to further our customers’ online strategies.</w:t>
      </w:r>
    </w:p>
    <w:p>
      <w:pPr>
        <w:spacing w:after="0" w:line="64" w:lineRule="exact"/>
        <w:rPr>
          <w:rFonts w:ascii="Arial" w:cs="Arial" w:eastAsia="Arial" w:hAnsi="Arial"/>
          <w:sz w:val="17"/>
          <w:szCs w:val="17"/>
          <w:color w:val="auto"/>
        </w:rPr>
      </w:pPr>
    </w:p>
    <w:p>
      <w:pPr>
        <w:jc w:val="both"/>
        <w:ind w:left="460" w:hanging="330"/>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Evaluating Strategic Alliances and Acquisitions When Appropriate. </w:t>
      </w:r>
      <w:r>
        <w:rPr>
          <w:rFonts w:ascii="Arial" w:cs="Arial" w:eastAsia="Arial" w:hAnsi="Arial"/>
          <w:sz w:val="17"/>
          <w:szCs w:val="17"/>
          <w:color w:val="auto"/>
        </w:rPr>
        <w:t>We have successfully integrated several acquisitions over the past decade.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to our acquisition of Engage referenced above, most recently we acquired Contact At Once!, LLC. (“CAO!”), a unique messaging platform with leading market share in the automotive industry. While 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June 30, 2016 compared to the three months ended June 30, 2015:</w:t>
      </w:r>
    </w:p>
    <w:p>
      <w:pPr>
        <w:spacing w:after="0" w:line="117"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decreased 4% to $56.7 million from $59.3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decreased 5% to $52.4 million from $55.5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margin decreased to 69% from 70%.</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and expenses decreased 7% to $62.5 million from $67.0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increased to $7.8 million from $5.4 million.</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averaged $200,000 over the trailing twelve months ended June 30, 2016, as compared to $183,000 for the trailing twelve months ended June 30, 2015. These figures are pro forma to exclude contributions from one large customer contract that ended in 2015.</w:t>
      </w:r>
    </w:p>
    <w:p>
      <w:pPr>
        <w:spacing w:after="0" w:line="73"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83% over the trailing twelve months ended June 30, 2016 and March 31,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(Loss)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1" w:right="239" w:bottom="1440" w:gutter="0" w:footer="0" w:header="0"/>
        </w:sectPr>
      </w:pPr>
    </w:p>
    <w:bookmarkStart w:id="24" w:name="page25"/>
    <w:bookmarkEnd w:id="24"/>
    <w:p>
      <w:pPr>
        <w:jc w:val="both"/>
        <w:ind w:left="114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one time charges;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5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EBITDA</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GAAP net loss</w:t>
            </w:r>
          </w:p>
        </w:tc>
        <w:tc>
          <w:tcPr>
            <w:tcW w:w="26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(7,766)</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(5,354)</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(10,429)</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(7,412)</w:t>
            </w:r>
          </w:p>
        </w:tc>
        <w:tc>
          <w:tcPr>
            <w:tcW w:w="340" w:type="dxa"/>
            <w:vAlign w:val="bottom"/>
            <w:shd w:val="clear" w:color="auto" w:fill="CCFFCC"/>
          </w:tcPr>
          <w:p>
            <w:pPr>
              <w:spacing w:after="0"/>
              <w:rPr>
                <w:sz w:val="24"/>
                <w:szCs w:val="24"/>
                <w:color w:val="auto"/>
              </w:rPr>
            </w:pP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1,714</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3,335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4,169</w:t>
            </w:r>
          </w:p>
        </w:tc>
        <w:tc>
          <w:tcPr>
            <w:tcW w:w="340" w:type="dxa"/>
            <w:vAlign w:val="bottom"/>
          </w:tcPr>
          <w:p>
            <w:pPr>
              <w:spacing w:after="0"/>
              <w:rPr>
                <w:sz w:val="22"/>
                <w:szCs w:val="22"/>
                <w:color w:val="auto"/>
              </w:rPr>
            </w:pP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3,026</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3,112</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5,345</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5,906</w:t>
            </w:r>
          </w:p>
        </w:tc>
        <w:tc>
          <w:tcPr>
            <w:tcW w:w="340" w:type="dxa"/>
            <w:vAlign w:val="bottom"/>
            <w:shd w:val="clear" w:color="auto" w:fill="CCFFCC"/>
          </w:tcPr>
          <w:p>
            <w:pPr>
              <w:spacing w:after="0"/>
              <w:rPr>
                <w:sz w:val="24"/>
                <w:szCs w:val="24"/>
                <w:color w:val="auto"/>
              </w:rPr>
            </w:pP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3,628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3,082</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6,794</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5,660</w:t>
            </w:r>
          </w:p>
        </w:tc>
        <w:tc>
          <w:tcPr>
            <w:tcW w:w="340" w:type="dxa"/>
            <w:vAlign w:val="bottom"/>
          </w:tcPr>
          <w:p>
            <w:pPr>
              <w:spacing w:after="0"/>
              <w:rPr>
                <w:sz w:val="22"/>
                <w:szCs w:val="22"/>
                <w:color w:val="auto"/>
              </w:rPr>
            </w:pP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non-recurring costs</w:t>
            </w:r>
          </w:p>
        </w:tc>
        <w:tc>
          <w:tcPr>
            <w:tcW w:w="2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2,054</w:t>
            </w:r>
          </w:p>
        </w:tc>
        <w:tc>
          <w:tcPr>
            <w:tcW w:w="340" w:type="dxa"/>
            <w:vAlign w:val="bottom"/>
            <w:shd w:val="clear" w:color="auto" w:fill="CCFFCC"/>
          </w:tcPr>
          <w:p>
            <w:pPr>
              <w:jc w:val="right"/>
              <w:ind w:right="157"/>
              <w:spacing w:after="0"/>
              <w:rPr>
                <w:sz w:val="20"/>
                <w:szCs w:val="20"/>
                <w:color w:val="auto"/>
              </w:rPr>
            </w:pPr>
            <w:r>
              <w:rPr>
                <w:rFonts w:ascii="Arial" w:cs="Arial" w:eastAsia="Arial" w:hAnsi="Arial"/>
                <w:sz w:val="9"/>
                <w:szCs w:val="9"/>
                <w:color w:val="auto"/>
                <w:w w:val="90"/>
              </w:rPr>
              <w:t>(1)</w:t>
            </w:r>
          </w:p>
        </w:tc>
        <w:tc>
          <w:tcPr>
            <w:tcW w:w="2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2,438</w:t>
            </w:r>
          </w:p>
        </w:tc>
        <w:tc>
          <w:tcPr>
            <w:tcW w:w="340" w:type="dxa"/>
            <w:vAlign w:val="bottom"/>
            <w:shd w:val="clear" w:color="auto" w:fill="CCFFCC"/>
          </w:tcPr>
          <w:p>
            <w:pPr>
              <w:jc w:val="right"/>
              <w:ind w:right="137"/>
              <w:spacing w:after="0"/>
              <w:rPr>
                <w:sz w:val="20"/>
                <w:szCs w:val="20"/>
                <w:color w:val="auto"/>
              </w:rPr>
            </w:pPr>
            <w:r>
              <w:rPr>
                <w:rFonts w:ascii="Arial" w:cs="Arial" w:eastAsia="Arial" w:hAnsi="Arial"/>
                <w:sz w:val="9"/>
                <w:szCs w:val="9"/>
                <w:color w:val="auto"/>
              </w:rPr>
              <w:t>(2)</w:t>
            </w:r>
          </w:p>
        </w:tc>
        <w:tc>
          <w:tcPr>
            <w:tcW w:w="260" w:type="dxa"/>
            <w:vAlign w:val="bottom"/>
            <w:shd w:val="clear" w:color="auto" w:fill="CCFFCC"/>
          </w:tcPr>
          <w:p>
            <w:pPr>
              <w:spacing w:after="0"/>
              <w:rPr>
                <w:sz w:val="24"/>
                <w:szCs w:val="24"/>
                <w:color w:val="auto"/>
              </w:rPr>
            </w:pPr>
          </w:p>
        </w:tc>
        <w:tc>
          <w:tcPr>
            <w:tcW w:w="120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Contingent earn-out adjustments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(660)</w:t>
            </w:r>
          </w:p>
        </w:tc>
        <w:tc>
          <w:tcPr>
            <w:tcW w:w="340" w:type="dxa"/>
            <w:vAlign w:val="bottom"/>
          </w:tcPr>
          <w:p>
            <w:pPr>
              <w:jc w:val="right"/>
              <w:ind w:right="137"/>
              <w:spacing w:after="0"/>
              <w:rPr>
                <w:sz w:val="20"/>
                <w:szCs w:val="20"/>
                <w:color w:val="auto"/>
              </w:rPr>
            </w:pPr>
            <w:r>
              <w:rPr>
                <w:rFonts w:ascii="Arial" w:cs="Arial" w:eastAsia="Arial" w:hAnsi="Arial"/>
                <w:sz w:val="9"/>
                <w:szCs w:val="9"/>
                <w:color w:val="auto"/>
              </w:rPr>
              <w:t>(3)</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(660) </w:t>
            </w:r>
            <w:r>
              <w:rPr>
                <w:rFonts w:ascii="Arial" w:cs="Arial" w:eastAsia="Arial" w:hAnsi="Arial"/>
                <w:sz w:val="8"/>
                <w:szCs w:val="8"/>
                <w:color w:val="auto"/>
              </w:rPr>
              <w:t>(3)</w:t>
            </w: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Restructuring costs</w:t>
            </w:r>
          </w:p>
        </w:tc>
        <w:tc>
          <w:tcPr>
            <w:tcW w:w="2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2,988</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2,988</w:t>
            </w:r>
          </w:p>
        </w:tc>
        <w:tc>
          <w:tcPr>
            <w:tcW w:w="340" w:type="dxa"/>
            <w:vAlign w:val="bottom"/>
            <w:shd w:val="clear" w:color="auto" w:fill="CCFFCC"/>
          </w:tcPr>
          <w:p>
            <w:pPr>
              <w:spacing w:after="0"/>
              <w:rPr>
                <w:sz w:val="24"/>
                <w:szCs w:val="24"/>
                <w:color w:val="auto"/>
              </w:rPr>
            </w:pP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1,306</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(2,098)</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1,861</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(2,326)</w:t>
            </w:r>
          </w:p>
        </w:tc>
        <w:tc>
          <w:tcPr>
            <w:tcW w:w="340" w:type="dxa"/>
            <w:vAlign w:val="bottom"/>
          </w:tcPr>
          <w:p>
            <w:pPr>
              <w:spacing w:after="0"/>
              <w:rPr>
                <w:sz w:val="22"/>
                <w:szCs w:val="22"/>
                <w:color w:val="auto"/>
              </w:rPr>
            </w:pPr>
          </w:p>
        </w:tc>
      </w:tr>
      <w:tr>
        <w:trPr>
          <w:trHeight w:val="270"/>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(income)/expense</w:t>
            </w:r>
          </w:p>
        </w:tc>
        <w:tc>
          <w:tcPr>
            <w:tcW w:w="26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646</w:t>
            </w:r>
          </w:p>
        </w:tc>
        <w:tc>
          <w:tcPr>
            <w:tcW w:w="340" w:type="dxa"/>
            <w:vAlign w:val="bottom"/>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(229)</w:t>
            </w:r>
          </w:p>
        </w:tc>
        <w:tc>
          <w:tcPr>
            <w:tcW w:w="34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FFCC"/>
          </w:tcPr>
          <w:p>
            <w:pPr>
              <w:spacing w:after="0"/>
              <w:rPr>
                <w:sz w:val="23"/>
                <w:szCs w:val="23"/>
                <w:color w:val="auto"/>
              </w:rPr>
            </w:pPr>
          </w:p>
        </w:tc>
      </w:tr>
      <w:tr>
        <w:trPr>
          <w:trHeight w:val="283"/>
        </w:trPr>
        <w:tc>
          <w:tcPr>
            <w:tcW w:w="550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4,608</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2,858</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9,356</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8,327</w:t>
            </w:r>
          </w:p>
        </w:tc>
        <w:tc>
          <w:tcPr>
            <w:tcW w:w="340" w:type="dxa"/>
            <w:vAlign w:val="bottom"/>
          </w:tcPr>
          <w:p>
            <w:pPr>
              <w:spacing w:after="0"/>
              <w:rPr>
                <w:sz w:val="24"/>
                <w:szCs w:val="24"/>
                <w:color w:val="auto"/>
              </w:rPr>
            </w:pPr>
          </w:p>
        </w:tc>
      </w:tr>
      <w:tr>
        <w:trPr>
          <w:trHeight w:val="264"/>
        </w:trPr>
        <w:tc>
          <w:tcPr>
            <w:tcW w:w="5500" w:type="dxa"/>
            <w:vAlign w:val="bottom"/>
            <w:tcBorders>
              <w:top w:val="single" w:sz="8" w:color="CCFFCC"/>
            </w:tcBorders>
            <w:shd w:val="clear" w:color="auto" w:fill="CCFFCC"/>
          </w:tcPr>
          <w:p>
            <w:pPr>
              <w:spacing w:after="0"/>
              <w:rPr>
                <w:sz w:val="22"/>
                <w:szCs w:val="22"/>
                <w:color w:val="auto"/>
              </w:rPr>
            </w:pPr>
          </w:p>
        </w:tc>
        <w:tc>
          <w:tcPr>
            <w:tcW w:w="26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80" w:type="dxa"/>
            <w:vAlign w:val="bottom"/>
            <w:tcBorders>
              <w:top w:val="single" w:sz="8" w:color="auto"/>
            </w:tcBorders>
            <w:shd w:val="clear" w:color="auto" w:fill="CCFFCC"/>
          </w:tcPr>
          <w:p>
            <w:pPr>
              <w:spacing w:after="0"/>
              <w:rPr>
                <w:sz w:val="22"/>
                <w:szCs w:val="22"/>
                <w:color w:val="auto"/>
              </w:rPr>
            </w:pPr>
          </w:p>
        </w:tc>
        <w:tc>
          <w:tcPr>
            <w:tcW w:w="88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60" w:type="dxa"/>
            <w:vAlign w:val="bottom"/>
            <w:tcBorders>
              <w:top w:val="single" w:sz="8" w:color="auto"/>
            </w:tcBorders>
            <w:shd w:val="clear" w:color="auto" w:fill="CCFFCC"/>
          </w:tcPr>
          <w:p>
            <w:pPr>
              <w:spacing w:after="0"/>
              <w:rPr>
                <w:sz w:val="22"/>
                <w:szCs w:val="22"/>
                <w:color w:val="auto"/>
              </w:rPr>
            </w:pPr>
          </w:p>
        </w:tc>
        <w:tc>
          <w:tcPr>
            <w:tcW w:w="86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60" w:type="dxa"/>
            <w:vAlign w:val="bottom"/>
            <w:tcBorders>
              <w:top w:val="single" w:sz="8" w:color="auto"/>
            </w:tcBorders>
            <w:shd w:val="clear" w:color="auto" w:fill="CCFFCC"/>
          </w:tcPr>
          <w:p>
            <w:pPr>
              <w:spacing w:after="0"/>
              <w:rPr>
                <w:sz w:val="22"/>
                <w:szCs w:val="22"/>
                <w:color w:val="auto"/>
              </w:rPr>
            </w:pPr>
          </w:p>
        </w:tc>
        <w:tc>
          <w:tcPr>
            <w:tcW w:w="86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r>
    </w:tbl>
    <w:p>
      <w:pPr>
        <w:spacing w:after="0" w:line="76" w:lineRule="exact"/>
        <w:rPr>
          <w:sz w:val="20"/>
          <w:szCs w:val="20"/>
          <w:color w:val="auto"/>
        </w:rPr>
      </w:pPr>
    </w:p>
    <w:p>
      <w:pPr>
        <w:ind w:left="180" w:hanging="145"/>
        <w:spacing w:after="0"/>
        <w:tabs>
          <w:tab w:leader="none" w:pos="18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litigation costs of $1.6 million and severance costs of $0.5 million for the three months ended.</w:t>
      </w:r>
    </w:p>
    <w:p>
      <w:pPr>
        <w:spacing w:after="0" w:line="41" w:lineRule="exact"/>
        <w:rPr>
          <w:rFonts w:ascii="Arial" w:cs="Arial" w:eastAsia="Arial" w:hAnsi="Arial"/>
          <w:sz w:val="9"/>
          <w:szCs w:val="9"/>
          <w:color w:val="auto"/>
        </w:rPr>
      </w:pPr>
    </w:p>
    <w:p>
      <w:pPr>
        <w:ind w:left="40" w:right="560" w:hanging="5"/>
        <w:spacing w:after="0" w:line="253" w:lineRule="auto"/>
        <w:tabs>
          <w:tab w:leader="none" w:pos="181"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litigation costs of $1.9 million and severance costs of $0.5 million for the six months ended. For comparability, amounts have been reclassified where appropriate, to conform to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For comparability, amounts have been reclassified where appropriate, to conform to prior period presentation.</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use of adjusted net (loss)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right="20" w:hanging="322"/>
        <w:spacing w:after="0" w:line="298" w:lineRule="auto"/>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although amortization are non-cash charges, the assets being amortized may have to be replaced in the future, and adjusted net (loss) income does not reflect cash capital expenditure requirements for such replacements or for new capital expenditure requirements;</w:t>
      </w: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one time charges;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deferred tax asset valuation allowance;</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(loss) income alongside other financial performance measures, including various cash flow metrics, net loss and our other GAAP results. The following table presents a reconciliation of adjusted net (loss) income for each of the periods indicated (amounts in thousands):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26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Net (Loss) Income</w:t>
            </w:r>
          </w:p>
        </w:tc>
        <w:tc>
          <w:tcPr>
            <w:tcW w:w="7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GAAP net loss</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4"/>
              </w:rPr>
              <w:t>(7,766)</w:t>
            </w:r>
          </w:p>
        </w:tc>
        <w:tc>
          <w:tcPr>
            <w:tcW w:w="1140" w:type="dxa"/>
            <w:vAlign w:val="bottom"/>
            <w:gridSpan w:val="2"/>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0"/>
              </w:rPr>
              <w:t>(5,354)</w:t>
            </w:r>
          </w:p>
        </w:tc>
        <w:tc>
          <w:tcPr>
            <w:tcW w:w="600" w:type="dxa"/>
            <w:vAlign w:val="bottom"/>
            <w:gridSpan w:val="2"/>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(10,429)</w:t>
            </w:r>
          </w:p>
        </w:tc>
        <w:tc>
          <w:tcPr>
            <w:tcW w:w="600" w:type="dxa"/>
            <w:vAlign w:val="bottom"/>
            <w:gridSpan w:val="2"/>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(7,412)</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1,714</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3,335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4,169</w:t>
            </w: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3,026</w:t>
            </w:r>
          </w:p>
        </w:tc>
        <w:tc>
          <w:tcPr>
            <w:tcW w:w="3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3,112</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5,345</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5,906</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2,404</w:t>
            </w:r>
          </w:p>
        </w:tc>
        <w:tc>
          <w:tcPr>
            <w:tcW w:w="360" w:type="dxa"/>
            <w:vAlign w:val="bottom"/>
          </w:tcPr>
          <w:p>
            <w:pPr>
              <w:jc w:val="right"/>
              <w:ind w:right="162"/>
              <w:spacing w:after="0"/>
              <w:rPr>
                <w:sz w:val="20"/>
                <w:szCs w:val="20"/>
                <w:color w:val="auto"/>
              </w:rPr>
            </w:pPr>
            <w:r>
              <w:rPr>
                <w:rFonts w:ascii="Arial" w:cs="Arial" w:eastAsia="Arial" w:hAnsi="Arial"/>
                <w:sz w:val="9"/>
                <w:szCs w:val="9"/>
                <w:color w:val="auto"/>
              </w:rPr>
              <w:t>(1)</w:t>
            </w: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2,788</w:t>
            </w:r>
          </w:p>
        </w:tc>
        <w:tc>
          <w:tcPr>
            <w:tcW w:w="340" w:type="dxa"/>
            <w:vAlign w:val="bottom"/>
          </w:tcPr>
          <w:p>
            <w:pPr>
              <w:jc w:val="right"/>
              <w:ind w:right="146"/>
              <w:spacing w:after="0"/>
              <w:rPr>
                <w:sz w:val="20"/>
                <w:szCs w:val="20"/>
                <w:color w:val="auto"/>
              </w:rPr>
            </w:pPr>
            <w:r>
              <w:rPr>
                <w:rFonts w:ascii="Arial" w:cs="Arial" w:eastAsia="Arial" w:hAnsi="Arial"/>
                <w:sz w:val="9"/>
                <w:szCs w:val="9"/>
                <w:color w:val="auto"/>
              </w:rPr>
              <w:t>(2)</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2,988</w:t>
            </w: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Contingent earn-out adjustments</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(660)</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(660)</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Deferred tax asset valuation allowance</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692</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692</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2,988</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20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w:t>
            </w:r>
          </w:p>
        </w:tc>
      </w:tr>
      <w:tr>
        <w:trPr>
          <w:trHeight w:val="197"/>
        </w:trPr>
        <w:tc>
          <w:tcPr>
            <w:tcW w:w="5260" w:type="dxa"/>
            <w:vAlign w:val="bottom"/>
          </w:tcPr>
          <w:p>
            <w:pPr>
              <w:ind w:left="280"/>
              <w:spacing w:after="0"/>
              <w:rPr>
                <w:sz w:val="20"/>
                <w:szCs w:val="20"/>
                <w:color w:val="auto"/>
              </w:rPr>
            </w:pPr>
            <w:r>
              <w:rPr>
                <w:rFonts w:ascii="Arial" w:cs="Arial" w:eastAsia="Arial" w:hAnsi="Arial"/>
                <w:sz w:val="14"/>
                <w:szCs w:val="14"/>
                <w:color w:val="auto"/>
              </w:rPr>
              <w:t>Income tax effect of non-GAAP items</w:t>
            </w: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(2,500)</w:t>
            </w:r>
          </w:p>
        </w:tc>
        <w:tc>
          <w:tcPr>
            <w:tcW w:w="360" w:type="dxa"/>
            <w:vAlign w:val="bottom"/>
          </w:tcPr>
          <w:p>
            <w:pPr>
              <w:jc w:val="right"/>
              <w:ind w:right="162"/>
              <w:spacing w:after="0"/>
              <w:rPr>
                <w:sz w:val="20"/>
                <w:szCs w:val="20"/>
                <w:color w:val="auto"/>
              </w:rPr>
            </w:pPr>
            <w:r>
              <w:rPr>
                <w:rFonts w:ascii="Arial" w:cs="Arial" w:eastAsia="Arial" w:hAnsi="Arial"/>
                <w:sz w:val="9"/>
                <w:szCs w:val="9"/>
                <w:color w:val="auto"/>
              </w:rPr>
              <w:t>(3)</w:t>
            </w: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(1,704)</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(4,014)</w:t>
            </w:r>
          </w:p>
        </w:tc>
        <w:tc>
          <w:tcPr>
            <w:tcW w:w="340" w:type="dxa"/>
            <w:vAlign w:val="bottom"/>
          </w:tcPr>
          <w:p>
            <w:pPr>
              <w:jc w:val="right"/>
              <w:ind w:right="146"/>
              <w:spacing w:after="0"/>
              <w:rPr>
                <w:sz w:val="20"/>
                <w:szCs w:val="20"/>
                <w:color w:val="auto"/>
              </w:rPr>
            </w:pPr>
            <w:r>
              <w:rPr>
                <w:rFonts w:ascii="Arial" w:cs="Arial" w:eastAsia="Arial" w:hAnsi="Arial"/>
                <w:sz w:val="9"/>
                <w:szCs w:val="9"/>
                <w:color w:val="auto"/>
              </w:rPr>
              <w:t>(3)</w:t>
            </w:r>
          </w:p>
        </w:tc>
        <w:tc>
          <w:tcPr>
            <w:tcW w:w="2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(2,230) </w:t>
            </w:r>
            <w:r>
              <w:rPr>
                <w:rFonts w:ascii="Arial" w:cs="Arial" w:eastAsia="Arial" w:hAnsi="Arial"/>
                <w:sz w:val="8"/>
                <w:szCs w:val="8"/>
                <w:color w:val="auto"/>
              </w:rPr>
              <w:t>(4)</w:t>
            </w:r>
          </w:p>
        </w:tc>
      </w:tr>
      <w:tr>
        <w:trPr>
          <w:trHeight w:val="243"/>
        </w:trPr>
        <w:tc>
          <w:tcPr>
            <w:tcW w:w="52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Adjusted net (loss) income</w:t>
            </w:r>
          </w:p>
        </w:tc>
        <w:tc>
          <w:tcPr>
            <w:tcW w:w="780" w:type="dxa"/>
            <w:vAlign w:val="bottom"/>
            <w:tcBorders>
              <w:top w:val="single" w:sz="8" w:color="auto"/>
              <w:bottom w:val="single" w:sz="8" w:color="auto"/>
            </w:tcBorders>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4"/>
              </w:rPr>
              <w:t>(2,430)</w:t>
            </w:r>
          </w:p>
        </w:tc>
        <w:tc>
          <w:tcPr>
            <w:tcW w:w="360" w:type="dxa"/>
            <w:vAlign w:val="bottom"/>
            <w:tcBorders>
              <w:top w:val="single" w:sz="8" w:color="CCFFCC"/>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auto"/>
            </w:tcBorders>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399</w:t>
            </w:r>
          </w:p>
        </w:tc>
        <w:tc>
          <w:tcPr>
            <w:tcW w:w="340" w:type="dxa"/>
            <w:vAlign w:val="bottom"/>
            <w:tcBorders>
              <w:top w:val="single" w:sz="8" w:color="CCFFCC"/>
              <w:bottom w:val="single" w:sz="8" w:color="CCFFCC"/>
            </w:tcBorders>
            <w:shd w:val="clear" w:color="auto" w:fill="CCFFCC"/>
          </w:tcPr>
          <w:p>
            <w:pPr>
              <w:spacing w:after="0"/>
              <w:rPr>
                <w:sz w:val="21"/>
                <w:szCs w:val="21"/>
                <w:color w:val="auto"/>
              </w:rPr>
            </w:pPr>
          </w:p>
        </w:tc>
        <w:tc>
          <w:tcPr>
            <w:tcW w:w="260" w:type="dxa"/>
            <w:vAlign w:val="bottom"/>
            <w:tcBorders>
              <w:top w:val="single" w:sz="8" w:color="auto"/>
              <w:bottom w:val="single" w:sz="8" w:color="auto"/>
            </w:tcBorders>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(2,283)</w:t>
            </w:r>
          </w:p>
        </w:tc>
        <w:tc>
          <w:tcPr>
            <w:tcW w:w="340" w:type="dxa"/>
            <w:vAlign w:val="bottom"/>
            <w:tcBorders>
              <w:top w:val="single" w:sz="8" w:color="CCFFCC"/>
              <w:bottom w:val="single" w:sz="8" w:color="CCFFCC"/>
            </w:tcBorders>
            <w:shd w:val="clear" w:color="auto" w:fill="CCFFCC"/>
          </w:tcPr>
          <w:p>
            <w:pPr>
              <w:spacing w:after="0"/>
              <w:rPr>
                <w:sz w:val="21"/>
                <w:szCs w:val="21"/>
                <w:color w:val="auto"/>
              </w:rPr>
            </w:pPr>
          </w:p>
        </w:tc>
        <w:tc>
          <w:tcPr>
            <w:tcW w:w="260" w:type="dxa"/>
            <w:vAlign w:val="bottom"/>
            <w:tcBorders>
              <w:top w:val="single" w:sz="8" w:color="auto"/>
              <w:bottom w:val="single" w:sz="8" w:color="auto"/>
            </w:tcBorders>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2,761</w:t>
            </w:r>
          </w:p>
        </w:tc>
        <w:tc>
          <w:tcPr>
            <w:tcW w:w="340" w:type="dxa"/>
            <w:vAlign w:val="bottom"/>
            <w:tcBorders>
              <w:top w:val="single" w:sz="8" w:color="CCFFCC"/>
              <w:bottom w:val="single" w:sz="8" w:color="CCFFCC"/>
            </w:tcBorders>
            <w:shd w:val="clear" w:color="auto" w:fill="CCFFCC"/>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9" w:lineRule="exact"/>
        <w:rPr>
          <w:sz w:val="20"/>
          <w:szCs w:val="20"/>
          <w:color w:val="auto"/>
        </w:rPr>
      </w:pPr>
    </w:p>
    <w:p>
      <w:pPr>
        <w:ind w:left="180" w:hanging="145"/>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litigation costs of $1.6 million, write off of office facility depreciation of $0.3 million and severance costs of $0.5 million for the three months ended.</w:t>
      </w:r>
    </w:p>
    <w:p>
      <w:pPr>
        <w:spacing w:after="0" w:line="41" w:lineRule="exact"/>
        <w:rPr>
          <w:rFonts w:ascii="Arial" w:cs="Arial" w:eastAsia="Arial" w:hAnsi="Arial"/>
          <w:sz w:val="9"/>
          <w:szCs w:val="9"/>
          <w:color w:val="auto"/>
        </w:rPr>
      </w:pPr>
    </w:p>
    <w:p>
      <w:pPr>
        <w:ind w:left="40" w:right="620" w:hanging="5"/>
        <w:spacing w:after="0" w:line="253" w:lineRule="auto"/>
        <w:tabs>
          <w:tab w:leader="none" w:pos="181"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litigation costs of $1.9 million, write off of office facility depreciation of $0.3 million and severance costs of $0.5 million for the six months ended. For comparability, amounts have been reclassified where appropriate, to conform to current period presentation.</w:t>
      </w:r>
    </w:p>
    <w:p>
      <w:pPr>
        <w:spacing w:after="0" w:line="16" w:lineRule="exact"/>
        <w:rPr>
          <w:rFonts w:ascii="Arial" w:cs="Arial" w:eastAsia="Arial" w:hAnsi="Arial"/>
          <w:sz w:val="9"/>
          <w:szCs w:val="9"/>
          <w:color w:val="auto"/>
        </w:rPr>
      </w:pPr>
    </w:p>
    <w:p>
      <w:pPr>
        <w:ind w:left="200" w:hanging="165"/>
        <w:spacing w:after="0"/>
        <w:tabs>
          <w:tab w:leader="none" w:pos="200"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The Company's non-GAAP income tax effect uses a long-term projected tax rate of 35%.</w:t>
      </w:r>
    </w:p>
    <w:p>
      <w:pPr>
        <w:spacing w:after="0" w:line="80" w:lineRule="exact"/>
        <w:rPr>
          <w:rFonts w:ascii="Arial" w:cs="Arial" w:eastAsia="Arial" w:hAnsi="Arial"/>
          <w:sz w:val="19"/>
          <w:szCs w:val="19"/>
          <w:color w:val="auto"/>
          <w:vertAlign w:val="superscript"/>
        </w:rPr>
      </w:pPr>
    </w:p>
    <w:p>
      <w:pPr>
        <w:ind w:left="200" w:hanging="165"/>
        <w:spacing w:after="0" w:line="193" w:lineRule="auto"/>
        <w:tabs>
          <w:tab w:leader="none" w:pos="200"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The Company's non-GAAP income tax effect was based on the effective tax rate, excluding discrete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6"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7"/>
          <w:szCs w:val="17"/>
          <w:color w:val="auto"/>
        </w:rPr>
        <w:t>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2016, there was approximately $9.6 million of total unrecognized compensation cost related to nonvested stock options. That cost is expected to be recognized over a weighted average period of approximately 1.7 years. As of June 30, 2016, there was approximately $8.1 million of total unrecognized compensation cost related to nonvested restricted stock units. That cost is expected to be recognized over a weighted average period of approximately 3.0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six months ended June 30, 2016 and 2015. No individual customer accounted for 10% or more of accounts receivable as of June 30, 2016 and December 31, 2015. During the six months ended June 30, 2016, our allowance for doubtful accounts increased by $0.4 million primarily due to analysis of the accounts receivable aging.</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2015,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The Company does not have any long-lived assets, including intangible assets, which it considers to be impaired.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November 2015, the Financial Accounting Standards Board (“FASB”) issued Accounting Standards Update No. 2015-17, “Income taxes: Balance Sheet Classification of Deferred Taxes Business” (“ASU 2015-17”). Topic 740, Income Taxes,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ASU 2015-17 requires that deferred income tax liabilities and assets be classified as noncurrent in a classified statement of financial position. ASU 2015-17 is effective for financial statements issued for annual periods beginning after December 15, 2016, and interim periods within those annual periods. We have elected to early adopt ASU 2015-17 on our financial statements effective June 30, 2016 on a prospective basis.</w:t>
      </w:r>
    </w:p>
    <w:p>
      <w:pPr>
        <w:spacing w:after="0" w:line="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2015, FASB issued Accounting Standards Update No. 2015-16, “Business Combinations: Simplifying the Accounting for Measurement-Period Adjustments” (“ASU 2015-16”). ASU 2015-16 requires that an acquirer recognize adjustments to provisional amounts that are identified 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This standard became effective in the first quarter of 2016, and is applied on a prospective basis to adjustments to provisional amounts that occur after the effective date with no impact to our financial statements.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February 2015, FASB issued Accounting Standards Update No. 2015-02, </w:t>
      </w:r>
      <w:r>
        <w:rPr>
          <w:rFonts w:ascii="Arial" w:cs="Arial" w:eastAsia="Arial" w:hAnsi="Arial"/>
          <w:sz w:val="18"/>
          <w:szCs w:val="18"/>
          <w:i w:val="1"/>
          <w:iCs w:val="1"/>
          <w:color w:val="auto"/>
        </w:rPr>
        <w:t>Consolidation: Amendments to the Consolidation Analysis</w:t>
      </w:r>
      <w:r>
        <w:rPr>
          <w:rFonts w:ascii="Arial" w:cs="Arial" w:eastAsia="Arial" w:hAnsi="Arial"/>
          <w:sz w:val="18"/>
          <w:szCs w:val="18"/>
          <w:color w:val="auto"/>
        </w:rPr>
        <w:t xml:space="preserve"> (“ASU 2015-02”), which affects reporting entities that are required to evaluate whether they should consolidate 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We adopted this standard during the first quarter of 2016 and there was no material impact of this on our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648"/>
        <w:spacing w:after="0" w:line="287" w:lineRule="auto"/>
        <w:rPr>
          <w:sz w:val="20"/>
          <w:szCs w:val="20"/>
          <w:color w:val="auto"/>
        </w:rPr>
      </w:pPr>
      <w:r>
        <w:rPr>
          <w:rFonts w:ascii="Arial" w:cs="Arial" w:eastAsia="Arial" w:hAnsi="Arial"/>
          <w:sz w:val="16"/>
          <w:szCs w:val="16"/>
          <w:color w:val="auto"/>
        </w:rPr>
        <w:t>In May 2014,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the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We will adopt this guidance at the beginning of its first quarter of fiscal year 2018. Adoption of this guidance is not expected to have a material impact on our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from our Business segment accounted for 93% of total revenue for the three months ended June 30, 2016 and 2015 and 93% and 94% of total revenue for the six months ended June 30, 2016 and 2015, respectively. Revenue attributable to our monthly hosted Business services accounted for 89% of total Business revenue for the three and six months ended June 30, 2016 and 90% for the three and six months ended June 30, 2015, respectively.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time between contract signing and recognizing revenue in certain situations.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7% of total revenue for the three months ended June 30, 2016 and 2015 and 7% and 6% of total revenue for the six months ended June 30, 2016 and 2015, respectively.</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six months ended June 30, 2016, our allowance for doubtful accounts increased by $0.4 million primarily due to analysis of the accounts receivable aging. During 2015, we decreased our allowance for doubtful accounts by $0.1 million to approximately $1.2 million, principally due to an increase in write-offs compared to 2014.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ectPr>
          <w:pgSz w:w="11900" w:h="16838" w:orient="portrait"/>
          <w:cols w:equalWidth="0" w:num="1">
            <w:col w:w="11420"/>
          </w:cols>
          <w:pgMar w:left="240" w:top="584" w:right="239" w:bottom="1440" w:gutter="0" w:footer="0" w:header="0"/>
        </w:sectPr>
      </w:pPr>
    </w:p>
    <w:p>
      <w:pPr>
        <w:spacing w:after="0" w:line="338" w:lineRule="exact"/>
        <w:rPr>
          <w:sz w:val="20"/>
          <w:szCs w:val="20"/>
          <w:color w:val="auto"/>
        </w:rPr>
      </w:pPr>
    </w:p>
    <w:p>
      <w:pPr>
        <w:ind w:left="64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31115</wp:posOffset>
            </wp:positionV>
            <wp:extent cx="1689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14" w:lineRule="exact"/>
        <w:rPr>
          <w:sz w:val="20"/>
          <w:szCs w:val="20"/>
          <w:color w:val="auto"/>
        </w:rPr>
      </w:pPr>
    </w:p>
    <w:p>
      <w:pPr>
        <w:ind w:left="6560"/>
        <w:spacing w:after="0"/>
        <w:tabs>
          <w:tab w:leader="none" w:pos="79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1689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89"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38100</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23495</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(in thousands)</w:t>
      </w:r>
    </w:p>
    <w:p>
      <w:pPr>
        <w:spacing w:after="0" w:line="81" w:lineRule="exact"/>
        <w:rPr>
          <w:sz w:val="20"/>
          <w:szCs w:val="20"/>
          <w:color w:val="auto"/>
        </w:rPr>
      </w:pPr>
    </w:p>
    <w:p>
      <w:pPr>
        <w:sectPr>
          <w:pgSz w:w="11900" w:h="16838" w:orient="portrait"/>
          <w:cols w:equalWidth="0" w:num="2">
            <w:col w:w="8580" w:space="720"/>
            <w:col w:w="2120"/>
          </w:cols>
          <w:pgMar w:left="240" w:top="584" w:right="239" w:bottom="1440" w:gutter="0" w:footer="0" w:header="0"/>
          <w:type w:val="continuous"/>
        </w:sectPr>
      </w:pPr>
    </w:p>
    <w:p>
      <w:pPr>
        <w:ind w:left="40"/>
        <w:spacing w:after="0"/>
        <w:tabs>
          <w:tab w:leader="none" w:pos="6060" w:val="left"/>
          <w:tab w:leader="none" w:pos="6840" w:val="left"/>
          <w:tab w:leader="none" w:pos="7480" w:val="left"/>
          <w:tab w:leader="none" w:pos="8240" w:val="left"/>
          <w:tab w:leader="none" w:pos="8840" w:val="left"/>
          <w:tab w:leader="none" w:pos="9580" w:val="left"/>
          <w:tab w:leader="none" w:pos="1018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3,026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3,112</w:t>
        <w:tab/>
        <w:t>$</w:t>
      </w:r>
      <w:r>
        <w:rPr>
          <w:sz w:val="20"/>
          <w:szCs w:val="20"/>
          <w:color w:val="auto"/>
        </w:rPr>
        <w:tab/>
      </w:r>
      <w:r>
        <w:rPr>
          <w:rFonts w:ascii="Arial" w:cs="Arial" w:eastAsia="Arial" w:hAnsi="Arial"/>
          <w:sz w:val="16"/>
          <w:szCs w:val="16"/>
          <w:color w:val="auto"/>
        </w:rPr>
        <w:t>5,345</w:t>
        <w:tab/>
        <w:t>$</w:t>
      </w:r>
      <w:r>
        <w:rPr>
          <w:sz w:val="20"/>
          <w:szCs w:val="20"/>
          <w:color w:val="auto"/>
        </w:rPr>
        <w:tab/>
      </w:r>
      <w:r>
        <w:rPr>
          <w:rFonts w:ascii="Arial" w:cs="Arial" w:eastAsia="Arial" w:hAnsi="Arial"/>
          <w:sz w:val="15"/>
          <w:szCs w:val="15"/>
          <w:color w:val="auto"/>
        </w:rPr>
        <w:t>5,906</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2016 and 2015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48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58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263"/>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2"/>
                <w:szCs w:val="2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52,441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55,472</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104,140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111,545</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20"/>
                <w:szCs w:val="20"/>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4,238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3,862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8,004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7,559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33"/>
        </w:trPr>
        <w:tc>
          <w:tcPr>
            <w:tcW w:w="528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56,679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59,334</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112,144</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119,104</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Business revenue decreased by 5% to $52.4 million in the three months ended June 30, 2016, from $55.5 million in the comparable period in 2015. The decrease is primarily attributable to the decrease in revenue from existing customers by approximately $6.0 million; offset partially by the increase of revenue from new customers and professional services of approximately $2.4 million and revenue that is variable based on pay for performance, interactions and usage of approximately $0.6 million. Overall decrease in business revenue is primarily attributable to delays in anticipated upsells from existing customers. This is a reflection of the rapid pace of migrations, and migration commitments we have seen in recent months, as customers typically prefer to complete upgrades before expanding services. Additionally, there was also a foreign exchange impact primarily tied to the British Pound.</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revenue increased by 10% to $4.2 million in the three months ended June 30, 2016, from $3.9 million in the comparable period in 2015. The variance was driven by an increase in chat minutes along with an increase in the fees we charge experts, partially offset by a decrease in the price per minute.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type w:val="continuous"/>
        </w:sectPr>
      </w:pPr>
    </w:p>
    <w:bookmarkStart w:id="30" w:name="page31"/>
    <w:bookmarkEnd w:id="30"/>
    <w:p>
      <w:pPr>
        <w:jc w:val="both"/>
        <w:ind w:firstLine="648"/>
        <w:spacing w:after="0" w:line="293" w:lineRule="auto"/>
        <w:rPr>
          <w:sz w:val="20"/>
          <w:szCs w:val="20"/>
          <w:color w:val="auto"/>
        </w:rPr>
      </w:pPr>
      <w:r>
        <w:rPr>
          <w:rFonts w:ascii="Arial" w:cs="Arial" w:eastAsia="Arial" w:hAnsi="Arial"/>
          <w:sz w:val="16"/>
          <w:szCs w:val="16"/>
          <w:color w:val="auto"/>
        </w:rPr>
        <w:t>Business revenue decreased by 7% to $104.1 million in the six months ended June 30, 2016, from $111.5 million in the comparable period in 2015. The decrease is primarily attributable to the decrease in revenue from existing customers of approximately $11.7 million and revenue that is variable based on pay for performance, interactions and usage of approximately $0.4 million; offset partially by the increase in revenue from professional services and new customers of approximately $4.6 million. Overall decrease in business revenue is primarily attributable to delays in anticipated upsells from existing customers. This is a reflection of the rapid pace of migrations, and migration commitments we have seen in recent months, as customers typically prefer to complete upgrades before expanding services. Additionally, there was also a foreign exchange impact primarily tied to the British Pound.</w:t>
      </w:r>
    </w:p>
    <w:p>
      <w:pPr>
        <w:spacing w:after="0" w:line="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Consumer revenue increased by 6% to $8.0 million in the six months ended June 30, 2016, from $7.6 million in the comparable period in 2015. The variance was driven by an increase in chat minutes along with an increase in the fees we charge experts, partially offset by a decrease in the price per minute.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0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4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0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16,691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17,436</w:t>
            </w:r>
          </w:p>
        </w:tc>
        <w:tc>
          <w:tcPr>
            <w:tcW w:w="1440" w:type="dxa"/>
            <w:vAlign w:val="bottom"/>
            <w:gridSpan w:val="4"/>
          </w:tcPr>
          <w:p>
            <w:pPr>
              <w:ind w:left="760"/>
              <w:spacing w:after="0"/>
              <w:rPr>
                <w:sz w:val="20"/>
                <w:szCs w:val="20"/>
                <w:color w:val="auto"/>
              </w:rPr>
            </w:pPr>
            <w:r>
              <w:rPr>
                <w:rFonts w:ascii="Arial" w:cs="Arial" w:eastAsia="Arial" w:hAnsi="Arial"/>
                <w:sz w:val="16"/>
                <w:szCs w:val="16"/>
                <w:color w:val="auto"/>
              </w:rPr>
              <w:t>(4)%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31,929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33,053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29%</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294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299</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294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299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w:t>
            </w:r>
          </w:p>
        </w:tc>
      </w:tr>
    </w:tbl>
    <w:p>
      <w:pPr>
        <w:spacing w:after="0" w:line="200" w:lineRule="exact"/>
        <w:rPr>
          <w:sz w:val="20"/>
          <w:szCs w:val="20"/>
          <w:color w:val="auto"/>
        </w:rPr>
      </w:pP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decreased by 4% to $16.7 million in the three months ended June 30, 2016, from $17.4 million in the comparable period in 2015. This decrease in expense is primarily attributable to a decrease in outside labor provider fees and other business services of approximately $1.8 million and partially offset by an increase in salary and other related employee expenses of approximately $0.6 million, primary and backup server facilities and allocated overhead by $0.6 million, and amortization of $0.2 million.</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 of revenue decreased by 3% to $31.9 million in the six months ended June 30, 2016, from $33.1 million in the comparable period in 2015. This decrease in expense is primarily attributable to a decrease in outside labor provider fees and business services of approximately $2.6 million and amortization of $0.3 million. This is partially offset by an increase in in salary and other related employee expenses of approximately $1.0 million, depreciation of approximately $0.4 million, and primary and backup server facilities and allocated overhead by $0.3 million.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817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616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1,443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1,254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increased by 33% to $0.8 million in the three months ended June 30, 2016, from $0.6 million in the comparable period in 2015. This increase in expense is due to increases in outsourcing and other business services of approximately $0.1 million and credit card processing and other bank fees of approximately $0.1 million.</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increased by 15% to $1.4 million in the six months ended June 30, 2016, from $1.3 million in the comparable period in 2015. This increase in expense is due to increases in outsourcing and other business services of approximately $0.1 million and credit card processing and other bank fees of approximately $0.1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2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2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21,315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22,617</w:t>
            </w:r>
          </w:p>
        </w:tc>
        <w:tc>
          <w:tcPr>
            <w:tcW w:w="1320" w:type="dxa"/>
            <w:vAlign w:val="bottom"/>
            <w:gridSpan w:val="4"/>
          </w:tcPr>
          <w:p>
            <w:pPr>
              <w:jc w:val="right"/>
              <w:ind w:right="120"/>
              <w:spacing w:after="0"/>
              <w:rPr>
                <w:sz w:val="20"/>
                <w:szCs w:val="20"/>
                <w:color w:val="auto"/>
              </w:rPr>
            </w:pPr>
            <w:r>
              <w:rPr>
                <w:rFonts w:ascii="Arial" w:cs="Arial" w:eastAsia="Arial" w:hAnsi="Arial"/>
                <w:sz w:val="16"/>
                <w:szCs w:val="16"/>
                <w:color w:val="auto"/>
              </w:rPr>
              <w:t>(6)%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42,328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45,531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5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319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354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319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354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w:t>
            </w:r>
          </w:p>
        </w:tc>
      </w:tr>
    </w:tbl>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decreased by 6% to $21.3 million in the three months ended June 30, 2016, from $22.6 million in the comparable period in 2015. The decrease was primarily due to compensation and related costs for sales and marketing personnel of approximately $1.4 million and advertising expense of $0.7 million directly related to a decrease in headcount as result of our increased focus on strengthening our profitability as the scalability of our operating model and recent investments materialize. This is partially offset by outsourced labor and other business services of approximately $0.9 million.</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Sales and marketing expenses decreased by 7% to $42.3 million in the six months ended June 30, 2016, from $45.5 million in the comparable period in 2015. The decrease was primarily due to compensation and related costs for sales and marketing personnel of approximately $5.0 million directly related to a decrease in headcount as result of our increased focus on strengthening our profitability as the scalability of our operating model and recent investments materialize. This is offset by an increases in business services expense of approximately $1.6 million, and advertising expense of approximately $0.4 million.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2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900" w:type="dxa"/>
            <w:vAlign w:val="bottom"/>
          </w:tcPr>
          <w:p>
            <w:pPr>
              <w:jc w:val="right"/>
              <w:ind w:right="20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1,773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20"/>
                <w:szCs w:val="20"/>
                <w:color w:val="auto"/>
              </w:rPr>
            </w:pPr>
          </w:p>
        </w:tc>
        <w:tc>
          <w:tcPr>
            <w:tcW w:w="1160" w:type="dxa"/>
            <w:vAlign w:val="bottom"/>
            <w:gridSpan w:val="3"/>
          </w:tcPr>
          <w:p>
            <w:pPr>
              <w:ind w:left="52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3,436</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   3,145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5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0"/>
                <w:szCs w:val="20"/>
                <w:color w:val="auto"/>
              </w:rPr>
            </w:pPr>
          </w:p>
        </w:tc>
        <w:tc>
          <w:tcPr>
            <w:tcW w:w="740" w:type="dxa"/>
            <w:vAlign w:val="bottom"/>
          </w:tcPr>
          <w:p>
            <w:pPr>
              <w:jc w:val="right"/>
              <w:ind w:right="101"/>
              <w:spacing w:after="0"/>
              <w:rPr>
                <w:sz w:val="20"/>
                <w:szCs w:val="20"/>
                <w:color w:val="auto"/>
              </w:rPr>
            </w:pPr>
            <w:r>
              <w:rPr>
                <w:rFonts w:ascii="Arial" w:cs="Arial" w:eastAsia="Arial" w:hAnsi="Arial"/>
                <w:sz w:val="16"/>
                <w:szCs w:val="16"/>
                <w:color w:val="auto"/>
              </w:rPr>
              <w:t>9</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w w:val="93"/>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12</w:t>
            </w: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33%</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remained relatively flat at $1.8 million in the three months ended June 30, 2016 compared to the same period in 2015. Compensation and related expenses for sales and marketing personnel increased by approximately $0.1 million, offset by decreases in outsourcing and subcontracted labor.</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9% to $3.4 million in the six months ended June 30, 2016, from $3.1 million in the comparable period in 2015. This increase is primarily attributable to an increases in advertising expenses of approximately $0.2 million and compensation and related expenses for sales and marketing personnel of approximately $0.1 million.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0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20" w:type="dxa"/>
            <w:vAlign w:val="bottom"/>
            <w:gridSpan w:val="3"/>
          </w:tcPr>
          <w:p>
            <w:pPr>
              <w:ind w:left="12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   10,161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10,306</w:t>
            </w:r>
          </w:p>
        </w:tc>
        <w:tc>
          <w:tcPr>
            <w:tcW w:w="1340" w:type="dxa"/>
            <w:vAlign w:val="bottom"/>
            <w:gridSpan w:val="4"/>
          </w:tcPr>
          <w:p>
            <w:pPr>
              <w:ind w:left="660"/>
              <w:spacing w:after="0"/>
              <w:rPr>
                <w:sz w:val="20"/>
                <w:szCs w:val="20"/>
                <w:color w:val="auto"/>
              </w:rPr>
            </w:pPr>
            <w:r>
              <w:rPr>
                <w:rFonts w:ascii="Arial" w:cs="Arial" w:eastAsia="Arial" w:hAnsi="Arial"/>
                <w:sz w:val="16"/>
                <w:szCs w:val="16"/>
                <w:color w:val="auto"/>
              </w:rPr>
              <w:t>(1)%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19,690</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20,470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115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122</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w w:val="94"/>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115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122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w:t>
            </w:r>
          </w:p>
        </w:tc>
      </w:tr>
    </w:tbl>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decreased by 1% to $10.2 million in the three months ended June 30, 2016 from $10.3 million in the comparable period in 2015. This decrease is primarily attributable to a decrease in allocated occupancy costs,</w:t>
      </w:r>
    </w:p>
    <w:p>
      <w:pPr>
        <w:sectPr>
          <w:pgSz w:w="11900" w:h="16838" w:orient="portrait"/>
          <w:cols w:equalWidth="0" w:num="1">
            <w:col w:w="11420"/>
          </w:cols>
          <w:pgMar w:left="240" w:top="58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4" w:right="239" w:bottom="1440" w:gutter="0" w:footer="0" w:header="0"/>
          <w:type w:val="continuous"/>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related overhead, and other general corporate expenses of approximately $1.1 million and in salary and related employee expenses of $0.1 million. This was partially offset by increases in professional fees of $1.2 million.</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decreased by 4% to $19.7 million in the six months ended June 30, 2016 from $20.5 million in the comparable period in 2015. This decrease is primarily attributable to a decrease in allocated occupancy costs, related overhead, and other general corporate expenses in the amount of $0.8 million and in compensation and related expenses for general and administrative personnel and contractors of $0.8 million partially offset by increases in professional fees of $0.8 million.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2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840" w:type="dxa"/>
            <w:vAlign w:val="bottom"/>
          </w:tcPr>
          <w:p>
            <w:pPr>
              <w:jc w:val="right"/>
              <w:ind w:right="2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42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10,719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10,109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19,933</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19,909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19%</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269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269</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increased by 6% to $10.7 million in the three months ended June 30, 2016, from $10.1 million in the comparable period in 2015. This increase relates to an increase in compensation, outside labor, and associated costs for existing product development personnel of approximately $0.6 million. We will continue to invest in product development efforts to expand future product offerings as we allow our recent investments in our product offerings to materialize.</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development costs remained relatively flat in the six months ended June 30, 2016 when compared to the same period in 2015. There was an increase in compensation, outside labor, and associated costs for existing product development personnel of approximately $0.1 million, that was offset by decreases in allocated occupancy costs and related overhead expenses.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Restructuring costs consist of termination costs associated with a large customer contract that ended, as well as re-prioritizing and reallocating resources to focus on areas showing high growth potential.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304"/>
              <w:spacing w:after="0"/>
              <w:rPr>
                <w:sz w:val="20"/>
                <w:szCs w:val="20"/>
                <w:color w:val="auto"/>
              </w:rPr>
            </w:pPr>
            <w:r>
              <w:rPr>
                <w:rFonts w:ascii="Arial" w:cs="Arial" w:eastAsia="Arial" w:hAnsi="Arial"/>
                <w:sz w:val="14"/>
                <w:szCs w:val="14"/>
                <w:b w:val="1"/>
                <w:bCs w:val="1"/>
                <w:color w:val="auto"/>
              </w:rPr>
              <w:t>2016</w:t>
            </w:r>
          </w:p>
        </w:tc>
        <w:tc>
          <w:tcPr>
            <w:tcW w:w="900" w:type="dxa"/>
            <w:vAlign w:val="bottom"/>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4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2,988</w:t>
            </w:r>
          </w:p>
        </w:tc>
        <w:tc>
          <w:tcPr>
            <w:tcW w:w="1320" w:type="dxa"/>
            <w:vAlign w:val="bottom"/>
            <w:gridSpan w:val="4"/>
          </w:tcPr>
          <w:p>
            <w:pPr>
              <w:jc w:val="right"/>
              <w:ind w:right="120"/>
              <w:spacing w:after="0"/>
              <w:rPr>
                <w:sz w:val="20"/>
                <w:szCs w:val="20"/>
                <w:color w:val="auto"/>
              </w:rPr>
            </w:pPr>
            <w:r>
              <w:rPr>
                <w:rFonts w:ascii="Arial" w:cs="Arial" w:eastAsia="Arial" w:hAnsi="Arial"/>
                <w:sz w:val="16"/>
                <w:szCs w:val="16"/>
                <w:color w:val="auto"/>
              </w:rPr>
              <w:t>(100)%  $</w:t>
            </w:r>
          </w:p>
        </w:tc>
        <w:tc>
          <w:tcPr>
            <w:tcW w:w="760" w:type="dxa"/>
            <w:vAlign w:val="bottom"/>
          </w:tcPr>
          <w:p>
            <w:pPr>
              <w:ind w:left="3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   2,988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00" w:type="dxa"/>
            <w:vAlign w:val="bottom"/>
            <w:shd w:val="clear" w:color="auto" w:fill="CCFFCC"/>
          </w:tcPr>
          <w:p>
            <w:pPr>
              <w:spacing w:after="0"/>
              <w:rPr>
                <w:sz w:val="20"/>
                <w:szCs w:val="20"/>
                <w:color w:val="auto"/>
              </w:rPr>
            </w:pPr>
          </w:p>
        </w:tc>
        <w:tc>
          <w:tcPr>
            <w:tcW w:w="780" w:type="dxa"/>
            <w:vAlign w:val="bottom"/>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60" w:type="dxa"/>
            <w:vAlign w:val="bottom"/>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r>
      <w:tr>
        <w:trPr>
          <w:trHeight w:val="33"/>
        </w:trPr>
        <w:tc>
          <w:tcPr>
            <w:tcW w:w="55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Restructuring costs incurred in 2015 amounted to approximately $3.0 million. This consisted of approximately $1.7 million of termination costs associated with a large customer contract that ended in 2015 and $0.8 million of severance and other associated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60" w:type="dxa"/>
            <w:vAlign w:val="bottom"/>
          </w:tcPr>
          <w:p>
            <w:pPr>
              <w:spacing w:after="0"/>
              <w:rPr>
                <w:sz w:val="22"/>
                <w:szCs w:val="22"/>
                <w:color w:val="auto"/>
              </w:rPr>
            </w:pPr>
          </w:p>
        </w:tc>
        <w:tc>
          <w:tcPr>
            <w:tcW w:w="880" w:type="dxa"/>
            <w:vAlign w:val="bottom"/>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900" w:type="dxa"/>
            <w:vAlign w:val="bottom"/>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900" w:type="dxa"/>
            <w:vAlign w:val="bottom"/>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660" w:type="dxa"/>
            <w:vAlign w:val="bottom"/>
            <w:tcBorders>
              <w:bottom w:val="single" w:sz="8" w:color="CCFFCC"/>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0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00" w:type="dxa"/>
            <w:vAlign w:val="bottom"/>
            <w:tcBorders>
              <w:top w:val="single" w:sz="8" w:color="auto"/>
              <w:bottom w:val="single" w:sz="8" w:color="CCFFCC"/>
            </w:tcBorders>
          </w:tcPr>
          <w:p>
            <w:pPr>
              <w:spacing w:after="0"/>
              <w:rPr>
                <w:sz w:val="22"/>
                <w:szCs w:val="22"/>
                <w:color w:val="auto"/>
              </w:rPr>
            </w:pPr>
          </w:p>
        </w:tc>
      </w:tr>
      <w:tr>
        <w:trPr>
          <w:trHeight w:val="250"/>
        </w:trPr>
        <w:tc>
          <w:tcPr>
            <w:tcW w:w="56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8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   1,017</w:t>
            </w:r>
          </w:p>
        </w:tc>
        <w:tc>
          <w:tcPr>
            <w:tcW w:w="90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   1,178</w:t>
            </w:r>
          </w:p>
        </w:tc>
        <w:tc>
          <w:tcPr>
            <w:tcW w:w="1320" w:type="dxa"/>
            <w:vAlign w:val="bottom"/>
            <w:tcBorders>
              <w:bottom w:val="single" w:sz="8" w:color="CCFFCC"/>
            </w:tcBorders>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(14)%  $</w:t>
            </w:r>
          </w:p>
        </w:tc>
        <w:tc>
          <w:tcPr>
            <w:tcW w:w="76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1,941</w:t>
            </w:r>
          </w:p>
        </w:tc>
        <w:tc>
          <w:tcPr>
            <w:tcW w:w="90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   2,490</w:t>
            </w:r>
          </w:p>
        </w:tc>
        <w:tc>
          <w:tcPr>
            <w:tcW w:w="10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 for purchased intangibles decreased by 14% to $1.0 million in the three months ended June 30, 2016 from $1.2 million in the comparable period in 2015. The decrease is primarily attributable to the full amortization of Look.Io and Engage technology intangible along with continued amortization of our 2014 acquisitions of CAO! and Synchronite and our investments in technology licenses.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Amortization expense for purchased intangibles decreased by 22% to $1.9 million in the six months ended June 30, 2016 from $2.5 million in the comparable period in 2015. The decrease is primarily attributable to the full amortization of Look.Io, NexGraph and Engage technology intangible along with continued amortization of our 2014 acquisitions of CAO! and Synchronite and our investments in technology licenses.</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amortization expense in the amount of $0.7 million and $0.8 million and $1.4 million and $1.7 million is included in cost of revenue for the three and six months ended June 30, 2016 and 2015,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(expense) income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66"/>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00" w:type="dxa"/>
            <w:vAlign w:val="bottom"/>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jc w:val="right"/>
              <w:ind w:right="266"/>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00" w:type="dxa"/>
            <w:vAlign w:val="bottom"/>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4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top w:val="single" w:sz="8" w:color="auto"/>
              <w:bottom w:val="single" w:sz="8" w:color="CCFFCC"/>
            </w:tcBorders>
          </w:tcPr>
          <w:p>
            <w:pPr>
              <w:spacing w:after="0"/>
              <w:rPr>
                <w:sz w:val="22"/>
                <w:szCs w:val="22"/>
                <w:color w:val="auto"/>
              </w:rPr>
            </w:pPr>
          </w:p>
        </w:tc>
      </w:tr>
      <w:tr>
        <w:trPr>
          <w:trHeight w:val="237"/>
        </w:trPr>
        <w:tc>
          <w:tcPr>
            <w:tcW w:w="5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(646)</w:t>
            </w:r>
          </w:p>
        </w:tc>
        <w:tc>
          <w:tcPr>
            <w:tcW w:w="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229</w:t>
            </w:r>
          </w:p>
        </w:tc>
        <w:tc>
          <w:tcPr>
            <w:tcW w:w="1420" w:type="dxa"/>
            <w:vAlign w:val="bottom"/>
            <w:gridSpan w:val="4"/>
            <w:shd w:val="clear" w:color="auto" w:fill="CCFFCC"/>
          </w:tcPr>
          <w:p>
            <w:pPr>
              <w:jc w:val="right"/>
              <w:ind w:right="80"/>
              <w:spacing w:after="0"/>
              <w:rPr>
                <w:sz w:val="20"/>
                <w:szCs w:val="20"/>
                <w:color w:val="auto"/>
              </w:rPr>
            </w:pPr>
            <w:r>
              <w:rPr>
                <w:rFonts w:ascii="Arial" w:cs="Arial" w:eastAsia="Arial" w:hAnsi="Arial"/>
                <w:sz w:val="16"/>
                <w:szCs w:val="16"/>
                <w:color w:val="auto"/>
              </w:rPr>
              <w:t>(382)%  $</w:t>
            </w:r>
          </w:p>
        </w:tc>
        <w:tc>
          <w:tcPr>
            <w:tcW w:w="740" w:type="dxa"/>
            <w:vAlign w:val="bottom"/>
            <w:shd w:val="clear" w:color="auto" w:fill="CCFFCC"/>
          </w:tcPr>
          <w:p>
            <w:pPr>
              <w:jc w:val="right"/>
              <w:ind w:right="26"/>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534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variance in other income to other expense in the three months ended June 30, 2016 from the comparable period in 2015 is attributable to a decrease in financial income from currency exchange and hedging of approximately $0.8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in the six months ended June 30, 2016 remained relatively flat as compared to the comparable period in 2015.</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1,306</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(2,098)</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(162)%  $</w:t>
            </w:r>
          </w:p>
        </w:tc>
        <w:tc>
          <w:tcPr>
            <w:tcW w:w="7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1,861</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(2,326)</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(180)%</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Provision for income taxes is approximately $1.3 million and $1.9 million for the three and six months ended June 30, 2016, respectively, a decrease from the tax benefit from income taxes of $2.1 million and $2.3 million for the three and six months ended June 30, 2015, respectively. Our effective tax rate was 20% and 22% for the three and six months ended June 30, 2016, respectively. Our consolidated effective tax rate is impacted by the statutory income tax rates applicable to each of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net losses of $7.8 million and $10.4 million for the three and six months ended June 30, 2016, respectively, compared to net losses of $5.4 million and $7.4 million for the three and six months ended June 30, 2015, respectively. During the three months ended June 30, 2016, revenue decreased by approximately $2.7 million while operating expenses decreased by $4.5 million. Other income decreased by $0.9 million while the provision for (benefit from) income taxes increased by $3.4 million, contributing to an increase in net loss of $2.4 million. During the six months ended June 30, 2016, revenue decreased by approximately $7.0 million while operating expenses decreased by $8.1 million. The provision for income taxes increased by $4.2 million, contributing to an increase in net loss of $3.0 million.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1020" w:type="dxa"/>
            <w:vAlign w:val="bottom"/>
            <w:tcBorders>
              <w:top w:val="single" w:sz="8" w:color="CCFFCC"/>
            </w:tcBorders>
            <w:shd w:val="clear" w:color="auto" w:fill="CCFFCC"/>
          </w:tcPr>
          <w:p>
            <w:pPr>
              <w:spacing w:after="0"/>
              <w:rPr>
                <w:sz w:val="4"/>
                <w:szCs w:val="4"/>
                <w:color w:val="auto"/>
              </w:rPr>
            </w:pPr>
          </w:p>
        </w:tc>
        <w:tc>
          <w:tcPr>
            <w:tcW w:w="600" w:type="dxa"/>
            <w:vAlign w:val="bottom"/>
            <w:tcBorders>
              <w:top w:val="single" w:sz="8" w:color="CCFFCC"/>
            </w:tcBorders>
            <w:shd w:val="clear" w:color="auto" w:fill="CCFFCC"/>
          </w:tcPr>
          <w:p>
            <w:pPr>
              <w:spacing w:after="0"/>
              <w:rPr>
                <w:sz w:val="4"/>
                <w:szCs w:val="4"/>
                <w:color w:val="auto"/>
              </w:rPr>
            </w:pPr>
          </w:p>
        </w:tc>
        <w:tc>
          <w:tcPr>
            <w:tcW w:w="72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84"/>
              <w:spacing w:after="0"/>
              <w:rPr>
                <w:sz w:val="20"/>
                <w:szCs w:val="20"/>
                <w:color w:val="auto"/>
              </w:rPr>
            </w:pPr>
            <w:r>
              <w:rPr>
                <w:rFonts w:ascii="Arial" w:cs="Arial" w:eastAsia="Arial" w:hAnsi="Arial"/>
                <w:sz w:val="16"/>
                <w:szCs w:val="16"/>
                <w:color w:val="auto"/>
              </w:rPr>
              <w:t>14,762</w:t>
            </w: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330</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(5,198)</w:t>
            </w:r>
          </w:p>
        </w:tc>
        <w:tc>
          <w:tcPr>
            <w:tcW w:w="60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(14,056)</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(used in) provided by financing activities</w:t>
            </w:r>
          </w:p>
        </w:tc>
        <w:tc>
          <w:tcPr>
            <w:tcW w:w="280" w:type="dxa"/>
            <w:vAlign w:val="bottom"/>
          </w:tcPr>
          <w:p>
            <w:pPr>
              <w:spacing w:after="0"/>
              <w:rPr>
                <w:sz w:val="20"/>
                <w:szCs w:val="20"/>
                <w:color w:val="auto"/>
              </w:rPr>
            </w:pP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(3,916)</w:t>
            </w:r>
          </w:p>
        </w:tc>
        <w:tc>
          <w:tcPr>
            <w:tcW w:w="6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1,328</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2016, we had approximately $52.3 million in cash and cash equivalents, an increase of approximately $3.5 million from December 31, 2015. The increase is primarily attributable to a decrease in net cash used in investing activities relating to purchases of fixed assets related to the build-out of our co-location facility as well as cash held for collateral for foreign exchange fund contracts when compared to 2015. This is offset partially by an increase in repurchase of common stock and a decrease in prepaid expenses and other current assets.</w:t>
      </w:r>
    </w:p>
    <w:p>
      <w:pPr>
        <w:spacing w:after="0" w:line="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cash provided by operating activities was $14.8 million for the six months ended June 30, 2016 and consisted primarily of net loss, non-cash expenses related to ASC 718-10, amortization of purchased intangibles and depreciation, increases in deferred revenue and prepaid expenses, an increase in accounts receivable and a decrease in accounts payable. Net cash provided by operating activities was $0.3 million for the six months ended June 30, 2015 and consisted primarily of net loss, non-cash expenses related to ASC 718-10, amortization of purchased intangibles and depreciation, increases in prepaid expenses and accounts payable, and decreases in accrued expenses, offset in part by an increase in accounts receivable.</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was $5.2 million in the six months ended June 30, 2016 and was due primarily to the purchase of fixed assets for our co-location facilities. Net cash used in investing activities was $14.1 million in the six months ended June 30, 2015 and was due primarily to the purchase of fixed assets for our co-location facilities and restricted cash associated with foreign currency forward contracts.</w:t>
      </w:r>
    </w:p>
    <w:p>
      <w:pPr>
        <w:spacing w:after="0" w:line="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Net cash used in financing activities was $3.9 million in the six months ended June 30, 2016 and consisted primarily of the repurchase of our common stock. Net cash provided by financing activities was $1.3 million in the six months ended June 30, 2015 and consisted primarily of the issuance of common stock and excess tax benefit for exercise of employee stock options, offset by the repurchase of our common stock.</w:t>
      </w:r>
    </w:p>
    <w:p>
      <w:pPr>
        <w:spacing w:after="0" w:line="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incurred significant quarterly net losses from inception through June 30, 2003, significant negative cash flows from operations in our quarterly periods from inception through December 31, 2002 and negative cash flows from operations of $0.1 million in the quarterly period ended March 31, 2004. We also incurred a net loss and negative cash flow from operations in the quarterly periods ended March 31, 2014, June 30, 2014, March 31, 2015, June 30, 2015, December 31, 2015, and March 31, 2016. We incurred a net loss in the quarterly periods ended June 30, 2013, September 30, 2013, December 31, 2013, as well as in the quarterly periods ended September 30, 2014, December 31, 2014, March 31, 2015, June 30, 2015, December 31, 2015, March 31, 2016, and June 30, 2016. As of June 30, 2016, we had an accumulated deficit of approximately $129.5 million.</w:t>
      </w:r>
    </w:p>
    <w:p>
      <w:pPr>
        <w:spacing w:after="0" w:line="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and six</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color w:val="auto"/>
        </w:rPr>
        <w:t>months ended June 30, 2016 was approximately $2.6 million and $5.3 million, respectively. Rental expense for operating leases for the three and six months ended June 30, 2015 was approximately $2.4 million and $4.9 million, respectively.</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2016, our principal commitments were approximately $31.2 million under various operating leases, of which approximately $4.1 million is due in 2016. We currently expect that our principal commitments for the year ending December 31, 2016 will not exceed $9.0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June 30, 2016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31,188</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7,978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13,836</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5,905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3,469</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31,188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7,978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13,836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5,905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3,469</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of the expanded scope of our Israeli operations, our currency rate fluctuation risk associated with the exchange rate movement of the U.S. dollar against the New Israeli Shekel (“NIS”) has increased. During the three and six months ended June 30, 2016, the U.S. dollar depreciated by approximately 1% as compared to the NIS. During the three and six months ended June 30, 2016, expenses generated by our Israeli operations totaled approximately $15.0 million and $29.0 million, respectively. During 2016, we hedged this foreign currency risk exposure along with the hedging of the U.S dollar against the Euro, the British Pound (“GBP”), and the Australian Dollar (“AUD”). We actively monitor the movement of the U.S. dollar against the NIS, the British Pound,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continue to enter in to these types of investments. The functional currency of our wholly-owned Israeli subsidiaries, LivePerson Ltd. (formerly HumanClick Ltd.) and Kasamba Ltd., is the U.S. dollar; the functional currency of our operations in the United Kingdom is the British Pound;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the six months ended June 30, 2016, our allowance for doubtful accounts increased by $0.4 million primarily due to analysis of the accounts receivable aging. During 2015, we decreased our allowance for doubtful accounts from $1.3 million to approximately $1.2 million, principally due to an increase in write-offs compared to 2014. A larger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2016. Based on that evaluation, the Chief Executive Officer and Chief Financial Officer concluded that our disclosure controls and procedures were effective as of June 30, 2016 to ensure that the information we are required to disclose in the reports that we file or submit under the Exchange Act is recorded, processed,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ind w:right="20"/>
        <w:spacing w:after="0" w:line="264" w:lineRule="auto"/>
        <w:rPr>
          <w:sz w:val="20"/>
          <w:szCs w:val="20"/>
          <w:color w:val="auto"/>
        </w:rPr>
      </w:pPr>
      <w:r>
        <w:rPr>
          <w:rFonts w:ascii="Arial" w:cs="Arial" w:eastAsia="Arial" w:hAnsi="Arial"/>
          <w:sz w:val="18"/>
          <w:szCs w:val="18"/>
          <w:color w:val="auto"/>
        </w:rPr>
        <w:t>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2016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Discovery in the New York case is in process. On June 22, 2015, [24]7 Customer, Inc. filed suit against us in the Northern District of California alleging patent infringement. On December 7, 2015, [24]7 Customer Inc. filed a second patent infringement suit against us, also in the Northern District of California. On January 5, 2016, the two California cases were consolidated for all pre-trial purposes. We believe the claims filed by [24]7 Customer Inc. are without merit and intend to defend them vigorously.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2015, filed on March 15, 2016, which could adversely affect our business, financial condition, results of operations, cash flows, and the trading price of our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Company is supplementing those risk factors by adding the risk factor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 and regulatory changes caused by the United Kingdom’s likely exit from the European Union could negatively impact our business.</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United Kingdom (“U.K.”) held a referendum on June 23, 2016 on its membership in the European Union (“E.U.”), in which a majority of U.K. voters voted to exit the E.U. (commonly referred to as “Brexit”). The referendum was advisory, and the terms of any withdrawal are subject to a negotiation period that could last at least two years after the government of the U.K. formally initiates a withdrawal process. These negotiations will determine the future terms of the U.K.’s relationship with the E.U., including the terms of trade between the U.K. and the E.U.</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announcement of Brexit has resulted in significant volatility in global stock market and currency exchange rate fluctuations that resulted in strengthening of the U.S. dollar relative to other foreign currencies in which we conduct business. The announcement of Brexit and likely withdrawal of the U.K. from the E.U. has also created global economic uncertainty, which may cause our customers to closely monitor their costs and reduce their spending budgets. This could negatively impact our business, including affecting our relationships with our existing and future customers, suppliers and employees, which could have a negative impact on our business, prospects, results of operations, financial condition and cash flows.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effects of Brexit will depend on any agreements the U.K. makes to retain access to E.U. markets either during a transitional period or more permanently. The measures could potentially disrupt the markets we serve and the tax jurisdictions in which we operate and adversely change tax benefits or liabilities in these or other jurisdictions, and may cause us to lose customers, suppliers and/or employees. In addition, Brexit could lead to legal uncertainty and potentially divergent national laws and regulations as the U.K. determines which E.U. laws to replace or replicate. Any of these effects of Brexit, among others, could negatively impact our business, prospects, results of operations, financial condition and cash flows.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described herein, there were no material changes to the risk factors previously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three months ended June 30, 2016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16,898,399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4/1/2016 – 4/30/2016</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14,901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14,901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16,812,243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5/1/2016 – 5/31/2016</w:t>
            </w:r>
          </w:p>
        </w:tc>
        <w:tc>
          <w:tcPr>
            <w:tcW w:w="2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16,812,243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6/1/2016 – 6/30/2016</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185,045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185,045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15,531,870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199,946</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199,946</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15,531,870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December 10, 2012, the Company announced that its Board of Directors approved a share repurchase program through June 30, 2014. Under the stock repurchase program, the Company was authorized to repurchase shares of the Company’s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June 30, 2014, approximately $1.1 million remained available for purchases under the program as in effect at that time. On July 23, 2014, the Company’s Board of Directors extended the expiration date of the program</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39" w:name="page40"/>
    <w:bookmarkEnd w:id="39"/>
    <w:p>
      <w:pPr>
        <w:jc w:val="both"/>
        <w:ind w:left="1300"/>
        <w:spacing w:after="0" w:line="354" w:lineRule="auto"/>
        <w:rPr>
          <w:sz w:val="20"/>
          <w:szCs w:val="20"/>
          <w:color w:val="auto"/>
        </w:rPr>
      </w:pPr>
      <w:r>
        <w:rPr>
          <w:rFonts w:ascii="Arial" w:cs="Arial" w:eastAsia="Arial" w:hAnsi="Arial"/>
          <w:sz w:val="16"/>
          <w:szCs w:val="16"/>
          <w:color w:val="auto"/>
        </w:rPr>
        <w:t>out to December 31, 2014 and also increased the aggregate purchase price of the stock repurchase program from $40.0 million to $50.0 million. On March 5, 2015, the Company’s Board of Directors extended the expiration date of the program out to December 31, 2016. On February 16, 2016, the Company's Board of Directors increased the aggregate purchase price of the total stock repurchase program by an additional $14.0 million. As of June 30, 2016, approximately $15.5 million remained available for purchases under the program.</w:t>
      </w:r>
    </w:p>
    <w:p>
      <w:pPr>
        <w:spacing w:after="0" w:line="2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1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right="300" w:firstLine="8"/>
        <w:spacing w:after="0" w:line="342" w:lineRule="auto"/>
        <w:tabs>
          <w:tab w:leader="none" w:pos="35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580" w:right="339" w:bottom="1440" w:gutter="0" w:footer="0" w:header="0"/>
          <w:type w:val="continuous"/>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ind w:left="160"/>
              <w:spacing w:after="0"/>
              <w:rPr>
                <w:sz w:val="20"/>
                <w:szCs w:val="20"/>
                <w:color w:val="auto"/>
              </w:rPr>
            </w:pPr>
            <w:r>
              <w:rPr>
                <w:rFonts w:ascii="Arial" w:cs="Arial" w:eastAsia="Arial" w:hAnsi="Arial"/>
                <w:sz w:val="18"/>
                <w:szCs w:val="18"/>
                <w:color w:val="auto"/>
              </w:rPr>
              <w:t>July 29, 2016</w:t>
            </w:r>
          </w:p>
        </w:tc>
        <w:tc>
          <w:tcPr>
            <w:tcW w:w="2200" w:type="dxa"/>
            <w:vAlign w:val="bottom"/>
          </w:tcPr>
          <w:p>
            <w:pPr>
              <w:ind w:left="170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0" w:type="dxa"/>
            <w:vAlign w:val="bottom"/>
          </w:tcPr>
          <w:p>
            <w:pPr>
              <w:ind w:left="170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0" w:type="dxa"/>
            <w:vAlign w:val="bottom"/>
          </w:tcPr>
          <w:p>
            <w:pPr>
              <w:ind w:left="170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ind w:left="160"/>
              <w:spacing w:after="0"/>
              <w:rPr>
                <w:sz w:val="20"/>
                <w:szCs w:val="20"/>
                <w:color w:val="auto"/>
              </w:rPr>
            </w:pPr>
            <w:r>
              <w:rPr>
                <w:rFonts w:ascii="Arial" w:cs="Arial" w:eastAsia="Arial" w:hAnsi="Arial"/>
                <w:sz w:val="18"/>
                <w:szCs w:val="18"/>
                <w:color w:val="auto"/>
              </w:rPr>
              <w:t>July 29, 2016</w:t>
            </w:r>
          </w:p>
        </w:tc>
        <w:tc>
          <w:tcPr>
            <w:tcW w:w="2200" w:type="dxa"/>
            <w:vAlign w:val="bottom"/>
          </w:tcPr>
          <w:p>
            <w:pPr>
              <w:ind w:left="170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0" w:type="dxa"/>
            <w:vAlign w:val="bottom"/>
          </w:tcPr>
          <w:p>
            <w:pPr>
              <w:ind w:left="170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0" w:type="dxa"/>
            <w:vAlign w:val="bottom"/>
          </w:tcPr>
          <w:p>
            <w:pPr>
              <w:ind w:left="170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42</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54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Certification by Chief Executive Officer pursuant to Exchange Act Rule 13a-14(a), as adopted pursuant to Section 302 of the Sarbanes-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pursuant to Exchange Act Rule 13a-14(a), as adopted pursuant to Section 302 of the Sarbanes-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right="400" w:firstLine="8"/>
        <w:spacing w:after="0" w:line="342" w:lineRule="auto"/>
        <w:tabs>
          <w:tab w:leader="none" w:pos="3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right="100" w:firstLine="8"/>
        <w:spacing w:after="0" w:line="26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260"/>
              <w:spacing w:after="0"/>
              <w:rPr>
                <w:sz w:val="20"/>
                <w:szCs w:val="20"/>
                <w:color w:val="auto"/>
              </w:rPr>
            </w:pPr>
            <w:r>
              <w:rPr>
                <w:rFonts w:ascii="Arial" w:cs="Arial" w:eastAsia="Arial" w:hAnsi="Arial"/>
                <w:sz w:val="18"/>
                <w:szCs w:val="18"/>
                <w:color w:val="auto"/>
              </w:rPr>
              <w:t>July 29, 2016</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260"/>
              <w:spacing w:after="0"/>
              <w:rPr>
                <w:sz w:val="20"/>
                <w:szCs w:val="20"/>
                <w:color w:val="auto"/>
              </w:rPr>
            </w:pPr>
            <w:r>
              <w:rPr>
                <w:rFonts w:ascii="Arial" w:cs="Arial" w:eastAsia="Arial" w:hAnsi="Arial"/>
                <w:sz w:val="18"/>
                <w:szCs w:val="18"/>
                <w:color w:val="auto"/>
              </w:rPr>
              <w:t>July 29, 2016</w:t>
            </w:r>
          </w:p>
        </w:tc>
        <w:tc>
          <w:tcPr>
            <w:tcW w:w="2420" w:type="dxa"/>
            <w:vAlign w:val="bottom"/>
          </w:tcPr>
          <w:p>
            <w:pPr>
              <w:ind w:left="166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2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420" w:type="dxa"/>
            <w:vAlign w:val="bottom"/>
          </w:tcPr>
          <w:p>
            <w:pPr>
              <w:ind w:left="166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2016, as filed with the Securities and Exchange Commission (the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200"/>
              <w:spacing w:after="0"/>
              <w:rPr>
                <w:sz w:val="20"/>
                <w:szCs w:val="20"/>
                <w:color w:val="auto"/>
              </w:rPr>
            </w:pPr>
            <w:r>
              <w:rPr>
                <w:rFonts w:ascii="Arial" w:cs="Arial" w:eastAsia="Arial" w:hAnsi="Arial"/>
                <w:sz w:val="18"/>
                <w:szCs w:val="18"/>
                <w:color w:val="auto"/>
              </w:rPr>
              <w:t>July 29, 2016</w:t>
            </w:r>
          </w:p>
        </w:tc>
        <w:tc>
          <w:tcPr>
            <w:tcW w:w="2540" w:type="dxa"/>
            <w:vAlign w:val="bottom"/>
          </w:tcPr>
          <w:p>
            <w:pPr>
              <w:ind w:left="180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4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540" w:type="dxa"/>
            <w:vAlign w:val="bottom"/>
          </w:tcPr>
          <w:p>
            <w:pPr>
              <w:ind w:left="180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1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2016, as filed with the Securities and Exchange Commission (the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300"/>
              <w:spacing w:after="0"/>
              <w:rPr>
                <w:sz w:val="20"/>
                <w:szCs w:val="20"/>
                <w:color w:val="auto"/>
              </w:rPr>
            </w:pPr>
            <w:r>
              <w:rPr>
                <w:rFonts w:ascii="Arial" w:cs="Arial" w:eastAsia="Arial" w:hAnsi="Arial"/>
                <w:sz w:val="18"/>
                <w:szCs w:val="18"/>
                <w:color w:val="auto"/>
              </w:rPr>
              <w:t>July 29, 2016</w:t>
            </w:r>
          </w:p>
        </w:tc>
        <w:tc>
          <w:tcPr>
            <w:tcW w:w="2580" w:type="dxa"/>
            <w:vAlign w:val="bottom"/>
          </w:tcPr>
          <w:p>
            <w:pPr>
              <w:ind w:left="182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58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580" w:type="dxa"/>
            <w:vAlign w:val="bottom"/>
          </w:tcPr>
          <w:p>
            <w:pPr>
              <w:ind w:left="182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450"/>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3"/>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2019-12-29T11:09:48Z</dcterms:created>
  <dcterms:modified xsi:type="dcterms:W3CDTF">2019-12-29T11:09:48Z</dcterms:modified>
</cp:coreProperties>
</file>