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2" w:lineRule="exact"/>
        <w:rPr>
          <w:sz w:val="24"/>
          <w:szCs w:val="24"/>
          <w:color w:val="auto"/>
        </w:rPr>
      </w:pPr>
    </w:p>
    <w:p>
      <w:pPr>
        <w:jc w:val="center"/>
        <w:ind w:left="4640" w:right="2100" w:hanging="2499"/>
        <w:spacing w:after="0" w:line="266" w:lineRule="auto"/>
        <w:tabs>
          <w:tab w:leader="none" w:pos="235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jc w:val="center"/>
        <w:ind w:left="4640" w:right="2080" w:hanging="2505"/>
        <w:spacing w:after="0" w:line="282" w:lineRule="auto"/>
        <w:tabs>
          <w:tab w:leader="none" w:pos="235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4"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For the transition period from ____________________ to ____________________</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000-30141</w:t>
      </w:r>
    </w:p>
    <w:p>
      <w:pPr>
        <w:spacing w:after="0" w:line="26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Delaware</w:t>
            </w:r>
          </w:p>
        </w:tc>
        <w:tc>
          <w:tcPr>
            <w:tcW w:w="5180" w:type="dxa"/>
            <w:vAlign w:val="bottom"/>
          </w:tcPr>
          <w:p>
            <w:pPr>
              <w:jc w:val="right"/>
              <w:ind w:right="2070"/>
              <w:spacing w:after="0"/>
              <w:rPr>
                <w:sz w:val="20"/>
                <w:szCs w:val="20"/>
                <w:color w:val="auto"/>
              </w:rPr>
            </w:pPr>
            <w:r>
              <w:rPr>
                <w:rFonts w:ascii="Arial" w:cs="Arial" w:eastAsia="Arial" w:hAnsi="Arial"/>
                <w:sz w:val="18"/>
                <w:szCs w:val="18"/>
                <w:b w:val="1"/>
                <w:bCs w:val="1"/>
                <w:color w:val="auto"/>
              </w:rPr>
              <w:t>13-3861628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9"/>
        </w:trPr>
        <w:tc>
          <w:tcPr>
            <w:tcW w:w="612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(State or Other Jurisdiction of</w:t>
            </w:r>
          </w:p>
        </w:tc>
        <w:tc>
          <w:tcPr>
            <w:tcW w:w="5180" w:type="dxa"/>
            <w:vAlign w:val="bottom"/>
          </w:tcPr>
          <w:p>
            <w:pPr>
              <w:spacing w:after="0"/>
              <w:rPr>
                <w:sz w:val="19"/>
                <w:szCs w:val="19"/>
                <w:color w:val="auto"/>
              </w:rPr>
            </w:pPr>
          </w:p>
        </w:tc>
      </w:tr>
      <w:tr>
        <w:trPr>
          <w:trHeight w:val="230"/>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Incorporation or Organization)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49"/>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475 Tenth Avenue, 5th Floor</w:t>
            </w:r>
          </w:p>
        </w:tc>
        <w:tc>
          <w:tcPr>
            <w:tcW w:w="5180" w:type="dxa"/>
            <w:vAlign w:val="bottom"/>
          </w:tcPr>
          <w:p>
            <w:pPr>
              <w:spacing w:after="0"/>
              <w:rPr>
                <w:sz w:val="24"/>
                <w:szCs w:val="24"/>
                <w:color w:val="auto"/>
              </w:rPr>
            </w:pPr>
          </w:p>
        </w:tc>
      </w:tr>
      <w:tr>
        <w:trPr>
          <w:trHeight w:val="234"/>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3"/>
              </w:rPr>
              <w:t>New York, New York</w:t>
            </w:r>
          </w:p>
        </w:tc>
        <w:tc>
          <w:tcPr>
            <w:tcW w:w="5180" w:type="dxa"/>
            <w:vAlign w:val="bottom"/>
          </w:tcPr>
          <w:p>
            <w:pPr>
              <w:jc w:val="right"/>
              <w:ind w:right="2270"/>
              <w:spacing w:after="0"/>
              <w:rPr>
                <w:sz w:val="20"/>
                <w:szCs w:val="20"/>
                <w:color w:val="auto"/>
              </w:rPr>
            </w:pPr>
            <w:r>
              <w:rPr>
                <w:rFonts w:ascii="Arial" w:cs="Arial" w:eastAsia="Arial" w:hAnsi="Arial"/>
                <w:sz w:val="18"/>
                <w:szCs w:val="18"/>
                <w:b w:val="1"/>
                <w:bCs w:val="1"/>
                <w:color w:val="auto"/>
              </w:rPr>
              <w:t>10018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43"/>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(Address of Principal Executive Offices)</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(212) 609-4200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(Registrant’s Telephone Number, Including Area Code)</w:t>
      </w:r>
    </w:p>
    <w:p>
      <w:pPr>
        <w:spacing w:after="0" w:line="144"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380"/>
          </w:cols>
          <w:pgMar w:left="240" w:top="688" w:right="279" w:bottom="1440" w:gutter="0" w:footer="0" w:header="0"/>
        </w:sectPr>
      </w:pPr>
    </w:p>
    <w:p>
      <w:pPr>
        <w:spacing w:after="0" w:line="145"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06"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80"/>
          </w:cols>
          <w:pgMar w:left="240" w:top="688" w:right="279" w:bottom="1440" w:gutter="0" w:footer="0" w:header="0"/>
          <w:type w:val="continuous"/>
        </w:sectPr>
      </w:pPr>
    </w:p>
    <w:p>
      <w:pPr>
        <w:spacing w:after="0" w:line="134" w:lineRule="exact"/>
        <w:rPr>
          <w:sz w:val="24"/>
          <w:szCs w:val="24"/>
          <w:color w:val="auto"/>
        </w:rPr>
      </w:pPr>
    </w:p>
    <w:p>
      <w:pPr>
        <w:ind w:right="22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May 3, 2016, 57,430,525 shares of the registrant’s common stock were outstanding.</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688"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9480" w:type="dxa"/>
            <w:vAlign w:val="bottom"/>
          </w:tcPr>
          <w:p>
            <w:pPr>
              <w:spacing w:after="0"/>
              <w:rPr>
                <w:sz w:val="20"/>
                <w:szCs w:val="20"/>
                <w:color w:val="auto"/>
              </w:rPr>
            </w:pPr>
          </w:p>
        </w:tc>
        <w:tc>
          <w:tcPr>
            <w:tcW w:w="900" w:type="dxa"/>
            <w:vAlign w:val="bottom"/>
            <w:gridSpan w:val="4"/>
          </w:tcPr>
          <w:p>
            <w:pPr>
              <w:ind w:left="220"/>
              <w:spacing w:after="0"/>
              <w:rPr>
                <w:sz w:val="20"/>
                <w:szCs w:val="20"/>
                <w:color w:val="auto"/>
              </w:rPr>
            </w:pPr>
            <w:r>
              <w:rPr>
                <w:rFonts w:ascii="Arial" w:cs="Arial" w:eastAsia="Arial" w:hAnsi="Arial"/>
                <w:sz w:val="18"/>
                <w:szCs w:val="18"/>
                <w:color w:val="auto"/>
              </w:rPr>
              <w:t>PAGE</w:t>
            </w:r>
          </w:p>
        </w:tc>
      </w:tr>
      <w:tr>
        <w:trPr>
          <w:trHeight w:val="27"/>
        </w:trPr>
        <w:tc>
          <w:tcPr>
            <w:tcW w:w="1040" w:type="dxa"/>
            <w:vAlign w:val="bottom"/>
            <w:tcBorders>
              <w:bottom w:val="single" w:sz="8" w:color="CCFFCC"/>
            </w:tcBorders>
          </w:tcPr>
          <w:p>
            <w:pPr>
              <w:spacing w:after="0"/>
              <w:rPr>
                <w:sz w:val="2"/>
                <w:szCs w:val="2"/>
                <w:color w:val="auto"/>
              </w:rPr>
            </w:pPr>
          </w:p>
        </w:tc>
        <w:tc>
          <w:tcPr>
            <w:tcW w:w="9480" w:type="dxa"/>
            <w:vAlign w:val="bottom"/>
            <w:tcBorders>
              <w:bottom w:val="single" w:sz="8" w:color="CCFFC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1040" w:type="dxa"/>
            <w:vAlign w:val="bottom"/>
            <w:shd w:val="clear" w:color="auto" w:fill="CCFFCC"/>
          </w:tcPr>
          <w:p>
            <w:pPr>
              <w:ind w:left="40"/>
              <w:spacing w:after="0" w:line="196" w:lineRule="exact"/>
              <w:rPr>
                <w:sz w:val="20"/>
                <w:szCs w:val="20"/>
                <w:color w:val="auto"/>
              </w:rPr>
            </w:pPr>
            <w:r>
              <w:rPr>
                <w:rFonts w:ascii="Arial" w:cs="Arial" w:eastAsia="Arial" w:hAnsi="Arial"/>
                <w:sz w:val="18"/>
                <w:szCs w:val="18"/>
                <w:color w:val="auto"/>
              </w:rPr>
              <w:t>Part I.</w:t>
            </w:r>
          </w:p>
        </w:tc>
        <w:tc>
          <w:tcPr>
            <w:tcW w:w="9480" w:type="dxa"/>
            <w:vAlign w:val="bottom"/>
            <w:shd w:val="clear" w:color="auto" w:fill="CCFFCC"/>
          </w:tcPr>
          <w:p>
            <w:pPr>
              <w:ind w:left="260"/>
              <w:spacing w:after="0" w:line="196" w:lineRule="exact"/>
              <w:rPr>
                <w:sz w:val="20"/>
                <w:szCs w:val="20"/>
                <w:color w:val="auto"/>
              </w:rPr>
            </w:pPr>
            <w:r>
              <w:rPr>
                <w:rFonts w:ascii="Arial" w:cs="Arial" w:eastAsia="Arial" w:hAnsi="Arial"/>
                <w:sz w:val="18"/>
                <w:szCs w:val="18"/>
                <w:color w:val="auto"/>
              </w:rPr>
              <w:t>Financial Information</w:t>
            </w:r>
          </w:p>
        </w:tc>
        <w:tc>
          <w:tcPr>
            <w:tcW w:w="900" w:type="dxa"/>
            <w:vAlign w:val="bottom"/>
            <w:gridSpan w:val="4"/>
            <w:shd w:val="clear" w:color="auto" w:fill="CCFFCC"/>
          </w:tcPr>
          <w:p>
            <w:pPr>
              <w:jc w:val="right"/>
              <w:ind w:right="10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Financial Statements (Unaudited):</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48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Condensed Consolidated Balance Sheets as of March 31, 2016 and December 31, 2015</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48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Condensed Consolidated Statements of Operations for the Three Months Ended March 31, 2016 and 2015</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48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w w:val="95"/>
              </w:rPr>
              <w:t>Condensed Consolidated Statements of Comprehensive Loss for the Three Months Ended March 31, 2016 and 2015</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48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Condensed Consolidated Statements of Cash Flows for the Three Months Ended March 31, 2016 and 2015</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48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Controls and Procedures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Part II.</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Legal Proceedings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1A.</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Risk Factors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Defaults Upon Senior Securities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Mine Safety Disclosures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5.</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6.</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Exhibits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324"/>
        </w:trPr>
        <w:tc>
          <w:tcPr>
            <w:tcW w:w="1040" w:type="dxa"/>
            <w:vAlign w:val="bottom"/>
            <w:tcBorders>
              <w:top w:val="single" w:sz="8" w:color="CCFFCC"/>
            </w:tcBorders>
          </w:tcPr>
          <w:p>
            <w:pPr>
              <w:spacing w:after="0"/>
              <w:rPr>
                <w:sz w:val="24"/>
                <w:szCs w:val="24"/>
                <w:color w:val="auto"/>
              </w:rPr>
            </w:pPr>
          </w:p>
        </w:tc>
        <w:tc>
          <w:tcPr>
            <w:tcW w:w="948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Signatures</w:t>
            </w:r>
          </w:p>
        </w:tc>
        <w:tc>
          <w:tcPr>
            <w:tcW w:w="9480" w:type="dxa"/>
            <w:vAlign w:val="bottom"/>
            <w:shd w:val="clear" w:color="auto" w:fill="CCFFCC"/>
          </w:tcPr>
          <w:p>
            <w:pPr>
              <w:spacing w:after="0"/>
              <w:rPr>
                <w:sz w:val="21"/>
                <w:szCs w:val="21"/>
                <w:color w:val="auto"/>
              </w:rPr>
            </w:pPr>
          </w:p>
        </w:tc>
        <w:tc>
          <w:tcPr>
            <w:tcW w:w="900" w:type="dxa"/>
            <w:vAlign w:val="bottom"/>
            <w:gridSpan w:val="4"/>
            <w:shd w:val="clear" w:color="auto" w:fill="CCFFCC"/>
          </w:tcPr>
          <w:p>
            <w:pPr>
              <w:jc w:val="right"/>
              <w:ind w:right="100"/>
              <w:spacing w:after="0" w:line="202" w:lineRule="exact"/>
              <w:rPr>
                <w:sz w:val="20"/>
                <w:szCs w:val="20"/>
                <w:color w:val="auto"/>
              </w:rPr>
            </w:pPr>
            <w:r>
              <w:rPr>
                <w:rFonts w:ascii="Arial" w:cs="Arial" w:eastAsia="Arial" w:hAnsi="Arial"/>
                <w:sz w:val="18"/>
                <w:szCs w:val="18"/>
                <w:color w:val="0000FF"/>
              </w:rPr>
              <w:t>37</w:t>
            </w:r>
          </w:p>
        </w:tc>
      </w:tr>
      <w:tr>
        <w:trPr>
          <w:trHeight w:val="459"/>
        </w:trPr>
        <w:tc>
          <w:tcPr>
            <w:tcW w:w="1040" w:type="dxa"/>
            <w:vAlign w:val="bottom"/>
            <w:tcBorders>
              <w:top w:val="single" w:sz="8" w:color="CCFFCC"/>
            </w:tcBorders>
          </w:tcPr>
          <w:p>
            <w:pPr>
              <w:spacing w:after="0"/>
              <w:rPr>
                <w:sz w:val="24"/>
                <w:szCs w:val="24"/>
                <w:color w:val="auto"/>
              </w:rPr>
            </w:pPr>
          </w:p>
        </w:tc>
        <w:tc>
          <w:tcPr>
            <w:tcW w:w="9480" w:type="dxa"/>
            <w:vAlign w:val="bottom"/>
            <w:tcBorders>
              <w:top w:val="single" w:sz="8" w:color="CCFFCC"/>
            </w:tcBorders>
          </w:tcPr>
          <w:p>
            <w:pPr>
              <w:ind w:left="4620"/>
              <w:spacing w:after="0"/>
              <w:rPr>
                <w:sz w:val="20"/>
                <w:szCs w:val="20"/>
                <w:color w:val="auto"/>
              </w:rPr>
            </w:pPr>
            <w:r>
              <w:rPr>
                <w:rFonts w:ascii="Arial" w:cs="Arial" w:eastAsia="Arial" w:hAnsi="Arial"/>
                <w:sz w:val="18"/>
                <w:szCs w:val="18"/>
                <w:color w:val="auto"/>
              </w:rPr>
              <w:t>2</w:t>
            </w: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STATEMENTS IN THIS REPORT ABOUT LIVEPERSON, INC.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ANY SUCH FORWARD-LOOKING STATEMENTS ARE MADE PURSUANT TO THE SAFE HARBOR PROVISIONS OF THE PRIVATE SECURITIES LITIGATION REFORM ACT OF 1995.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COMPANY POLICY IS GENERALLY TO PROVIDE OUR EXPECTATIONS ONLY ONCE PER QUARTER, AND NOT TO UPDATE THAT INFORMATION UNTIL THE NEXT QUARTER. ACTUAL EVENTS OR RESULTS MAY DIFFER MATERIALLY FROM THOSE CONTAINED IN THE PROJECTIONS OR FORWARD-LOOKING STATEMENTS. FACTORS THAT COULD CAUSE OR CONTRIBUTE TO SUCH DIFFERENCES INCLUDE THOSE DISCUSSED IN PART II, ITEM 1A, “RISK FACTORS.”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2015</w:t>
            </w:r>
          </w:p>
        </w:tc>
      </w:tr>
      <w:tr>
        <w:trPr>
          <w:trHeight w:val="264"/>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(Note 1)</w:t>
            </w:r>
          </w:p>
        </w:tc>
      </w:tr>
      <w:tr>
        <w:trPr>
          <w:trHeight w:val="25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spacing w:after="0"/>
              <w:rPr>
                <w:sz w:val="22"/>
                <w:szCs w:val="2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44,556</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48,803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Cash held as collateral</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3,969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5,409</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8340" w:type="dxa"/>
            <w:vAlign w:val="bottom"/>
            <w:shd w:val="clear" w:color="auto" w:fill="CCFFCC"/>
          </w:tcPr>
          <w:p>
            <w:pPr>
              <w:ind w:left="180"/>
              <w:spacing w:after="0"/>
              <w:rPr>
                <w:sz w:val="20"/>
                <w:szCs w:val="20"/>
                <w:color w:val="auto"/>
              </w:rPr>
            </w:pPr>
            <w:r>
              <w:rPr>
                <w:rFonts w:ascii="Arial" w:cs="Arial" w:eastAsia="Arial" w:hAnsi="Arial"/>
                <w:sz w:val="16"/>
                <w:szCs w:val="16"/>
                <w:color w:val="auto"/>
                <w:w w:val="93"/>
              </w:rPr>
              <w:t>Accounts receivable, net of allowance for doubtful accounts of $1,072 and $1,184 as of March 31, 2016 and December 31,</w:t>
            </w:r>
          </w:p>
        </w:tc>
        <w:tc>
          <w:tcPr>
            <w:tcW w:w="260" w:type="dxa"/>
            <w:vAlign w:val="bottom"/>
            <w:shd w:val="clear" w:color="auto" w:fill="CCFFCC"/>
          </w:tcPr>
          <w:p>
            <w:pPr>
              <w:spacing w:after="0"/>
              <w:rPr>
                <w:sz w:val="19"/>
                <w:szCs w:val="19"/>
                <w:color w:val="auto"/>
              </w:rPr>
            </w:pPr>
          </w:p>
        </w:tc>
        <w:tc>
          <w:tcPr>
            <w:tcW w:w="12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r>
      <w:tr>
        <w:trPr>
          <w:trHeight w:val="219"/>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2015, respectively</w:t>
            </w:r>
          </w:p>
        </w:tc>
        <w:tc>
          <w:tcPr>
            <w:tcW w:w="26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30,209</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30,388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11,999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9,327</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tax assets, net</w:t>
            </w:r>
          </w:p>
        </w:tc>
        <w:tc>
          <w:tcPr>
            <w:tcW w:w="26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455</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91,160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94,382</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Property and equipment, net</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24,841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24,129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Intangibles, net</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23,034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24,619</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80,409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80,322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Deferred tax assets, net</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994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785</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2,118</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1,957</w:t>
            </w:r>
          </w:p>
        </w:tc>
      </w:tr>
      <w:tr>
        <w:trPr>
          <w:trHeight w:val="284"/>
        </w:trPr>
        <w:tc>
          <w:tcPr>
            <w:tcW w:w="8340" w:type="dxa"/>
            <w:vAlign w:val="bottom"/>
            <w:tcBorders>
              <w:bottom w:val="single" w:sz="8" w:color="CCFFCC"/>
            </w:tcBorders>
          </w:tcPr>
          <w:p>
            <w:pPr>
              <w:ind w:left="28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222,556</w:t>
            </w:r>
          </w:p>
        </w:tc>
        <w:tc>
          <w:tcPr>
            <w:tcW w:w="120" w:type="dxa"/>
            <w:vAlign w:val="bottom"/>
            <w:tcBorders>
              <w:bottom w:val="single" w:sz="8" w:color="CCFFCC"/>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226,194</w:t>
            </w:r>
          </w:p>
        </w:tc>
      </w:tr>
      <w:tr>
        <w:trPr>
          <w:trHeight w:val="311"/>
        </w:trPr>
        <w:tc>
          <w:tcPr>
            <w:tcW w:w="8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124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260" w:type="dxa"/>
            <w:vAlign w:val="bottom"/>
            <w:shd w:val="clear" w:color="auto" w:fill="CCFFCC"/>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7,188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7,102</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25,977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34,296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21,893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13,862</w:t>
            </w:r>
          </w:p>
        </w:tc>
      </w:tr>
      <w:tr>
        <w:trPr>
          <w:trHeight w:val="33"/>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FFCC"/>
            </w:tcBorders>
            <w:shd w:val="clear" w:color="auto" w:fill="CCFFCC"/>
          </w:tcPr>
          <w:p>
            <w:pPr>
              <w:spacing w:after="0"/>
              <w:rPr>
                <w:sz w:val="20"/>
                <w:szCs w:val="20"/>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55,058</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55,260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3,151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3,270</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tax liability</w:t>
            </w:r>
          </w:p>
        </w:tc>
        <w:tc>
          <w:tcPr>
            <w:tcW w:w="26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3,585</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2,359</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61,794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60,889</w:t>
            </w:r>
          </w:p>
        </w:tc>
      </w:tr>
      <w:tr>
        <w:trPr>
          <w:trHeight w:val="33"/>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18"/>
        </w:trPr>
        <w:tc>
          <w:tcPr>
            <w:tcW w:w="8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124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260" w:type="dxa"/>
            <w:vAlign w:val="bottom"/>
            <w:shd w:val="clear" w:color="auto" w:fill="CCFFCC"/>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57</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286,208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286,856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Treasury stock</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Accumulated deficit</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(121,734)</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(119,071)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(2,536)</w:t>
            </w:r>
          </w:p>
        </w:tc>
      </w:tr>
      <w:tr>
        <w:trPr>
          <w:trHeight w:val="33"/>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160,762</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165,305</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222,556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226,194</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0" w:type="dxa"/>
            <w:vAlign w:val="bottom"/>
            <w:gridSpan w:val="4"/>
          </w:tcPr>
          <w:p>
            <w:pPr>
              <w:jc w:val="center"/>
              <w:ind w:right="222"/>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8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563"/>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tcBorders>
              <w:bottom w:val="single" w:sz="8" w:color="auto"/>
            </w:tcBorders>
          </w:tcPr>
          <w:p>
            <w:pPr>
              <w:spacing w:after="0"/>
              <w:rPr>
                <w:sz w:val="24"/>
                <w:szCs w:val="24"/>
                <w:color w:val="auto"/>
              </w:rPr>
            </w:pPr>
          </w:p>
        </w:tc>
      </w:tr>
      <w:tr>
        <w:trPr>
          <w:trHeight w:val="264"/>
        </w:trPr>
        <w:tc>
          <w:tcPr>
            <w:tcW w:w="8700" w:type="dxa"/>
            <w:vAlign w:val="bottom"/>
            <w:tcBorders>
              <w:bottom w:val="single" w:sz="8" w:color="CCFFC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FFC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2015</w:t>
            </w:r>
          </w:p>
        </w:tc>
      </w:tr>
      <w:tr>
        <w:trPr>
          <w:trHeight w:val="256"/>
        </w:trPr>
        <w:tc>
          <w:tcPr>
            <w:tcW w:w="8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3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55,464</w:t>
            </w:r>
          </w:p>
        </w:tc>
        <w:tc>
          <w:tcPr>
            <w:tcW w:w="12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59,770</w:t>
            </w:r>
          </w:p>
        </w:tc>
      </w:tr>
      <w:tr>
        <w:trPr>
          <w:trHeight w:val="250"/>
        </w:trPr>
        <w:tc>
          <w:tcPr>
            <w:tcW w:w="8700" w:type="dxa"/>
            <w:vAlign w:val="bottom"/>
          </w:tcPr>
          <w:p>
            <w:pPr>
              <w:ind w:left="40"/>
              <w:spacing w:after="0"/>
              <w:rPr>
                <w:sz w:val="20"/>
                <w:szCs w:val="20"/>
                <w:color w:val="auto"/>
              </w:rPr>
            </w:pPr>
            <w:r>
              <w:rPr>
                <w:rFonts w:ascii="Arial" w:cs="Arial" w:eastAsia="Arial" w:hAnsi="Arial"/>
                <w:sz w:val="16"/>
                <w:szCs w:val="16"/>
                <w:color w:val="auto"/>
              </w:rPr>
              <w:t xml:space="preserve">Costs and expenses </w:t>
            </w:r>
            <w:r>
              <w:rPr>
                <w:rFonts w:ascii="Arial" w:cs="Arial" w:eastAsia="Arial" w:hAnsi="Arial"/>
                <w:sz w:val="21"/>
                <w:szCs w:val="21"/>
                <w:color w:val="auto"/>
                <w:vertAlign w:val="superscript"/>
              </w:rPr>
              <w:t>(1) (2)</w:t>
            </w: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70"/>
        </w:trPr>
        <w:tc>
          <w:tcPr>
            <w:tcW w:w="87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21"/>
                <w:szCs w:val="21"/>
                <w:color w:val="auto"/>
                <w:vertAlign w:val="superscript"/>
              </w:rPr>
              <w:t>(3)</w:t>
            </w:r>
          </w:p>
        </w:tc>
        <w:tc>
          <w:tcPr>
            <w:tcW w:w="320" w:type="dxa"/>
            <w:vAlign w:val="bottom"/>
            <w:shd w:val="clear" w:color="auto" w:fill="CCFFCC"/>
          </w:tcPr>
          <w:p>
            <w:pPr>
              <w:spacing w:after="0"/>
              <w:rPr>
                <w:sz w:val="23"/>
                <w:szCs w:val="23"/>
                <w:color w:val="auto"/>
              </w:rPr>
            </w:pPr>
          </w:p>
        </w:tc>
        <w:tc>
          <w:tcPr>
            <w:tcW w:w="104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15,864</w:t>
            </w:r>
          </w:p>
        </w:tc>
        <w:tc>
          <w:tcPr>
            <w:tcW w:w="120" w:type="dxa"/>
            <w:vAlign w:val="bottom"/>
            <w:shd w:val="clear" w:color="auto" w:fill="CCFFCC"/>
          </w:tcPr>
          <w:p>
            <w:pPr>
              <w:spacing w:after="0"/>
              <w:rPr>
                <w:sz w:val="23"/>
                <w:szCs w:val="23"/>
                <w:color w:val="auto"/>
              </w:rPr>
            </w:pPr>
          </w:p>
        </w:tc>
        <w:tc>
          <w:tcPr>
            <w:tcW w:w="300" w:type="dxa"/>
            <w:vAlign w:val="bottom"/>
            <w:shd w:val="clear" w:color="auto" w:fill="CCFFCC"/>
          </w:tcPr>
          <w:p>
            <w:pPr>
              <w:spacing w:after="0"/>
              <w:rPr>
                <w:sz w:val="23"/>
                <w:szCs w:val="23"/>
                <w:color w:val="auto"/>
              </w:rPr>
            </w:pPr>
          </w:p>
        </w:tc>
        <w:tc>
          <w:tcPr>
            <w:tcW w:w="940" w:type="dxa"/>
            <w:vAlign w:val="bottom"/>
            <w:shd w:val="clear" w:color="auto" w:fill="CCFFCC"/>
          </w:tcPr>
          <w:p>
            <w:pPr>
              <w:jc w:val="right"/>
              <w:ind w:right="22"/>
              <w:spacing w:after="0"/>
              <w:rPr>
                <w:sz w:val="20"/>
                <w:szCs w:val="20"/>
                <w:color w:val="auto"/>
              </w:rPr>
            </w:pPr>
            <w:r>
              <w:rPr>
                <w:rFonts w:ascii="Arial" w:cs="Arial" w:eastAsia="Arial" w:hAnsi="Arial"/>
                <w:sz w:val="16"/>
                <w:szCs w:val="16"/>
                <w:color w:val="auto"/>
              </w:rPr>
              <w:t>16,254</w:t>
            </w: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22,676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24,294</w:t>
            </w:r>
          </w:p>
        </w:tc>
      </w:tr>
      <w:tr>
        <w:trPr>
          <w:trHeight w:val="33"/>
        </w:trPr>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9,529</w:t>
            </w:r>
          </w:p>
        </w:tc>
        <w:tc>
          <w:tcPr>
            <w:tcW w:w="1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10,164</w:t>
            </w: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3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9,214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9,800</w:t>
            </w:r>
          </w:p>
        </w:tc>
      </w:tr>
      <w:tr>
        <w:trPr>
          <w:trHeight w:val="33"/>
        </w:trPr>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Amortization of purchased intangibles</w:t>
            </w:r>
          </w:p>
        </w:tc>
        <w:tc>
          <w:tcPr>
            <w:tcW w:w="32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924</w:t>
            </w:r>
          </w:p>
        </w:tc>
        <w:tc>
          <w:tcPr>
            <w:tcW w:w="12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bottom w:val="single" w:sz="8" w:color="CCFFCC"/>
            </w:tcBorders>
            <w:shd w:val="clear" w:color="auto" w:fill="CCFFCC"/>
          </w:tcPr>
          <w:p>
            <w:pPr>
              <w:spacing w:after="0"/>
              <w:rPr>
                <w:sz w:val="23"/>
                <w:szCs w:val="23"/>
                <w:color w:val="auto"/>
              </w:rPr>
            </w:pPr>
          </w:p>
        </w:tc>
        <w:tc>
          <w:tcPr>
            <w:tcW w:w="94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1,313</w:t>
            </w:r>
          </w:p>
        </w:tc>
      </w:tr>
      <w:tr>
        <w:trPr>
          <w:trHeight w:val="217"/>
        </w:trPr>
        <w:tc>
          <w:tcPr>
            <w:tcW w:w="8700" w:type="dxa"/>
            <w:vAlign w:val="bottom"/>
          </w:tcPr>
          <w:p>
            <w:pPr>
              <w:ind w:left="280"/>
              <w:spacing w:after="0"/>
              <w:rPr>
                <w:sz w:val="20"/>
                <w:szCs w:val="20"/>
                <w:color w:val="auto"/>
              </w:rPr>
            </w:pPr>
            <w:r>
              <w:rPr>
                <w:rFonts w:ascii="Arial" w:cs="Arial" w:eastAsia="Arial" w:hAnsi="Arial"/>
                <w:sz w:val="16"/>
                <w:szCs w:val="16"/>
                <w:color w:val="auto"/>
              </w:rPr>
              <w:t>Total costs and expenses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58,207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61,825</w:t>
            </w:r>
          </w:p>
        </w:tc>
      </w:tr>
      <w:tr>
        <w:trPr>
          <w:trHeight w:val="33"/>
        </w:trPr>
        <w:tc>
          <w:tcPr>
            <w:tcW w:w="87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Loss from operations</w:t>
            </w:r>
          </w:p>
        </w:tc>
        <w:tc>
          <w:tcPr>
            <w:tcW w:w="3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(2,743)</w:t>
            </w:r>
          </w:p>
        </w:tc>
        <w:tc>
          <w:tcPr>
            <w:tcW w:w="120" w:type="dxa"/>
            <w:vAlign w:val="bottom"/>
            <w:tcBorders>
              <w:bottom w:val="single" w:sz="8" w:color="CCFFCC"/>
            </w:tcBorders>
            <w:shd w:val="clear" w:color="auto" w:fill="CCFFCC"/>
          </w:tcPr>
          <w:p>
            <w:pPr>
              <w:spacing w:after="0"/>
              <w:rPr>
                <w:sz w:val="20"/>
                <w:szCs w:val="20"/>
                <w:color w:val="auto"/>
              </w:rPr>
            </w:pPr>
          </w:p>
        </w:tc>
        <w:tc>
          <w:tcPr>
            <w:tcW w:w="30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(2,055)</w:t>
            </w: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33"/>
        </w:trPr>
        <w:tc>
          <w:tcPr>
            <w:tcW w:w="87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Loss before provision for (benefit from) income taxes</w:t>
            </w:r>
          </w:p>
        </w:tc>
        <w:tc>
          <w:tcPr>
            <w:tcW w:w="3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(2,109)</w:t>
            </w:r>
          </w:p>
        </w:tc>
        <w:tc>
          <w:tcPr>
            <w:tcW w:w="120" w:type="dxa"/>
            <w:vAlign w:val="bottom"/>
            <w:tcBorders>
              <w:bottom w:val="single" w:sz="8" w:color="CCFFCC"/>
            </w:tcBorders>
            <w:shd w:val="clear" w:color="auto" w:fill="CCFFCC"/>
          </w:tcPr>
          <w:p>
            <w:pPr>
              <w:spacing w:after="0"/>
              <w:rPr>
                <w:sz w:val="20"/>
                <w:szCs w:val="20"/>
                <w:color w:val="auto"/>
              </w:rPr>
            </w:pPr>
          </w:p>
        </w:tc>
        <w:tc>
          <w:tcPr>
            <w:tcW w:w="30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(2,286)</w:t>
            </w: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3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33"/>
        </w:trPr>
        <w:tc>
          <w:tcPr>
            <w:tcW w:w="87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(2,663)</w:t>
            </w:r>
          </w:p>
        </w:tc>
        <w:tc>
          <w:tcPr>
            <w:tcW w:w="1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(2,058)</w:t>
            </w:r>
          </w:p>
        </w:tc>
      </w:tr>
      <w:tr>
        <w:trPr>
          <w:trHeight w:val="20"/>
        </w:trPr>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8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Net loss per share of common stock:</w:t>
            </w: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spacing w:after="0"/>
              <w:rPr>
                <w:sz w:val="21"/>
                <w:szCs w:val="21"/>
                <w:color w:val="auto"/>
              </w:rPr>
            </w:pPr>
          </w:p>
        </w:tc>
      </w:tr>
      <w:tr>
        <w:trPr>
          <w:trHeight w:val="290"/>
        </w:trPr>
        <w:tc>
          <w:tcPr>
            <w:tcW w:w="870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FFCC"/>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r>
      <w:tr>
        <w:trPr>
          <w:trHeight w:val="237"/>
        </w:trPr>
        <w:tc>
          <w:tcPr>
            <w:tcW w:w="87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FFCC"/>
            </w:tcBorders>
            <w:shd w:val="clear" w:color="auto" w:fill="CCFFCC"/>
          </w:tcPr>
          <w:p>
            <w:pPr>
              <w:spacing w:after="0"/>
              <w:rPr>
                <w:sz w:val="20"/>
                <w:szCs w:val="20"/>
                <w:color w:val="auto"/>
              </w:rPr>
            </w:pPr>
          </w:p>
        </w:tc>
        <w:tc>
          <w:tcPr>
            <w:tcW w:w="30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(0.04)</w:t>
            </w:r>
          </w:p>
        </w:tc>
      </w:tr>
      <w:tr>
        <w:trPr>
          <w:trHeight w:val="20"/>
        </w:trPr>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8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Weighted-average shares used to compute net loss per share:</w:t>
            </w: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spacing w:after="0"/>
              <w:rPr>
                <w:sz w:val="21"/>
                <w:szCs w:val="21"/>
                <w:color w:val="auto"/>
              </w:rPr>
            </w:pPr>
          </w:p>
        </w:tc>
      </w:tr>
      <w:tr>
        <w:trPr>
          <w:trHeight w:val="290"/>
        </w:trPr>
        <w:tc>
          <w:tcPr>
            <w:tcW w:w="870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56,386,003</w:t>
            </w:r>
          </w:p>
        </w:tc>
        <w:tc>
          <w:tcPr>
            <w:tcW w:w="120" w:type="dxa"/>
            <w:vAlign w:val="bottom"/>
            <w:tcBorders>
              <w:bottom w:val="single" w:sz="8" w:color="CCFFC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56,291,383</w:t>
            </w:r>
          </w:p>
        </w:tc>
      </w:tr>
      <w:tr>
        <w:trPr>
          <w:trHeight w:val="237"/>
        </w:trPr>
        <w:tc>
          <w:tcPr>
            <w:tcW w:w="87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shd w:val="clear" w:color="auto" w:fill="CCFFCC"/>
          </w:tcPr>
          <w:p>
            <w:pPr>
              <w:spacing w:after="0"/>
              <w:rPr>
                <w:sz w:val="20"/>
                <w:szCs w:val="20"/>
                <w:color w:val="auto"/>
              </w:rPr>
            </w:pPr>
          </w:p>
        </w:tc>
        <w:tc>
          <w:tcPr>
            <w:tcW w:w="104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56,386,003</w:t>
            </w:r>
          </w:p>
        </w:tc>
        <w:tc>
          <w:tcPr>
            <w:tcW w:w="120" w:type="dxa"/>
            <w:vAlign w:val="bottom"/>
            <w:tcBorders>
              <w:bottom w:val="single" w:sz="8" w:color="CCFFCC"/>
            </w:tcBorders>
            <w:shd w:val="clear" w:color="auto" w:fill="CCFFCC"/>
          </w:tcPr>
          <w:p>
            <w:pPr>
              <w:spacing w:after="0"/>
              <w:rPr>
                <w:sz w:val="20"/>
                <w:szCs w:val="20"/>
                <w:color w:val="auto"/>
              </w:rPr>
            </w:pPr>
          </w:p>
        </w:tc>
        <w:tc>
          <w:tcPr>
            <w:tcW w:w="300" w:type="dxa"/>
            <w:vAlign w:val="bottom"/>
            <w:tcBorders>
              <w:bottom w:val="single" w:sz="8" w:color="auto"/>
            </w:tcBorders>
            <w:shd w:val="clear" w:color="auto" w:fill="CCFFCC"/>
          </w:tcPr>
          <w:p>
            <w:pPr>
              <w:spacing w:after="0"/>
              <w:rPr>
                <w:sz w:val="20"/>
                <w:szCs w:val="20"/>
                <w:color w:val="auto"/>
              </w:rPr>
            </w:pPr>
          </w:p>
        </w:tc>
        <w:tc>
          <w:tcPr>
            <w:tcW w:w="94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rPr>
              <w:t>56,291,383</w:t>
            </w:r>
          </w:p>
        </w:tc>
      </w:tr>
      <w:tr>
        <w:trPr>
          <w:trHeight w:val="20"/>
        </w:trPr>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8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8700" w:type="dxa"/>
            <w:vAlign w:val="bottom"/>
            <w:tcBorders>
              <w:bottom w:val="single" w:sz="8" w:color="auto"/>
            </w:tcBorders>
            <w:shd w:val="clear" w:color="auto" w:fill="CCFFCC"/>
          </w:tcPr>
          <w:p>
            <w:pPr>
              <w:spacing w:after="0"/>
              <w:rPr>
                <w:sz w:val="24"/>
                <w:szCs w:val="24"/>
                <w:color w:val="auto"/>
              </w:rPr>
            </w:pPr>
          </w:p>
        </w:tc>
        <w:tc>
          <w:tcPr>
            <w:tcW w:w="320" w:type="dxa"/>
            <w:vAlign w:val="bottom"/>
            <w:shd w:val="clear" w:color="auto" w:fill="CCFFCC"/>
          </w:tcPr>
          <w:p>
            <w:pPr>
              <w:spacing w:after="0"/>
              <w:rPr>
                <w:sz w:val="24"/>
                <w:szCs w:val="24"/>
                <w:color w:val="auto"/>
              </w:rPr>
            </w:pPr>
          </w:p>
        </w:tc>
        <w:tc>
          <w:tcPr>
            <w:tcW w:w="104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940" w:type="dxa"/>
            <w:vAlign w:val="bottom"/>
            <w:shd w:val="clear" w:color="auto" w:fill="CCFFCC"/>
          </w:tcPr>
          <w:p>
            <w:pPr>
              <w:spacing w:after="0"/>
              <w:rPr>
                <w:sz w:val="24"/>
                <w:szCs w:val="24"/>
                <w:color w:val="auto"/>
              </w:rPr>
            </w:pPr>
          </w:p>
        </w:tc>
      </w:tr>
      <w:tr>
        <w:trPr>
          <w:trHeight w:val="244"/>
        </w:trPr>
        <w:tc>
          <w:tcPr>
            <w:tcW w:w="8700" w:type="dxa"/>
            <w:vAlign w:val="bottom"/>
          </w:tcPr>
          <w:p>
            <w:pPr>
              <w:ind w:left="18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Amounts include stock-based compensation expense, as follows: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6"/>
        </w:trPr>
        <w:tc>
          <w:tcPr>
            <w:tcW w:w="87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Cost of revenue</w:t>
            </w:r>
          </w:p>
        </w:tc>
        <w:tc>
          <w:tcPr>
            <w:tcW w:w="32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FFCC"/>
          </w:tcPr>
          <w:p>
            <w:pPr>
              <w:spacing w:after="0"/>
              <w:rPr>
                <w:sz w:val="24"/>
                <w:szCs w:val="24"/>
                <w:color w:val="auto"/>
              </w:rPr>
            </w:pPr>
          </w:p>
        </w:tc>
        <w:tc>
          <w:tcPr>
            <w:tcW w:w="30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328</w:t>
            </w:r>
          </w:p>
        </w:tc>
      </w:tr>
      <w:tr>
        <w:trPr>
          <w:trHeight w:val="264"/>
        </w:trPr>
        <w:tc>
          <w:tcPr>
            <w:tcW w:w="8700" w:type="dxa"/>
            <w:vAlign w:val="bottom"/>
          </w:tcPr>
          <w:p>
            <w:pPr>
              <w:ind w:left="38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4"/>
                <w:szCs w:val="14"/>
                <w:color w:val="auto"/>
              </w:rPr>
              <w:t>595</w:t>
            </w:r>
          </w:p>
        </w:tc>
      </w:tr>
      <w:tr>
        <w:trPr>
          <w:trHeight w:val="276"/>
        </w:trPr>
        <w:tc>
          <w:tcPr>
            <w:tcW w:w="87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CCFFCC"/>
          </w:tcPr>
          <w:p>
            <w:pPr>
              <w:spacing w:after="0"/>
              <w:rPr>
                <w:sz w:val="24"/>
                <w:szCs w:val="24"/>
                <w:color w:val="auto"/>
              </w:rPr>
            </w:pPr>
          </w:p>
        </w:tc>
        <w:tc>
          <w:tcPr>
            <w:tcW w:w="104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852</w:t>
            </w:r>
          </w:p>
        </w:tc>
        <w:tc>
          <w:tcPr>
            <w:tcW w:w="120" w:type="dxa"/>
            <w:vAlign w:val="bottom"/>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94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932</w:t>
            </w:r>
          </w:p>
        </w:tc>
      </w:tr>
      <w:tr>
        <w:trPr>
          <w:trHeight w:val="264"/>
        </w:trPr>
        <w:tc>
          <w:tcPr>
            <w:tcW w:w="8700" w:type="dxa"/>
            <w:vAlign w:val="bottom"/>
          </w:tcPr>
          <w:p>
            <w:pPr>
              <w:ind w:left="380"/>
              <w:spacing w:after="0"/>
              <w:rPr>
                <w:sz w:val="20"/>
                <w:szCs w:val="20"/>
                <w:color w:val="auto"/>
              </w:rPr>
            </w:pPr>
            <w:r>
              <w:rPr>
                <w:rFonts w:ascii="Arial" w:cs="Arial" w:eastAsia="Arial" w:hAnsi="Arial"/>
                <w:sz w:val="14"/>
                <w:szCs w:val="14"/>
                <w:color w:val="auto"/>
              </w:rPr>
              <w:t>Product development</w:t>
            </w: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4"/>
                <w:szCs w:val="14"/>
                <w:color w:val="auto"/>
              </w:rPr>
              <w:t>827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4"/>
                <w:szCs w:val="14"/>
                <w:color w:val="auto"/>
              </w:rPr>
              <w:t>939</w:t>
            </w:r>
          </w:p>
        </w:tc>
      </w:tr>
      <w:tr>
        <w:trPr>
          <w:trHeight w:val="276"/>
        </w:trPr>
        <w:tc>
          <w:tcPr>
            <w:tcW w:w="8700" w:type="dxa"/>
            <w:vAlign w:val="bottom"/>
            <w:shd w:val="clear" w:color="auto" w:fill="CCFFCC"/>
          </w:tcPr>
          <w:p>
            <w:pPr>
              <w:spacing w:after="0"/>
              <w:rPr>
                <w:sz w:val="24"/>
                <w:szCs w:val="24"/>
                <w:color w:val="auto"/>
              </w:rPr>
            </w:pPr>
          </w:p>
        </w:tc>
        <w:tc>
          <w:tcPr>
            <w:tcW w:w="320" w:type="dxa"/>
            <w:vAlign w:val="bottom"/>
            <w:shd w:val="clear" w:color="auto" w:fill="CCFFCC"/>
          </w:tcPr>
          <w:p>
            <w:pPr>
              <w:spacing w:after="0"/>
              <w:rPr>
                <w:sz w:val="24"/>
                <w:szCs w:val="24"/>
                <w:color w:val="auto"/>
              </w:rPr>
            </w:pPr>
          </w:p>
        </w:tc>
        <w:tc>
          <w:tcPr>
            <w:tcW w:w="104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940" w:type="dxa"/>
            <w:vAlign w:val="bottom"/>
            <w:shd w:val="clear" w:color="auto" w:fill="CCFFCC"/>
          </w:tcPr>
          <w:p>
            <w:pPr>
              <w:spacing w:after="0"/>
              <w:rPr>
                <w:sz w:val="24"/>
                <w:szCs w:val="24"/>
                <w:color w:val="auto"/>
              </w:rPr>
            </w:pPr>
          </w:p>
        </w:tc>
      </w:tr>
      <w:tr>
        <w:trPr>
          <w:trHeight w:val="264"/>
        </w:trPr>
        <w:tc>
          <w:tcPr>
            <w:tcW w:w="8700" w:type="dxa"/>
            <w:vAlign w:val="bottom"/>
          </w:tcPr>
          <w:p>
            <w:pPr>
              <w:ind w:left="180"/>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4"/>
                <w:szCs w:val="14"/>
                <w:color w:val="auto"/>
              </w:rPr>
              <w:t>Amounts include depreciation expense, as follows: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7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Cost of revenue</w:t>
            </w:r>
          </w:p>
        </w:tc>
        <w:tc>
          <w:tcPr>
            <w:tcW w:w="32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2,338</w:t>
            </w:r>
          </w:p>
        </w:tc>
        <w:tc>
          <w:tcPr>
            <w:tcW w:w="120" w:type="dxa"/>
            <w:vAlign w:val="bottom"/>
            <w:shd w:val="clear" w:color="auto" w:fill="CCFFCC"/>
          </w:tcPr>
          <w:p>
            <w:pPr>
              <w:spacing w:after="0"/>
              <w:rPr>
                <w:sz w:val="24"/>
                <w:szCs w:val="24"/>
                <w:color w:val="auto"/>
              </w:rPr>
            </w:pPr>
          </w:p>
        </w:tc>
        <w:tc>
          <w:tcPr>
            <w:tcW w:w="30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1,903</w:t>
            </w:r>
          </w:p>
        </w:tc>
      </w:tr>
      <w:tr>
        <w:trPr>
          <w:trHeight w:val="264"/>
        </w:trPr>
        <w:tc>
          <w:tcPr>
            <w:tcW w:w="8700" w:type="dxa"/>
            <w:vAlign w:val="bottom"/>
          </w:tcPr>
          <w:p>
            <w:pPr>
              <w:ind w:left="38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4"/>
                <w:szCs w:val="14"/>
                <w:color w:val="auto"/>
              </w:rPr>
              <w:t>250</w:t>
            </w:r>
          </w:p>
        </w:tc>
      </w:tr>
      <w:tr>
        <w:trPr>
          <w:trHeight w:val="276"/>
        </w:trPr>
        <w:tc>
          <w:tcPr>
            <w:tcW w:w="87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CCFFCC"/>
          </w:tcPr>
          <w:p>
            <w:pPr>
              <w:spacing w:after="0"/>
              <w:rPr>
                <w:sz w:val="24"/>
                <w:szCs w:val="24"/>
                <w:color w:val="auto"/>
              </w:rPr>
            </w:pPr>
          </w:p>
        </w:tc>
        <w:tc>
          <w:tcPr>
            <w:tcW w:w="104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399</w:t>
            </w:r>
          </w:p>
        </w:tc>
        <w:tc>
          <w:tcPr>
            <w:tcW w:w="120" w:type="dxa"/>
            <w:vAlign w:val="bottom"/>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94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237</w:t>
            </w:r>
          </w:p>
        </w:tc>
      </w:tr>
      <w:tr>
        <w:trPr>
          <w:trHeight w:val="264"/>
        </w:trPr>
        <w:tc>
          <w:tcPr>
            <w:tcW w:w="8700" w:type="dxa"/>
            <w:vAlign w:val="bottom"/>
          </w:tcPr>
          <w:p>
            <w:pPr>
              <w:ind w:left="380"/>
              <w:spacing w:after="0"/>
              <w:rPr>
                <w:sz w:val="20"/>
                <w:szCs w:val="20"/>
                <w:color w:val="auto"/>
              </w:rPr>
            </w:pPr>
            <w:r>
              <w:rPr>
                <w:rFonts w:ascii="Arial" w:cs="Arial" w:eastAsia="Arial" w:hAnsi="Arial"/>
                <w:sz w:val="14"/>
                <w:szCs w:val="14"/>
                <w:color w:val="auto"/>
              </w:rPr>
              <w:t>Product development</w:t>
            </w: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4"/>
                <w:szCs w:val="14"/>
                <w:color w:val="auto"/>
              </w:rPr>
              <w:t>188</w:t>
            </w:r>
          </w:p>
        </w:tc>
      </w:tr>
      <w:tr>
        <w:trPr>
          <w:trHeight w:val="276"/>
        </w:trPr>
        <w:tc>
          <w:tcPr>
            <w:tcW w:w="8700" w:type="dxa"/>
            <w:vAlign w:val="bottom"/>
            <w:shd w:val="clear" w:color="auto" w:fill="CCFFCC"/>
          </w:tcPr>
          <w:p>
            <w:pPr>
              <w:spacing w:after="0"/>
              <w:rPr>
                <w:sz w:val="24"/>
                <w:szCs w:val="24"/>
                <w:color w:val="auto"/>
              </w:rPr>
            </w:pPr>
          </w:p>
        </w:tc>
        <w:tc>
          <w:tcPr>
            <w:tcW w:w="320" w:type="dxa"/>
            <w:vAlign w:val="bottom"/>
            <w:shd w:val="clear" w:color="auto" w:fill="CCFFCC"/>
          </w:tcPr>
          <w:p>
            <w:pPr>
              <w:spacing w:after="0"/>
              <w:rPr>
                <w:sz w:val="24"/>
                <w:szCs w:val="24"/>
                <w:color w:val="auto"/>
              </w:rPr>
            </w:pPr>
          </w:p>
        </w:tc>
        <w:tc>
          <w:tcPr>
            <w:tcW w:w="104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940" w:type="dxa"/>
            <w:vAlign w:val="bottom"/>
            <w:shd w:val="clear" w:color="auto" w:fill="CCFFCC"/>
          </w:tcPr>
          <w:p>
            <w:pPr>
              <w:spacing w:after="0"/>
              <w:rPr>
                <w:sz w:val="24"/>
                <w:szCs w:val="24"/>
                <w:color w:val="auto"/>
              </w:rPr>
            </w:pPr>
          </w:p>
        </w:tc>
      </w:tr>
      <w:tr>
        <w:trPr>
          <w:trHeight w:val="264"/>
        </w:trPr>
        <w:tc>
          <w:tcPr>
            <w:tcW w:w="8700" w:type="dxa"/>
            <w:vAlign w:val="bottom"/>
          </w:tcPr>
          <w:p>
            <w:pPr>
              <w:ind w:left="180"/>
              <w:spacing w:after="0"/>
              <w:rPr>
                <w:sz w:val="20"/>
                <w:szCs w:val="20"/>
                <w:color w:val="auto"/>
              </w:rPr>
            </w:pPr>
            <w:r>
              <w:rPr>
                <w:rFonts w:ascii="Arial" w:cs="Arial" w:eastAsia="Arial" w:hAnsi="Arial"/>
                <w:sz w:val="9"/>
                <w:szCs w:val="9"/>
                <w:color w:val="auto"/>
              </w:rPr>
              <w:t xml:space="preserve">(3) </w:t>
            </w:r>
            <w:r>
              <w:rPr>
                <w:rFonts w:ascii="Arial" w:cs="Arial" w:eastAsia="Arial" w:hAnsi="Arial"/>
                <w:sz w:val="14"/>
                <w:szCs w:val="14"/>
                <w:color w:val="auto"/>
              </w:rPr>
              <w:t>Amounts include amortization of purchased intangibles, as follows: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7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Cost of revenue</w:t>
            </w:r>
          </w:p>
        </w:tc>
        <w:tc>
          <w:tcPr>
            <w:tcW w:w="32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697</w:t>
            </w:r>
          </w:p>
        </w:tc>
        <w:tc>
          <w:tcPr>
            <w:tcW w:w="120" w:type="dxa"/>
            <w:vAlign w:val="bottom"/>
            <w:shd w:val="clear" w:color="auto" w:fill="CCFFCC"/>
          </w:tcPr>
          <w:p>
            <w:pPr>
              <w:spacing w:after="0"/>
              <w:rPr>
                <w:sz w:val="24"/>
                <w:szCs w:val="24"/>
                <w:color w:val="auto"/>
              </w:rPr>
            </w:pPr>
          </w:p>
        </w:tc>
        <w:tc>
          <w:tcPr>
            <w:tcW w:w="30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839</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69" w:right="239" w:bottom="1440" w:gutter="0" w:footer="0" w:header="0"/>
          <w:type w:val="continuous"/>
        </w:sectPr>
      </w:pPr>
    </w:p>
    <w:bookmarkStart w:id="5" w:name="page6"/>
    <w:bookmarkEnd w:id="5"/>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2440" w:type="dxa"/>
            <w:vAlign w:val="bottom"/>
            <w:gridSpan w:val="4"/>
          </w:tcPr>
          <w:p>
            <w:pPr>
              <w:jc w:val="right"/>
              <w:ind w:right="22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r>
      <w:tr>
        <w:trPr>
          <w:trHeight w:val="276"/>
        </w:trPr>
        <w:tc>
          <w:tcPr>
            <w:tcW w:w="84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24"/>
                <w:szCs w:val="24"/>
                <w:color w:val="auto"/>
              </w:rPr>
            </w:pPr>
          </w:p>
        </w:tc>
      </w:tr>
      <w:tr>
        <w:trPr>
          <w:trHeight w:val="264"/>
        </w:trPr>
        <w:tc>
          <w:tcPr>
            <w:tcW w:w="8460" w:type="dxa"/>
            <w:vAlign w:val="bottom"/>
            <w:tcBorders>
              <w:bottom w:val="single" w:sz="8" w:color="CCFFCC"/>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r>
      <w:tr>
        <w:trPr>
          <w:trHeight w:val="236"/>
        </w:trPr>
        <w:tc>
          <w:tcPr>
            <w:tcW w:w="84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Net loss</w:t>
            </w:r>
          </w:p>
        </w:tc>
        <w:tc>
          <w:tcPr>
            <w:tcW w:w="920" w:type="dxa"/>
            <w:vAlign w:val="bottom"/>
            <w:tcBorders>
              <w:bottom w:val="single" w:sz="8" w:color="CCFFCC"/>
            </w:tcBorders>
            <w:shd w:val="clear" w:color="auto" w:fill="CCFFCC"/>
          </w:tcPr>
          <w:p>
            <w:pPr>
              <w:jc w:val="right"/>
              <w:ind w:right="72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8"/>
              </w:rPr>
              <w:t>(2,663)</w:t>
            </w:r>
          </w:p>
        </w:tc>
        <w:tc>
          <w:tcPr>
            <w:tcW w:w="100" w:type="dxa"/>
            <w:vAlign w:val="bottom"/>
            <w:tcBorders>
              <w:bottom w:val="single" w:sz="8" w:color="CCFFCC"/>
            </w:tcBorders>
            <w:shd w:val="clear" w:color="auto" w:fill="CCFFCC"/>
          </w:tcPr>
          <w:p>
            <w:pPr>
              <w:spacing w:after="0"/>
              <w:rPr>
                <w:sz w:val="20"/>
                <w:szCs w:val="20"/>
                <w:color w:val="auto"/>
              </w:rPr>
            </w:pPr>
          </w:p>
        </w:tc>
        <w:tc>
          <w:tcPr>
            <w:tcW w:w="840" w:type="dxa"/>
            <w:vAlign w:val="bottom"/>
            <w:tcBorders>
              <w:bottom w:val="single" w:sz="8" w:color="CCFFCC"/>
            </w:tcBorders>
            <w:shd w:val="clear" w:color="auto" w:fill="CCFFCC"/>
          </w:tcPr>
          <w:p>
            <w:pPr>
              <w:jc w:val="right"/>
              <w:ind w:right="6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6"/>
              </w:rPr>
              <w:t>(2,058)</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(1,232)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(989)</w:t>
            </w:r>
          </w:p>
        </w:tc>
      </w:tr>
      <w:tr>
        <w:trPr>
          <w:trHeight w:val="33"/>
        </w:trPr>
        <w:tc>
          <w:tcPr>
            <w:tcW w:w="8460" w:type="dxa"/>
            <w:vAlign w:val="bottom"/>
            <w:tcBorders>
              <w:bottom w:val="single" w:sz="8" w:color="CCFF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Comprehensive loss</w:t>
            </w:r>
          </w:p>
        </w:tc>
        <w:tc>
          <w:tcPr>
            <w:tcW w:w="920" w:type="dxa"/>
            <w:vAlign w:val="bottom"/>
            <w:tcBorders>
              <w:bottom w:val="single" w:sz="8" w:color="auto"/>
            </w:tcBorders>
            <w:shd w:val="clear" w:color="auto" w:fill="CCFFCC"/>
          </w:tcPr>
          <w:p>
            <w:pPr>
              <w:jc w:val="right"/>
              <w:ind w:right="72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98"/>
              </w:rPr>
              <w:t>(3,895)</w:t>
            </w:r>
          </w:p>
        </w:tc>
        <w:tc>
          <w:tcPr>
            <w:tcW w:w="10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ind w:right="6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6"/>
              </w:rPr>
              <w:t>(3,047)</w:t>
            </w:r>
          </w:p>
        </w:tc>
      </w:tr>
      <w:tr>
        <w:trPr>
          <w:trHeight w:val="20"/>
        </w:trPr>
        <w:tc>
          <w:tcPr>
            <w:tcW w:w="8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11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17145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Borders>
              <w:bottom w:val="single" w:sz="8" w:color="CCFFCC"/>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FFC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r>
      <w:tr>
        <w:trPr>
          <w:trHeight w:val="257"/>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OPERATING ACTIVITIES:</w:t>
            </w:r>
          </w:p>
        </w:tc>
        <w:tc>
          <w:tcPr>
            <w:tcW w:w="940" w:type="dxa"/>
            <w:vAlign w:val="bottom"/>
            <w:shd w:val="clear" w:color="auto" w:fill="CCFFCC"/>
          </w:tcPr>
          <w:p>
            <w:pPr>
              <w:spacing w:after="0"/>
              <w:rPr>
                <w:sz w:val="22"/>
                <w:szCs w:val="22"/>
                <w:color w:val="auto"/>
              </w:rPr>
            </w:pPr>
          </w:p>
        </w:tc>
        <w:tc>
          <w:tcPr>
            <w:tcW w:w="5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(2,663)</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(2,058)</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9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2,319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2,794</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Depreciation</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3,167</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2,578</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Amortization of purchased intangibles</w:t>
            </w:r>
          </w:p>
        </w:tc>
        <w:tc>
          <w:tcPr>
            <w:tcW w:w="9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1,621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2,152</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Deferred income taxes and other non-cash tax items</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820</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Provision for doubtful accounts, net</w:t>
            </w:r>
          </w:p>
        </w:tc>
        <w:tc>
          <w:tcPr>
            <w:tcW w:w="9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403</w:t>
            </w:r>
          </w:p>
        </w:tc>
      </w:tr>
      <w:tr>
        <w:trPr>
          <w:trHeight w:val="303"/>
        </w:trPr>
        <w:tc>
          <w:tcPr>
            <w:tcW w:w="8340" w:type="dxa"/>
            <w:vAlign w:val="bottom"/>
            <w:shd w:val="clear" w:color="auto" w:fill="CCFFCC"/>
          </w:tcPr>
          <w:p>
            <w:pPr>
              <w:spacing w:after="0"/>
              <w:rPr>
                <w:sz w:val="24"/>
                <w:szCs w:val="24"/>
                <w:color w:val="auto"/>
              </w:rPr>
            </w:pP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Accounts receivable</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(4,609)</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94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(2,829)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(2,544)</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Other assets</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9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1,359</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(8,606)</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(7,045)</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9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8,031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(1,776)</w:t>
            </w:r>
          </w:p>
        </w:tc>
      </w:tr>
      <w:tr>
        <w:trPr>
          <w:trHeight w:val="270"/>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Other liabilities</w:t>
            </w:r>
          </w:p>
        </w:tc>
        <w:tc>
          <w:tcPr>
            <w:tcW w:w="940" w:type="dxa"/>
            <w:vAlign w:val="bottom"/>
            <w:tcBorders>
              <w:bottom w:val="single" w:sz="8" w:color="auto"/>
            </w:tcBorders>
            <w:shd w:val="clear" w:color="auto" w:fill="CCFFCC"/>
          </w:tcPr>
          <w:p>
            <w:pPr>
              <w:spacing w:after="0"/>
              <w:rPr>
                <w:sz w:val="23"/>
                <w:szCs w:val="23"/>
                <w:color w:val="auto"/>
              </w:rPr>
            </w:pPr>
          </w:p>
        </w:tc>
        <w:tc>
          <w:tcPr>
            <w:tcW w:w="56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1,109</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361</w:t>
            </w:r>
          </w:p>
        </w:tc>
      </w:tr>
      <w:tr>
        <w:trPr>
          <w:trHeight w:val="250"/>
        </w:trPr>
        <w:tc>
          <w:tcPr>
            <w:tcW w:w="8340" w:type="dxa"/>
            <w:vAlign w:val="bottom"/>
            <w:tcBorders>
              <w:bottom w:val="single" w:sz="8" w:color="CCFFCC"/>
            </w:tcBorders>
          </w:tcPr>
          <w:p>
            <w:pPr>
              <w:ind w:left="600"/>
              <w:spacing w:after="0"/>
              <w:rPr>
                <w:sz w:val="20"/>
                <w:szCs w:val="20"/>
                <w:color w:val="auto"/>
              </w:rPr>
            </w:pPr>
            <w:r>
              <w:rPr>
                <w:rFonts w:ascii="Arial" w:cs="Arial" w:eastAsia="Arial" w:hAnsi="Arial"/>
                <w:sz w:val="14"/>
                <w:szCs w:val="14"/>
                <w:color w:val="auto"/>
              </w:rPr>
              <w:t>Net cash provided by (used in) operating activities</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2,150</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(7,580)</w:t>
            </w:r>
          </w:p>
        </w:tc>
      </w:tr>
      <w:tr>
        <w:trPr>
          <w:trHeight w:val="297"/>
        </w:trPr>
        <w:tc>
          <w:tcPr>
            <w:tcW w:w="8340" w:type="dxa"/>
            <w:vAlign w:val="bottom"/>
            <w:shd w:val="clear" w:color="auto" w:fill="CCFFCC"/>
          </w:tcPr>
          <w:p>
            <w:pPr>
              <w:spacing w:after="0"/>
              <w:rPr>
                <w:sz w:val="24"/>
                <w:szCs w:val="24"/>
                <w:color w:val="auto"/>
              </w:rPr>
            </w:pP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Purchases of property and equipment, including capitalized software</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(4,529)</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(1,783)</w:t>
            </w:r>
          </w:p>
        </w:tc>
      </w:tr>
      <w:tr>
        <w:trPr>
          <w:trHeight w:val="264"/>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Cash held as collateral for foreign exchange forward contracts</w:t>
            </w: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1,440</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340" w:type="dxa"/>
            <w:vAlign w:val="bottom"/>
            <w:shd w:val="clear" w:color="auto" w:fill="CCFFCC"/>
          </w:tcPr>
          <w:p>
            <w:pPr>
              <w:ind w:left="600"/>
              <w:spacing w:after="0"/>
              <w:rPr>
                <w:sz w:val="20"/>
                <w:szCs w:val="20"/>
                <w:color w:val="auto"/>
              </w:rPr>
            </w:pPr>
            <w:r>
              <w:rPr>
                <w:rFonts w:ascii="Arial" w:cs="Arial" w:eastAsia="Arial" w:hAnsi="Arial"/>
                <w:sz w:val="14"/>
                <w:szCs w:val="14"/>
                <w:color w:val="auto"/>
              </w:rPr>
              <w:t>Net cash used in investing activities</w:t>
            </w:r>
          </w:p>
        </w:tc>
        <w:tc>
          <w:tcPr>
            <w:tcW w:w="940" w:type="dxa"/>
            <w:vAlign w:val="bottom"/>
            <w:tcBorders>
              <w:bottom w:val="single" w:sz="8" w:color="auto"/>
            </w:tcBorders>
            <w:shd w:val="clear" w:color="auto" w:fill="CCFFCC"/>
          </w:tcPr>
          <w:p>
            <w:pPr>
              <w:spacing w:after="0"/>
              <w:rPr>
                <w:sz w:val="21"/>
                <w:szCs w:val="21"/>
                <w:color w:val="auto"/>
              </w:rPr>
            </w:pPr>
          </w:p>
        </w:tc>
        <w:tc>
          <w:tcPr>
            <w:tcW w:w="5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(3,089)</w:t>
            </w:r>
          </w:p>
        </w:tc>
        <w:tc>
          <w:tcPr>
            <w:tcW w:w="12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(1,783)</w:t>
            </w:r>
          </w:p>
        </w:tc>
      </w:tr>
      <w:tr>
        <w:trPr>
          <w:trHeight w:val="297"/>
        </w:trPr>
        <w:tc>
          <w:tcPr>
            <w:tcW w:w="8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FINANCING ACTIVITIES:</w:t>
            </w:r>
          </w:p>
        </w:tc>
        <w:tc>
          <w:tcPr>
            <w:tcW w:w="940" w:type="dxa"/>
            <w:vAlign w:val="bottom"/>
            <w:shd w:val="clear" w:color="auto" w:fill="CCFFCC"/>
          </w:tcPr>
          <w:p>
            <w:pPr>
              <w:spacing w:after="0"/>
              <w:rPr>
                <w:sz w:val="23"/>
                <w:szCs w:val="23"/>
                <w:color w:val="auto"/>
              </w:rPr>
            </w:pPr>
          </w:p>
        </w:tc>
        <w:tc>
          <w:tcPr>
            <w:tcW w:w="5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Excess tax benefit from the exercise of employee stock options</w:t>
            </w:r>
          </w:p>
        </w:tc>
        <w:tc>
          <w:tcPr>
            <w:tcW w:w="9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751</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Proceeds from issuance of common stock in connection with the exercise of options</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2,284</w:t>
            </w:r>
          </w:p>
        </w:tc>
      </w:tr>
      <w:tr>
        <w:trPr>
          <w:trHeight w:val="264"/>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Repurchase of common stock</w:t>
            </w: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(3,204)</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(2,058)</w:t>
            </w:r>
          </w:p>
        </w:tc>
      </w:tr>
      <w:tr>
        <w:trPr>
          <w:trHeight w:val="250"/>
        </w:trPr>
        <w:tc>
          <w:tcPr>
            <w:tcW w:w="8340" w:type="dxa"/>
            <w:vAlign w:val="bottom"/>
            <w:shd w:val="clear" w:color="auto" w:fill="CCFFCC"/>
          </w:tcPr>
          <w:p>
            <w:pPr>
              <w:ind w:left="600"/>
              <w:spacing w:after="0"/>
              <w:rPr>
                <w:sz w:val="20"/>
                <w:szCs w:val="20"/>
                <w:color w:val="auto"/>
              </w:rPr>
            </w:pPr>
            <w:r>
              <w:rPr>
                <w:rFonts w:ascii="Arial" w:cs="Arial" w:eastAsia="Arial" w:hAnsi="Arial"/>
                <w:sz w:val="14"/>
                <w:szCs w:val="14"/>
                <w:color w:val="auto"/>
              </w:rPr>
              <w:t>Net cash (used in) provided by financing activities</w:t>
            </w:r>
          </w:p>
        </w:tc>
        <w:tc>
          <w:tcPr>
            <w:tcW w:w="940" w:type="dxa"/>
            <w:vAlign w:val="bottom"/>
            <w:tcBorders>
              <w:bottom w:val="single" w:sz="8" w:color="auto"/>
            </w:tcBorders>
            <w:shd w:val="clear" w:color="auto" w:fill="CCFFCC"/>
          </w:tcPr>
          <w:p>
            <w:pPr>
              <w:spacing w:after="0"/>
              <w:rPr>
                <w:sz w:val="21"/>
                <w:szCs w:val="21"/>
                <w:color w:val="auto"/>
              </w:rPr>
            </w:pPr>
          </w:p>
        </w:tc>
        <w:tc>
          <w:tcPr>
            <w:tcW w:w="5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(2,969)</w:t>
            </w:r>
          </w:p>
        </w:tc>
        <w:tc>
          <w:tcPr>
            <w:tcW w:w="12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977</w:t>
            </w:r>
          </w:p>
        </w:tc>
      </w:tr>
      <w:tr>
        <w:trPr>
          <w:trHeight w:val="250"/>
        </w:trPr>
        <w:tc>
          <w:tcPr>
            <w:tcW w:w="834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(339)</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r>
      <w:tr>
        <w:trPr>
          <w:trHeight w:val="256"/>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CHANGE IN CASH AND CASH EQUIVALENTS</w:t>
            </w:r>
          </w:p>
        </w:tc>
        <w:tc>
          <w:tcPr>
            <w:tcW w:w="940" w:type="dxa"/>
            <w:vAlign w:val="bottom"/>
            <w:shd w:val="clear" w:color="auto" w:fill="CCFFCC"/>
          </w:tcPr>
          <w:p>
            <w:pPr>
              <w:spacing w:after="0"/>
              <w:rPr>
                <w:sz w:val="22"/>
                <w:szCs w:val="22"/>
                <w:color w:val="auto"/>
              </w:rPr>
            </w:pPr>
          </w:p>
        </w:tc>
        <w:tc>
          <w:tcPr>
            <w:tcW w:w="5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(4,247)</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(8,536)</w:t>
            </w:r>
          </w:p>
        </w:tc>
      </w:tr>
      <w:tr>
        <w:trPr>
          <w:trHeight w:val="264"/>
        </w:trPr>
        <w:tc>
          <w:tcPr>
            <w:tcW w:w="834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CASH AND CASH EQUIVALENTS - Beginning of the period</w:t>
            </w: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48,803</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49,372</w:t>
            </w:r>
          </w:p>
        </w:tc>
      </w:tr>
      <w:tr>
        <w:trPr>
          <w:trHeight w:val="243"/>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CASH AND CASH EQUIVALENTS - End of the period</w:t>
            </w:r>
          </w:p>
        </w:tc>
        <w:tc>
          <w:tcPr>
            <w:tcW w:w="940" w:type="dxa"/>
            <w:vAlign w:val="bottom"/>
            <w:tcBorders>
              <w:bottom w:val="single" w:sz="8" w:color="auto"/>
            </w:tcBorders>
            <w:shd w:val="clear" w:color="auto" w:fill="CCFFCC"/>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97"/>
              </w:rPr>
              <w:t>44,556</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40,836</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SUPPLEMENTAL DISCLOSURE OF OTHER CASH FLOW INFORMATION:</w:t>
            </w:r>
          </w:p>
        </w:tc>
        <w:tc>
          <w:tcPr>
            <w:tcW w:w="940" w:type="dxa"/>
            <w:vAlign w:val="bottom"/>
            <w:shd w:val="clear" w:color="auto" w:fill="CCFFCC"/>
          </w:tcPr>
          <w:p>
            <w:pPr>
              <w:spacing w:after="0"/>
              <w:rPr>
                <w:sz w:val="23"/>
                <w:szCs w:val="23"/>
                <w:color w:val="auto"/>
              </w:rPr>
            </w:pPr>
          </w:p>
        </w:tc>
        <w:tc>
          <w:tcPr>
            <w:tcW w:w="5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97"/>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Cash paid for income taxes</w:t>
            </w:r>
          </w:p>
        </w:tc>
        <w:tc>
          <w:tcPr>
            <w:tcW w:w="94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464</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583</w:t>
            </w:r>
          </w:p>
        </w:tc>
      </w:tr>
      <w:tr>
        <w:trPr>
          <w:trHeight w:val="264"/>
        </w:trPr>
        <w:tc>
          <w:tcPr>
            <w:tcW w:w="8340" w:type="dxa"/>
            <w:vAlign w:val="bottom"/>
            <w:shd w:val="clear" w:color="auto" w:fill="CCFFCC"/>
          </w:tcPr>
          <w:p>
            <w:pPr>
              <w:spacing w:after="0"/>
              <w:rPr>
                <w:sz w:val="22"/>
                <w:szCs w:val="22"/>
                <w:color w:val="auto"/>
              </w:rPr>
            </w:pPr>
          </w:p>
        </w:tc>
        <w:tc>
          <w:tcPr>
            <w:tcW w:w="940" w:type="dxa"/>
            <w:vAlign w:val="bottom"/>
            <w:shd w:val="clear" w:color="auto" w:fill="CCFFCC"/>
          </w:tcPr>
          <w:p>
            <w:pPr>
              <w:spacing w:after="0"/>
              <w:rPr>
                <w:sz w:val="22"/>
                <w:szCs w:val="22"/>
                <w:color w:val="auto"/>
              </w:rPr>
            </w:pPr>
          </w:p>
        </w:tc>
        <w:tc>
          <w:tcPr>
            <w:tcW w:w="5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3"/>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4"/>
                <w:szCs w:val="14"/>
                <w:color w:val="auto"/>
              </w:rPr>
              <w:t>Purchase of property and equipment recorded in accounts payable</w:t>
            </w:r>
          </w:p>
        </w:tc>
        <w:tc>
          <w:tcPr>
            <w:tcW w:w="940" w:type="dxa"/>
            <w:vAlign w:val="bottom"/>
            <w:tcBorders>
              <w:bottom w:val="single" w:sz="8" w:color="auto"/>
            </w:tcBorders>
            <w:shd w:val="clear" w:color="auto" w:fill="CCFFCC"/>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2,224</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0"/>
        </w:trPr>
        <w:tc>
          <w:tcPr>
            <w:tcW w:w="8340" w:type="dxa"/>
            <w:vAlign w:val="bottom"/>
          </w:tcPr>
          <w:p>
            <w:pPr>
              <w:ind w:left="180"/>
              <w:spacing w:after="0"/>
              <w:rPr>
                <w:sz w:val="20"/>
                <w:szCs w:val="20"/>
                <w:color w:val="auto"/>
              </w:rPr>
            </w:pPr>
            <w:r>
              <w:rPr>
                <w:rFonts w:ascii="Arial" w:cs="Arial" w:eastAsia="Arial" w:hAnsi="Arial"/>
                <w:sz w:val="14"/>
                <w:szCs w:val="14"/>
                <w:color w:val="auto"/>
              </w:rPr>
              <w:t>Contingent earn-out in connection with acquisitions recorded in accrued expenses</w:t>
            </w:r>
          </w:p>
        </w:tc>
        <w:tc>
          <w:tcPr>
            <w:tcW w:w="940" w:type="dxa"/>
            <w:vAlign w:val="bottom"/>
          </w:tcPr>
          <w:p>
            <w:pPr>
              <w:jc w:val="right"/>
              <w:ind w:right="769"/>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1,810</w:t>
            </w:r>
          </w:p>
        </w:tc>
      </w:tr>
      <w:tr>
        <w:trPr>
          <w:trHeight w:val="210"/>
        </w:trPr>
        <w:tc>
          <w:tcPr>
            <w:tcW w:w="8340" w:type="dxa"/>
            <w:vAlign w:val="bottom"/>
            <w:tcBorders>
              <w:top w:val="single" w:sz="8" w:color="CCFFCC"/>
              <w:bottom w:val="single" w:sz="8" w:color="CCFFCC"/>
            </w:tcBorders>
            <w:shd w:val="clear" w:color="auto" w:fill="CCFFCC"/>
          </w:tcPr>
          <w:p>
            <w:pPr>
              <w:ind w:left="180"/>
              <w:spacing w:after="0"/>
              <w:rPr>
                <w:sz w:val="20"/>
                <w:szCs w:val="20"/>
                <w:color w:val="auto"/>
              </w:rPr>
            </w:pPr>
            <w:r>
              <w:rPr>
                <w:rFonts w:ascii="Arial" w:cs="Arial" w:eastAsia="Arial" w:hAnsi="Arial"/>
                <w:sz w:val="14"/>
                <w:szCs w:val="14"/>
                <w:color w:val="auto"/>
              </w:rPr>
              <w:t>Leasehold improvements funded by landlord</w:t>
            </w:r>
          </w:p>
        </w:tc>
        <w:tc>
          <w:tcPr>
            <w:tcW w:w="940" w:type="dxa"/>
            <w:vAlign w:val="bottom"/>
            <w:tcBorders>
              <w:top w:val="single" w:sz="8" w:color="auto"/>
              <w:bottom w:val="single" w:sz="8" w:color="auto"/>
            </w:tcBorders>
            <w:shd w:val="clear" w:color="auto" w:fill="CCFFCC"/>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152</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340" w:type="dxa"/>
            <w:vAlign w:val="bottom"/>
            <w:tcBorders>
              <w:top w:val="single" w:sz="8" w:color="auto"/>
              <w:bottom w:val="single" w:sz="8" w:color="auto"/>
            </w:tcBorders>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69" w:right="239" w:bottom="1440" w:gutter="0" w:footer="0" w:header="0"/>
          <w:type w:val="continuous"/>
        </w:sectPr>
      </w:pPr>
    </w:p>
    <w:bookmarkStart w:id="7" w:name="page8"/>
    <w:bookmarkEnd w:id="7"/>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LivePerson, Inc. (the “Company” or “LivePerson”)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U.S. offices in Alpharetta (Georgia) and San Francisco, and international offices in Amsterdam, Berlin, London, Mannheim, Melbourne, Milan, Paris, Ra'anana (Israel), Reading (UK), and Tokyo.</w:t>
      </w:r>
    </w:p>
    <w:p>
      <w:pPr>
        <w:spacing w:after="0" w:line="6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LivePerson provides mobile and online messaging technologies that power digital communication between brands and consumers. LiveEngage, the Company’s enterprise-class, cloud-based platform, enables businesses to create a meaningful connection with consumers by offering messaging as a preferred channel of communication. Messaging diminishes the need to rely on email systems or call a 1-800 number. Brands leverage LivePerson’s sophisticated intelligence engine and suite of text and mobile messaging, real-time chat messaging, content delivery, and cobrowsing offerings to proactively engage with consumers through m-dot sites, mobile apps, the desktop, social media and third-party consumer messaging platforms. The Company’s campaign-based messaging enables the brand to target the right consumer at the right time on a brand’s site by leveraging proprietary analysis and data-driven intelligence.</w:t>
      </w:r>
    </w:p>
    <w:p>
      <w:pPr>
        <w:spacing w:after="0" w:line="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data the Company gathers and analyzes, on behalf of its customers, spans the breadth of an online or mobile visitor session, starting from an initial keyword search or application login, through actions on the website or mobile application of the Company’s customer, and even into a shopping cart and an executed sale. The Company combines this session data with other historical, behavioral and operational information to develop insights into each step of a consumer’s journey for sales and service transactions. These unique, industry- and use-case specific insights are mapped to each brand’s business goals in order to deliver successful campaign outcomes. LivePerson’s products, coupled with its domain knowledge, industry expertise and consulting services, have been proven to maximize the effectiveness of consumer engagement.</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primary revenue source is from the sale of LivePerson services to businesses of all sizes. The Company also offers an online marketplace that connects independent service providers (“Experts”) who provide information and knowledge for a fee via mobile and online messaging with individual consumers (“Users”).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accompanying condensed consolidated financial statements as of March 31, 2016 and for the three months ended March 31, 2016 and 2015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consolidated financial position of LivePerson as of March 31, 2016, and the consolidated results of operations, comprehensive loss and cash flows for the interim periods ended March 31, 2016 and 2015. The financial data and other information disclosed in these notes to the condensed consolidated financial statements related to these periods are unaudited. The results of operations for any interim period are not necessarily indicative of the results of operations for any other future interim period or for a full fiscal year. The condensed consolidated balance sheet at December 31, 2015 has been derived from audited consolidated financial statements at that date.</w:t>
      </w:r>
    </w:p>
    <w:p>
      <w:pPr>
        <w:spacing w:after="0" w:line="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2015, included in the Company’s Annual Report on Form 10-K filed with the SEC on March 15, 2016.</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Company and its wholly-owned subsidiaries. All intercompany balances and transactions have been eliminated.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expenses during the reporting period. These estimates are based on information available as of the date of the condensed consolidated financial statements; therefore, actual results could differ from management’s estimates.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March 2016, the Financial Accounting Standards Board ("FASB") issued Accounting Standards Update No. 2016-09, "Compensation —Stock Compensation (Topic 718): Improvements to Employee Share-Based Payment Accounting" ("ASU 2016-09"). This update is intended to improve the accounting for employee share-based payments and affects all organizations that issue share-based payment awards to their employees. Several aspects of the accounting for share-based payment award transactions are simplified, including:(a)income tax consequences;(b)classification of awards as either equity or liabilities; and(c)classification on the statement of cash flows. ASU 2016-09 is effective for financial statements issued for annual periods beginning after December 15, 2016. The Company is currently in the process of evaluating the impact of adoption of ASU 2016-09 on its financial statements.</w:t>
      </w:r>
    </w:p>
    <w:p>
      <w:pPr>
        <w:spacing w:after="0" w:line="5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March 2016, FASB issued Accounting Standards Update No. 2016-05, "Derivatives and Hedging (Topic 815): Effect of Derivative Contract Novations on Existing Hedge Accounting Relationships" ("ASU 2016-05"). This update applies to all reporting entities for which there is a change in the counterparty to a derivative instrument that has been designated as a hedging instrument. The term novation, as it relates to derivative instruments, refers to replacing one of the parties to a derivative instrument with a new party. In practice, derivative instrument novations may occur for a variety of reasons, including financial institution mergers, intercompany transactions, an entity exiting a particular derivatives business or relationship, an entity managing against internal credit limits, or in response to laws or regulatory requirements. The derivative instrument that is the subject of a novation may be the hedging instrument in a hedging relationship that has been designated under Topic 815, Derivatives and Hedging. This update clarifies that a change in the counterparty to a derivative instrument that has been designated as the hedging instrument does not, in and of itself, require dedesignation of that hedging relationship provided that all other hedge accounting criteria. ASU 2016-05 is effective for financial statements issued for annual periods beginning after December 15, 2016. The Company is currently in the process of evaluating the impact of adoption of ASU 2016-05 on its financial statements.</w:t>
      </w:r>
    </w:p>
    <w:p>
      <w:pPr>
        <w:spacing w:after="0" w:line="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February 2016, FASB issued Accounting Standards Update No. 2016-02, "Leases" ("ASU 2016-02"). ASU 2016-02 requires lessees to recognize the following for all leases (with the exception of short-term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Lessees will no longer be provided with a source of off-balance sheet financing.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ASU 2016-02 is effective for financial statements issued for annual periods beginning after December 15, 2018. The Company is currently in the process of evaluating the impact of adoption of ASU 2016-02 on its financial statements.</w:t>
      </w:r>
    </w:p>
    <w:p>
      <w:pPr>
        <w:spacing w:after="0" w:line="7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January 2016, FASB issued Accounting Standards Update No. 2016-01, “Financial Instruments- Overall: Recognition and Measurement of Financial Assets and Financial Liabilities” (“ASU 2016-01”). ASU 2016-01 requires all equity investments to be measured at fair value with changes in the fair value recognized through net income (other than those accounted for under equity method of accounting or those that result in consolidation of the investee). Additionally, it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Lastly, the standard eliminates the requirement to disclose the method(s) and significant assumptions used to estimate the fair value that is required to be disclosed for financial instruments measured at amortized cost on the balance sheet. ASU 2016-01 is effective for financial statements issued for annual periods beginning after December 15, 2017, and interim periods within those annual periods. The Company does not expect the standard to have a material impact on its consolidated financial statements.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04" w:right="239" w:bottom="1440" w:gutter="0" w:footer="0" w:header="0"/>
        </w:sectPr>
      </w:pPr>
    </w:p>
    <w:bookmarkStart w:id="9" w:name="page10"/>
    <w:bookmarkEnd w:id="9"/>
    <w:p>
      <w:pPr>
        <w:jc w:val="both"/>
        <w:ind w:firstLine="648"/>
        <w:spacing w:after="0" w:line="271" w:lineRule="auto"/>
        <w:rPr>
          <w:sz w:val="20"/>
          <w:szCs w:val="20"/>
          <w:color w:val="auto"/>
        </w:rPr>
      </w:pPr>
      <w:r>
        <w:rPr>
          <w:rFonts w:ascii="Arial" w:cs="Arial" w:eastAsia="Arial" w:hAnsi="Arial"/>
          <w:sz w:val="17"/>
          <w:szCs w:val="17"/>
          <w:color w:val="auto"/>
        </w:rPr>
        <w:t>In November 2015, FASB issued Accounting Standards Update No. 2015-17, “Income taxes: Balance Sheet Classification of Deferred Taxes Business” (“ASU 2015-17”). Topic 740, Income Taxes, requires an entity to separate deferred income tax liabilities and assets into current and noncurrent amounts in a classified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ASU 2015-17 requires that deferred income tax liabilities and assets be classified as noncurrent in a classified statement of financial position. ASU 2015-17 is effective for for financial statements issued for annual periods beginning after December 15, 2016, and interim periods within those annual periods. The Company is currently in the process of evaluating the impact of adoption of ASU 2015-17 on its financial statements.</w:t>
      </w:r>
    </w:p>
    <w:p>
      <w:pPr>
        <w:spacing w:after="0" w:line="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September 2015, FASB issued Accounting Standards Update No. 2015-16, “</w:t>
      </w:r>
      <w:r>
        <w:rPr>
          <w:rFonts w:ascii="Arial" w:cs="Arial" w:eastAsia="Arial" w:hAnsi="Arial"/>
          <w:sz w:val="18"/>
          <w:szCs w:val="18"/>
          <w:i w:val="1"/>
          <w:iCs w:val="1"/>
          <w:color w:val="auto"/>
        </w:rPr>
        <w:t>Business Combinations: 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Measurement-Period Adjustments</w:t>
      </w:r>
      <w:r>
        <w:rPr>
          <w:rFonts w:ascii="Arial" w:cs="Arial" w:eastAsia="Arial" w:hAnsi="Arial"/>
          <w:sz w:val="18"/>
          <w:szCs w:val="18"/>
          <w:color w:val="auto"/>
        </w:rPr>
        <w:t>” (“ASU 2015-16”). ASU 2015-16 requires that an acquirer recognize adjustments to provisional amounts that are identified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measurement period in the reporting period in which the adjustment amounts are determined. The amendments in ASU 2015-16 require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ASU 2015-16 is effective for annual reporting periods beginning after December 15, 2015. The Company is currently in the process of evaluating the impact of adoption of ASU 2015-16 on its financial statements.</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February 2015, FASB issued Accounting Standards Update (“ASU”) 2015-02, </w:t>
      </w:r>
      <w:r>
        <w:rPr>
          <w:rFonts w:ascii="Arial" w:cs="Arial" w:eastAsia="Arial" w:hAnsi="Arial"/>
          <w:sz w:val="18"/>
          <w:szCs w:val="18"/>
          <w:i w:val="1"/>
          <w:iCs w:val="1"/>
          <w:color w:val="auto"/>
        </w:rPr>
        <w:t>Consolidation: Amendments to the Consolidation Analysis</w:t>
      </w:r>
      <w:r>
        <w:rPr>
          <w:rFonts w:ascii="Arial" w:cs="Arial" w:eastAsia="Arial" w:hAnsi="Arial"/>
          <w:sz w:val="18"/>
          <w:szCs w:val="18"/>
          <w:color w:val="auto"/>
        </w:rPr>
        <w:t xml:space="preserve"> (“ASU 2015-02”), which affects reporting entities that are required to evaluate whether they should consolidate certain legal entities. All legal entities are subject to reevaluation under the revised consolidation model. The standard amends the consolidation requirements in ASC 810. ASU 2015-02 is effective for fiscal periods beginning after December 15, 2015 for public companies, and early adoption is permitted. The Company does not expect to early adopt ASU 2015-02, which will be effective for our fiscal year ending December 31, 2016. The Company does not believe the standard will have a material impact on its financial statements.</w:t>
      </w:r>
    </w:p>
    <w:p>
      <w:pPr>
        <w:spacing w:after="0" w:line="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May 2014, FASB issued ASU 2014-09, Revenue from Contracts with Customers (“ASU 2014-09”), which supersedes most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GAAP. The standard is effective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In March 2016, the FASB issued implementation guidance that clarified the considerations in principal versus agent determination. In April 2016, the FASB issued guidance that clarified identifying performance obligations and licensing implementation guidance contained in the new revenue recognition standard. The Company will adopt this guidance at the beginning of its first quarter of fiscal year 2018. Adoption of this guidance is not expected to have a material impact on the Company’s financial statements.</w:t>
      </w:r>
    </w:p>
    <w:p>
      <w:pPr>
        <w:spacing w:after="0" w:line="28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the Company’s revenue is generated from monthly service revenues and related professional services from the sale of the LivePerson services. Because the Company provides its application as a service, the Company follows the provisions of FASB Accounting Standards Codification (“ASC”) 605-10-S99, “Revenue Recognition” and ASC 605-25, “Revenue Recognition with Multiple-Element Arrangements.” The Company charges a monthly fee, which varies by type of service, the level of customer usage and website traffic, and in some cases, the number of orders placed via the Company’s online engagement solutions.</w:t>
      </w:r>
    </w:p>
    <w:p>
      <w:pPr>
        <w:spacing w:after="0" w:line="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Pay for Performance (“PFP”) arrangements, in accordance with ASC 605-45, “Principal Agent Considerations,” the Company records revenue for transactions in which it acts as an agent on a net basis, and revenue for transactions in which it acts as a principal on a gross basis.</w:t>
      </w:r>
    </w:p>
    <w:p>
      <w:pPr>
        <w:spacing w:after="0" w:line="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sells certain of the LivePerson services directly via Internet download. These services are marketed as LiveEngage for small to medium-sized businesses, and are paid for almost exclusively by credit card. Credit card payments accelerate cash flow and reduce the Company’s collection risk, subject to the merchant bank’s right to hold back cash pending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settlement of the transactions. Sales of LiveEngage may occur with or without the assistance of an online sales representative, rather than through face-to-face or telephone contact that is typically required for traditional direct sales.</w:t>
      </w:r>
    </w:p>
    <w:p>
      <w:pPr>
        <w:spacing w:after="0" w:line="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recognizes monthly service revenue based upon the fee charged for the LivePerson services, provided that there is persuasive evidence of an arrangement, no significant Company obligations remain, collection of the resulting receivable is probable and the amount of fees to be paid is fixed or determinable. The Company’s service agreements typically have twelve month terms and, in some cases, are terminable or may terminate upon 30 to 90 days’ notice without penalty. When professional service fees add value to the customer on a standalone basis, the Company recognizes professional service fees upon completion and customer acceptance. The Company establishes a selling price hierarchy for determining the selling price of a deliverable, which is based on: (a) vendor-specific objective evidence; (b) third-party evidence; or (c) best estimated selling price. If a professional services arrangement does not qualify for separate accounting, the Company recognizes the fees, and the related labor costs, ratably over the contracted period.</w:t>
      </w:r>
    </w:p>
    <w:p>
      <w:pPr>
        <w:spacing w:after="0" w:line="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revenue from the Company’s Consumer segment generated from online transactions between Experts and Users, the Company recognizes revenue net of the Expert fees in accordance with ASC 605-45,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User and retains a portion of the fee, and then remits the balance to the Expert. Revenue from these transactions is recognized when there is persuasive evidence of an arrangement, no significant Company obligations remain, collection of the resulting receivable is probable and the amount of fees to be paid is fixed and determinable.</w:t>
      </w:r>
    </w:p>
    <w:p>
      <w:pPr>
        <w:spacing w:after="0" w:line="29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the provisions of ASC 260-10 and the guidance of SEC Staff Accounting Bulletin (“SAB”) No. 98. Under ASC 260-10,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Diluted net loss per common share for the three months ended March 31, 2016 does not include the effect of options to purchase 8,587,993 shares of common stock, as the effect of their inclusion is anti-dilutive. Diluted net loss per common share for the three months ended March 31, 2015 does not include the effect of options to purchase 10,152,741 shares of common stock, as the effect of their inclusion is anti-dilutive.</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shares used in calculating basic and diluted net loss per share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8580" w:type="dxa"/>
            <w:vAlign w:val="bottom"/>
          </w:tcPr>
          <w:p>
            <w:pPr>
              <w:spacing w:after="0"/>
              <w:rPr>
                <w:sz w:val="24"/>
                <w:szCs w:val="24"/>
                <w:color w:val="auto"/>
              </w:rPr>
            </w:pPr>
          </w:p>
        </w:tc>
        <w:tc>
          <w:tcPr>
            <w:tcW w:w="1880" w:type="dxa"/>
            <w:vAlign w:val="bottom"/>
            <w:tcBorders>
              <w:bottom w:val="single" w:sz="8" w:color="auto"/>
            </w:tcBorders>
            <w:gridSpan w:val="3"/>
          </w:tcPr>
          <w:p>
            <w:pPr>
              <w:jc w:val="center"/>
              <w:ind w:left="903"/>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tcBorders>
              <w:bottom w:val="single" w:sz="8" w:color="auto"/>
            </w:tcBorders>
          </w:tcPr>
          <w:p>
            <w:pPr>
              <w:spacing w:after="0"/>
              <w:rPr>
                <w:sz w:val="24"/>
                <w:szCs w:val="24"/>
                <w:color w:val="auto"/>
              </w:rPr>
            </w:pPr>
          </w:p>
        </w:tc>
      </w:tr>
      <w:tr>
        <w:trPr>
          <w:trHeight w:val="264"/>
        </w:trPr>
        <w:tc>
          <w:tcPr>
            <w:tcW w:w="8580" w:type="dxa"/>
            <w:vAlign w:val="bottom"/>
            <w:tcBorders>
              <w:bottom w:val="single" w:sz="8" w:color="CCFFCC"/>
            </w:tcBorders>
          </w:tcPr>
          <w:p>
            <w:pPr>
              <w:spacing w:after="0"/>
              <w:rPr>
                <w:sz w:val="22"/>
                <w:szCs w:val="22"/>
                <w:color w:val="auto"/>
              </w:rPr>
            </w:pPr>
          </w:p>
        </w:tc>
        <w:tc>
          <w:tcPr>
            <w:tcW w:w="13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FFC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r>
      <w:tr>
        <w:trPr>
          <w:trHeight w:val="236"/>
        </w:trPr>
        <w:tc>
          <w:tcPr>
            <w:tcW w:w="85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Basic</w:t>
            </w:r>
          </w:p>
        </w:tc>
        <w:tc>
          <w:tcPr>
            <w:tcW w:w="136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56,386,003</w:t>
            </w:r>
          </w:p>
        </w:tc>
        <w:tc>
          <w:tcPr>
            <w:tcW w:w="120" w:type="dxa"/>
            <w:vAlign w:val="bottom"/>
            <w:tcBorders>
              <w:bottom w:val="single" w:sz="8" w:color="CCFFCC"/>
            </w:tcBorders>
            <w:shd w:val="clear" w:color="auto" w:fill="CCFFCC"/>
          </w:tcPr>
          <w:p>
            <w:pPr>
              <w:spacing w:after="0"/>
              <w:rPr>
                <w:sz w:val="20"/>
                <w:szCs w:val="20"/>
                <w:color w:val="auto"/>
              </w:rPr>
            </w:pPr>
          </w:p>
        </w:tc>
        <w:tc>
          <w:tcPr>
            <w:tcW w:w="40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56,291,383</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Effect of assumed exercised options</w:t>
            </w:r>
          </w:p>
        </w:tc>
        <w:tc>
          <w:tcPr>
            <w:tcW w:w="1880" w:type="dxa"/>
            <w:vAlign w:val="bottom"/>
            <w:gridSpan w:val="3"/>
          </w:tcPr>
          <w:p>
            <w:pPr>
              <w:jc w:val="right"/>
              <w:ind w:right="6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Borders>
              <w:bottom w:val="single" w:sz="8" w:color="CCFFC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Diluted</w:t>
            </w:r>
          </w:p>
        </w:tc>
        <w:tc>
          <w:tcPr>
            <w:tcW w:w="136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56,386,003</w:t>
            </w:r>
          </w:p>
        </w:tc>
        <w:tc>
          <w:tcPr>
            <w:tcW w:w="120" w:type="dxa"/>
            <w:vAlign w:val="bottom"/>
            <w:tcBorders>
              <w:bottom w:val="single" w:sz="8" w:color="CCFFCC"/>
            </w:tcBorders>
            <w:shd w:val="clear" w:color="auto" w:fill="CCFFCC"/>
          </w:tcPr>
          <w:p>
            <w:pPr>
              <w:spacing w:after="0"/>
              <w:rPr>
                <w:sz w:val="21"/>
                <w:szCs w:val="21"/>
                <w:color w:val="auto"/>
              </w:rPr>
            </w:pPr>
          </w:p>
        </w:tc>
        <w:tc>
          <w:tcPr>
            <w:tcW w:w="40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56,291,383</w:t>
            </w: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facilitates real-time online interactions – chat, voice and content delivery across multiple channels and screens for global corporations of all sizes. The Consumer segment facilitates online transactions between Experts and Users and sells its services to consumers.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condensed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administrative expenses, restructuring costs and income tax expense because management does not use this information to measure performance of the operating segments. There are currently no inter-segment sales.</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March 31, 2016,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45,959</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45,959</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3,766</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3,766</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5,739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5,739</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51,698</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3,766</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55,464</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15,238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15,864</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21,013</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1,663</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22,676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924</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18,743</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18,743</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14,523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1,477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(18,743)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(2,743)</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March 31, 2015,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50,613</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50,613</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3,696</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3,696</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5,461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5,461</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56,074</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3,696</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59,770</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15,617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16,254</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22,852</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1,442</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24,294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1,313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1,313</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19,964</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19,964</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16,292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1,617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(19,964)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(2,055)</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domiciled in the United States and has international operations in the United Kingdom, Asia-Pacific, Latin America and Western Europe, particularly France and Germany. The following table presents the Company’s revenues attributable to domestic and foreign operations for the periods presented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24"/>
                <w:szCs w:val="24"/>
                <w:color w:val="auto"/>
              </w:rPr>
            </w:pPr>
          </w:p>
        </w:tc>
      </w:tr>
      <w:tr>
        <w:trPr>
          <w:trHeight w:val="250"/>
        </w:trPr>
        <w:tc>
          <w:tcPr>
            <w:tcW w:w="8580" w:type="dxa"/>
            <w:vAlign w:val="bottom"/>
            <w:tcBorders>
              <w:bottom w:val="single" w:sz="8" w:color="CCFFC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FCC"/>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r>
      <w:tr>
        <w:trPr>
          <w:trHeight w:val="236"/>
        </w:trPr>
        <w:tc>
          <w:tcPr>
            <w:tcW w:w="85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37,790</w:t>
            </w:r>
          </w:p>
        </w:tc>
        <w:tc>
          <w:tcPr>
            <w:tcW w:w="100" w:type="dxa"/>
            <w:vAlign w:val="bottom"/>
            <w:tcBorders>
              <w:bottom w:val="single" w:sz="8" w:color="CCFFCC"/>
            </w:tcBorders>
            <w:shd w:val="clear" w:color="auto" w:fill="CCFFCC"/>
          </w:tcPr>
          <w:p>
            <w:pPr>
              <w:spacing w:after="0"/>
              <w:rPr>
                <w:sz w:val="20"/>
                <w:szCs w:val="20"/>
                <w:color w:val="auto"/>
              </w:rPr>
            </w:pPr>
          </w:p>
        </w:tc>
        <w:tc>
          <w:tcPr>
            <w:tcW w:w="400" w:type="dxa"/>
            <w:vAlign w:val="bottom"/>
            <w:tcBorders>
              <w:bottom w:val="single" w:sz="8" w:color="CCFFCC"/>
            </w:tcBorders>
            <w:shd w:val="clear" w:color="auto" w:fill="CCFFCC"/>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41,442</w:t>
            </w:r>
          </w:p>
        </w:tc>
      </w:tr>
      <w:tr>
        <w:trPr>
          <w:trHeight w:val="270"/>
        </w:trPr>
        <w:tc>
          <w:tcPr>
            <w:tcW w:w="858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 xml:space="preserve">Other Americas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1,546</w:t>
            </w:r>
          </w:p>
        </w:tc>
        <w:tc>
          <w:tcPr>
            <w:tcW w:w="100" w:type="dxa"/>
            <w:vAlign w:val="bottom"/>
            <w:tcBorders>
              <w:bottom w:val="single" w:sz="8" w:color="CCFFCC"/>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2,703</w:t>
            </w:r>
          </w:p>
        </w:tc>
      </w:tr>
      <w:tr>
        <w:trPr>
          <w:trHeight w:val="230"/>
        </w:trPr>
        <w:tc>
          <w:tcPr>
            <w:tcW w:w="85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Americas</w:t>
            </w:r>
          </w:p>
        </w:tc>
        <w:tc>
          <w:tcPr>
            <w:tcW w:w="32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39,336</w:t>
            </w:r>
          </w:p>
        </w:tc>
        <w:tc>
          <w:tcPr>
            <w:tcW w:w="100" w:type="dxa"/>
            <w:vAlign w:val="bottom"/>
            <w:tcBorders>
              <w:bottom w:val="single" w:sz="8" w:color="CCFFCC"/>
            </w:tcBorders>
            <w:shd w:val="clear" w:color="auto" w:fill="CCFFCC"/>
          </w:tcPr>
          <w:p>
            <w:pPr>
              <w:spacing w:after="0"/>
              <w:rPr>
                <w:sz w:val="20"/>
                <w:szCs w:val="20"/>
                <w:color w:val="auto"/>
              </w:rPr>
            </w:pPr>
          </w:p>
        </w:tc>
        <w:tc>
          <w:tcPr>
            <w:tcW w:w="40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44,145</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EMEA </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11,606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11,784</w:t>
            </w:r>
          </w:p>
        </w:tc>
      </w:tr>
      <w:tr>
        <w:trPr>
          <w:trHeight w:val="270"/>
        </w:trPr>
        <w:tc>
          <w:tcPr>
            <w:tcW w:w="858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APAC </w:t>
            </w:r>
            <w:r>
              <w:rPr>
                <w:rFonts w:ascii="Arial" w:cs="Arial" w:eastAsia="Arial" w:hAnsi="Arial"/>
                <w:sz w:val="21"/>
                <w:szCs w:val="21"/>
                <w:color w:val="auto"/>
                <w:vertAlign w:val="superscript"/>
              </w:rPr>
              <w:t>(3)</w:t>
            </w:r>
          </w:p>
        </w:tc>
        <w:tc>
          <w:tcPr>
            <w:tcW w:w="320" w:type="dxa"/>
            <w:vAlign w:val="bottom"/>
            <w:tcBorders>
              <w:bottom w:val="single" w:sz="8" w:color="auto"/>
            </w:tcBorders>
            <w:shd w:val="clear" w:color="auto" w:fill="CCFFCC"/>
          </w:tcPr>
          <w:p>
            <w:pPr>
              <w:spacing w:after="0"/>
              <w:rPr>
                <w:sz w:val="23"/>
                <w:szCs w:val="23"/>
                <w:color w:val="auto"/>
              </w:rPr>
            </w:pPr>
          </w:p>
        </w:tc>
        <w:tc>
          <w:tcPr>
            <w:tcW w:w="106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6"/>
                <w:szCs w:val="16"/>
                <w:color w:val="auto"/>
              </w:rPr>
              <w:t>4,522</w:t>
            </w:r>
          </w:p>
        </w:tc>
        <w:tc>
          <w:tcPr>
            <w:tcW w:w="100" w:type="dxa"/>
            <w:vAlign w:val="bottom"/>
            <w:shd w:val="clear" w:color="auto" w:fill="CCFFCC"/>
          </w:tcPr>
          <w:p>
            <w:pPr>
              <w:spacing w:after="0"/>
              <w:rPr>
                <w:sz w:val="23"/>
                <w:szCs w:val="23"/>
                <w:color w:val="auto"/>
              </w:rPr>
            </w:pPr>
          </w:p>
        </w:tc>
        <w:tc>
          <w:tcPr>
            <w:tcW w:w="400" w:type="dxa"/>
            <w:vAlign w:val="bottom"/>
            <w:tcBorders>
              <w:bottom w:val="single" w:sz="8" w:color="auto"/>
            </w:tcBorders>
            <w:shd w:val="clear" w:color="auto" w:fill="CCFFCC"/>
          </w:tcPr>
          <w:p>
            <w:pPr>
              <w:spacing w:after="0"/>
              <w:rPr>
                <w:sz w:val="23"/>
                <w:szCs w:val="23"/>
                <w:color w:val="auto"/>
              </w:rPr>
            </w:pPr>
          </w:p>
        </w:tc>
        <w:tc>
          <w:tcPr>
            <w:tcW w:w="96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3,841</w:t>
            </w:r>
          </w:p>
        </w:tc>
      </w:tr>
      <w:tr>
        <w:trPr>
          <w:trHeight w:val="244"/>
        </w:trPr>
        <w:tc>
          <w:tcPr>
            <w:tcW w:w="8580" w:type="dxa"/>
            <w:vAlign w:val="bottom"/>
          </w:tcPr>
          <w:p>
            <w:pPr>
              <w:ind w:left="28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55,464</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59,770</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Canada, Latin America and South America</w:t>
      </w:r>
    </w:p>
    <w:p>
      <w:pPr>
        <w:ind w:left="180" w:hanging="172"/>
        <w:spacing w:after="0" w:line="187"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Europe, the Middle East and Africa (“EMEA”)</w:t>
      </w:r>
    </w:p>
    <w:p>
      <w:pPr>
        <w:ind w:left="180" w:hanging="172"/>
        <w:spacing w:after="0" w:line="191"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Asia-Pacific (“APAC”)</w:t>
      </w:r>
    </w:p>
    <w:p>
      <w:pPr>
        <w:sectPr>
          <w:pgSz w:w="11900" w:h="16838" w:orient="portrait"/>
          <w:cols w:equalWidth="0" w:num="1">
            <w:col w:w="11420"/>
          </w:cols>
          <w:pgMar w:left="240" w:top="584" w:right="239" w:bottom="144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84" w:right="239" w:bottom="1440" w:gutter="0" w:footer="0" w:header="0"/>
          <w:type w:val="continuous"/>
        </w:sectPr>
      </w:pPr>
    </w:p>
    <w:bookmarkStart w:id="12" w:name="page13"/>
    <w:bookmarkEnd w:id="12"/>
    <w:p>
      <w:pPr>
        <w:ind w:left="660"/>
        <w:spacing w:after="0"/>
        <w:rPr>
          <w:sz w:val="20"/>
          <w:szCs w:val="20"/>
          <w:color w:val="auto"/>
        </w:rPr>
      </w:pPr>
      <w:r>
        <w:rPr>
          <w:rFonts w:ascii="Arial" w:cs="Arial" w:eastAsia="Arial" w:hAnsi="Arial"/>
          <w:sz w:val="18"/>
          <w:szCs w:val="18"/>
          <w:color w:val="auto"/>
        </w:rPr>
        <w:t>The following table presents the Company’s long-lived assets by geographic region for the periods presented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2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340" w:type="dxa"/>
            <w:vAlign w:val="bottom"/>
            <w:tcBorders>
              <w:bottom w:val="single" w:sz="8" w:color="CCFFC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2015</w:t>
            </w:r>
          </w:p>
        </w:tc>
      </w:tr>
      <w:tr>
        <w:trPr>
          <w:trHeight w:val="23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280" w:type="dxa"/>
            <w:vAlign w:val="bottom"/>
            <w:tcBorders>
              <w:bottom w:val="single" w:sz="8" w:color="CCFFCC"/>
            </w:tcBorders>
            <w:shd w:val="clear" w:color="auto" w:fill="CCFFCC"/>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97,038</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96,362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Israel</w:t>
            </w: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15,923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16,393</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Australia</w:t>
            </w:r>
          </w:p>
        </w:tc>
        <w:tc>
          <w:tcPr>
            <w:tcW w:w="28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8,523</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8,290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Netherlands</w:t>
            </w: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7,366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8,285</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FFCC"/>
          </w:tcPr>
          <w:p>
            <w:pPr>
              <w:spacing w:after="0"/>
              <w:rPr>
                <w:sz w:val="23"/>
                <w:szCs w:val="23"/>
                <w:color w:val="auto"/>
              </w:rPr>
            </w:pPr>
          </w:p>
        </w:tc>
        <w:tc>
          <w:tcPr>
            <w:tcW w:w="122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2,546</w:t>
            </w:r>
          </w:p>
        </w:tc>
        <w:tc>
          <w:tcPr>
            <w:tcW w:w="100" w:type="dxa"/>
            <w:vAlign w:val="bottom"/>
            <w:shd w:val="clear" w:color="auto" w:fill="CCFFCC"/>
          </w:tcPr>
          <w:p>
            <w:pPr>
              <w:spacing w:after="0"/>
              <w:rPr>
                <w:sz w:val="23"/>
                <w:szCs w:val="23"/>
                <w:color w:val="auto"/>
              </w:rPr>
            </w:pPr>
          </w:p>
        </w:tc>
        <w:tc>
          <w:tcPr>
            <w:tcW w:w="220" w:type="dxa"/>
            <w:vAlign w:val="bottom"/>
            <w:tcBorders>
              <w:bottom w:val="single" w:sz="8" w:color="auto"/>
            </w:tcBorders>
            <w:shd w:val="clear" w:color="auto" w:fill="CCFFCC"/>
          </w:tcPr>
          <w:p>
            <w:pPr>
              <w:spacing w:after="0"/>
              <w:rPr>
                <w:sz w:val="23"/>
                <w:szCs w:val="23"/>
                <w:color w:val="auto"/>
              </w:rPr>
            </w:pPr>
          </w:p>
        </w:tc>
        <w:tc>
          <w:tcPr>
            <w:tcW w:w="124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2,482</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long-lived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131,396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131,812</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United Kingdom, Germany, Japan, France and Italy</w:t>
      </w:r>
    </w:p>
    <w:p>
      <w:pPr>
        <w:spacing w:after="0" w:line="14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individual customer accounted for 10% or more of consolidated revenue for any of the periods presented. No individual customer accounted for 10% or more of accounts receivable as of March 31, 2016 and December 31, 2015.</w:t>
      </w:r>
    </w:p>
    <w:p>
      <w:pPr>
        <w:spacing w:after="0" w:line="27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three months ended March 31, 2016 are as follows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240" w:type="dxa"/>
            <w:vAlign w:val="bottom"/>
          </w:tcPr>
          <w:p>
            <w:pPr>
              <w:jc w:val="right"/>
              <w:ind w:right="241"/>
              <w:spacing w:after="0"/>
              <w:rPr>
                <w:sz w:val="20"/>
                <w:szCs w:val="20"/>
                <w:color w:val="auto"/>
              </w:rPr>
            </w:pPr>
            <w:r>
              <w:rPr>
                <w:rFonts w:ascii="Arial" w:cs="Arial" w:eastAsia="Arial" w:hAnsi="Arial"/>
                <w:sz w:val="14"/>
                <w:szCs w:val="14"/>
                <w:b w:val="1"/>
                <w:bCs w:val="1"/>
                <w:color w:val="auto"/>
              </w:rPr>
              <w:t>Consolidated</w:t>
            </w:r>
          </w:p>
        </w:tc>
      </w:tr>
      <w:tr>
        <w:trPr>
          <w:trHeight w:val="236"/>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as of December 31, 2015</w:t>
            </w:r>
          </w:p>
        </w:tc>
        <w:tc>
          <w:tcPr>
            <w:tcW w:w="300" w:type="dxa"/>
            <w:vAlign w:val="bottom"/>
            <w:tcBorders>
              <w:top w:val="single" w:sz="8" w:color="auto"/>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72,298</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60" w:type="dxa"/>
            <w:vAlign w:val="bottom"/>
            <w:tcBorders>
              <w:top w:val="single" w:sz="8" w:color="auto"/>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220" w:type="dxa"/>
            <w:vAlign w:val="bottom"/>
            <w:tcBorders>
              <w:top w:val="single" w:sz="8" w:color="auto"/>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80,322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Adjustments to goodwill:</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exchange adjustment</w:t>
            </w:r>
          </w:p>
        </w:tc>
        <w:tc>
          <w:tcPr>
            <w:tcW w:w="3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87</w:t>
            </w: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Balance as of March 31, 2016</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72,385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80,409</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are summarized as follows (see Note 8)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As of March 31, 2016</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Carrying</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378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308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3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28,063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(16,855)</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11,208</w:t>
            </w:r>
          </w:p>
        </w:tc>
        <w:tc>
          <w:tcPr>
            <w:tcW w:w="12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4.7 years</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308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16,021</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(7,196)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8,825</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5.8 years</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2.6 years</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308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1,449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(1,008)</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441</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1.7 years</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Patents</w:t>
            </w:r>
          </w:p>
        </w:tc>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3,440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2,503</w:t>
            </w:r>
          </w:p>
        </w:tc>
        <w:tc>
          <w:tcPr>
            <w:tcW w:w="12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9.3 years</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308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3.0 years</w:t>
            </w:r>
          </w:p>
        </w:tc>
        <w:tc>
          <w:tcPr>
            <w:tcW w:w="0" w:type="dxa"/>
            <w:vAlign w:val="bottom"/>
          </w:tcPr>
          <w:p>
            <w:pPr>
              <w:spacing w:after="0"/>
              <w:rPr>
                <w:sz w:val="1"/>
                <w:szCs w:val="1"/>
                <w:color w:val="auto"/>
              </w:rPr>
            </w:pPr>
          </w:p>
        </w:tc>
      </w:tr>
      <w:tr>
        <w:trPr>
          <w:trHeight w:val="244"/>
        </w:trPr>
        <w:tc>
          <w:tcPr>
            <w:tcW w:w="3780" w:type="dxa"/>
            <w:vAlign w:val="bottom"/>
          </w:tcPr>
          <w:p>
            <w:pPr>
              <w:ind w:left="280"/>
              <w:spacing w:after="0"/>
              <w:rPr>
                <w:sz w:val="20"/>
                <w:szCs w:val="20"/>
                <w:color w:val="auto"/>
              </w:rPr>
            </w:pPr>
            <w:r>
              <w:rPr>
                <w:rFonts w:ascii="Arial" w:cs="Arial" w:eastAsia="Arial" w:hAnsi="Arial"/>
                <w:sz w:val="16"/>
                <w:szCs w:val="16"/>
                <w:color w:val="auto"/>
              </w:rPr>
              <w:t>Total</w:t>
            </w:r>
          </w:p>
        </w:tc>
        <w:tc>
          <w:tcPr>
            <w:tcW w:w="30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50,534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(27,500)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23,034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80" w:type="dxa"/>
            <w:vAlign w:val="bottom"/>
            <w:vMerge w:val="restart"/>
          </w:tcPr>
          <w:p>
            <w:pPr>
              <w:jc w:val="right"/>
              <w:ind w:right="974"/>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8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As of December 31, 2015</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Carrying</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68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28,005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(15,723)</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12,282</w:t>
            </w:r>
          </w:p>
        </w:tc>
        <w:tc>
          <w:tcPr>
            <w:tcW w:w="12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4.7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16,008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(6,873)</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9,135</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5.8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2.6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1,446</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(936)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1.7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3,440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2,592</w:t>
            </w:r>
          </w:p>
        </w:tc>
        <w:tc>
          <w:tcPr>
            <w:tcW w:w="12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9.3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3.0 years</w:t>
            </w:r>
          </w:p>
        </w:tc>
        <w:tc>
          <w:tcPr>
            <w:tcW w:w="0" w:type="dxa"/>
            <w:vAlign w:val="bottom"/>
          </w:tcPr>
          <w:p>
            <w:pPr>
              <w:spacing w:after="0"/>
              <w:rPr>
                <w:sz w:val="1"/>
                <w:szCs w:val="1"/>
                <w:color w:val="auto"/>
              </w:rPr>
            </w:pPr>
          </w:p>
        </w:tc>
      </w:tr>
      <w:tr>
        <w:trPr>
          <w:trHeight w:val="244"/>
        </w:trPr>
        <w:tc>
          <w:tcPr>
            <w:tcW w:w="686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50,498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(25,879)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24,619</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Amortization expense is calculated over the estimated useful life of the asset. Aggregate amortization expense for intangible assets was $1.6 million and $2.2 million for the three months ended March 31, 2016 and 2015, respectively. For the three months ended March 31, 2016 and 2015, respectively, a portion of this amortization is included in cost of revenue. Estimated amortization expense for the next five years is as follows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right"/>
              <w:ind w:right="201"/>
              <w:spacing w:after="0"/>
              <w:rPr>
                <w:sz w:val="20"/>
                <w:szCs w:val="20"/>
                <w:color w:val="auto"/>
              </w:rPr>
            </w:pPr>
            <w:r>
              <w:rPr>
                <w:rFonts w:ascii="Arial" w:cs="Arial" w:eastAsia="Arial" w:hAnsi="Arial"/>
                <w:sz w:val="14"/>
                <w:szCs w:val="14"/>
                <w:b w:val="1"/>
                <w:bCs w:val="1"/>
                <w:color w:val="auto"/>
                <w:w w:val="99"/>
              </w:rPr>
              <w:t>Estimated Amortization</w:t>
            </w:r>
          </w:p>
        </w:tc>
      </w:tr>
      <w:tr>
        <w:trPr>
          <w:trHeight w:val="192"/>
        </w:trPr>
        <w:tc>
          <w:tcPr>
            <w:tcW w:w="9360" w:type="dxa"/>
            <w:vAlign w:val="bottom"/>
            <w:tcBorders>
              <w:bottom w:val="single" w:sz="8" w:color="CC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Expense</w:t>
            </w:r>
          </w:p>
        </w:tc>
      </w:tr>
      <w:tr>
        <w:trPr>
          <w:trHeight w:val="236"/>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2016</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5,018</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2017</w:t>
            </w:r>
          </w:p>
        </w:tc>
        <w:tc>
          <w:tcPr>
            <w:tcW w:w="20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4,917</w:t>
            </w:r>
          </w:p>
        </w:tc>
      </w:tr>
      <w:tr>
        <w:trPr>
          <w:trHeight w:val="33"/>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2018</w:t>
            </w:r>
          </w:p>
        </w:tc>
        <w:tc>
          <w:tcPr>
            <w:tcW w:w="20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2,813</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2019</w:t>
            </w:r>
          </w:p>
        </w:tc>
        <w:tc>
          <w:tcPr>
            <w:tcW w:w="20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2,591</w:t>
            </w:r>
          </w:p>
        </w:tc>
      </w:tr>
      <w:tr>
        <w:trPr>
          <w:trHeight w:val="33"/>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2,401</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0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5,294</w:t>
            </w:r>
          </w:p>
        </w:tc>
      </w:tr>
      <w:tr>
        <w:trPr>
          <w:trHeight w:val="33"/>
        </w:trPr>
        <w:tc>
          <w:tcPr>
            <w:tcW w:w="936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23,034</w:t>
            </w:r>
          </w:p>
        </w:tc>
      </w:tr>
      <w:tr>
        <w:trPr>
          <w:trHeight w:val="20"/>
        </w:trPr>
        <w:tc>
          <w:tcPr>
            <w:tcW w:w="9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property and equipment for the periods presented (amounts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FFC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Computer equipment and software</w:t>
            </w: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71,538</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67,631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equipment and building improvements</w:t>
            </w: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13,733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13,761</w:t>
            </w:r>
          </w:p>
        </w:tc>
      </w:tr>
      <w:tr>
        <w:trPr>
          <w:trHeight w:val="27"/>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85,271</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81,392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(60,430)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(57,263)</w:t>
            </w:r>
          </w:p>
        </w:tc>
      </w:tr>
      <w:tr>
        <w:trPr>
          <w:trHeight w:val="27"/>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FFCC"/>
          </w:tcPr>
          <w:p>
            <w:pPr>
              <w:jc w:val="right"/>
              <w:ind w:right="15"/>
              <w:spacing w:after="0"/>
              <w:rPr>
                <w:sz w:val="20"/>
                <w:szCs w:val="20"/>
                <w:color w:val="auto"/>
              </w:rPr>
            </w:pPr>
            <w:r>
              <w:rPr>
                <w:rFonts w:ascii="Arial" w:cs="Arial" w:eastAsia="Arial" w:hAnsi="Arial"/>
                <w:sz w:val="18"/>
                <w:szCs w:val="18"/>
                <w:color w:val="auto"/>
              </w:rPr>
              <w:t>24,841</w:t>
            </w:r>
          </w:p>
        </w:tc>
        <w:tc>
          <w:tcPr>
            <w:tcW w:w="10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FFCC"/>
          </w:tcPr>
          <w:p>
            <w:pPr>
              <w:jc w:val="right"/>
              <w:ind w:right="15"/>
              <w:spacing w:after="0"/>
              <w:rPr>
                <w:sz w:val="20"/>
                <w:szCs w:val="20"/>
                <w:color w:val="auto"/>
              </w:rPr>
            </w:pPr>
            <w:r>
              <w:rPr>
                <w:rFonts w:ascii="Arial" w:cs="Arial" w:eastAsia="Arial" w:hAnsi="Arial"/>
                <w:sz w:val="18"/>
                <w:szCs w:val="18"/>
                <w:color w:val="auto"/>
              </w:rPr>
              <w:t>24,129</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accrued expenses and other current liabilities for the periods presented (amounts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CCFFCC"/>
            </w:tcBorders>
          </w:tcPr>
          <w:p>
            <w:pPr>
              <w:spacing w:after="0"/>
              <w:rPr>
                <w:sz w:val="16"/>
                <w:szCs w:val="16"/>
                <w:color w:val="auto"/>
              </w:rPr>
            </w:pPr>
          </w:p>
        </w:tc>
        <w:tc>
          <w:tcPr>
            <w:tcW w:w="3400" w:type="dxa"/>
            <w:vAlign w:val="bottom"/>
            <w:tcBorders>
              <w:bottom w:val="single" w:sz="8" w:color="CCFFC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Payroll and other employee related costs</w:t>
            </w:r>
          </w:p>
        </w:tc>
        <w:tc>
          <w:tcPr>
            <w:tcW w:w="3660" w:type="dxa"/>
            <w:vAlign w:val="bottom"/>
            <w:tcBorders>
              <w:bottom w:val="single" w:sz="8" w:color="CCFFCC"/>
            </w:tcBorders>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10,267</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14,107</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Professional services and consulting and other vendor fees</w:t>
            </w:r>
          </w:p>
        </w:tc>
        <w:tc>
          <w:tcPr>
            <w:tcW w:w="3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11,113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12,372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commissions</w:t>
            </w:r>
          </w:p>
        </w:tc>
        <w:tc>
          <w:tcPr>
            <w:tcW w:w="34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1,862</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Contingent earnout (see Notes 8 and 9)</w:t>
            </w:r>
          </w:p>
        </w:tc>
        <w:tc>
          <w:tcPr>
            <w:tcW w:w="3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w:t>
            </w:r>
          </w:p>
        </w:tc>
        <w:tc>
          <w:tcPr>
            <w:tcW w:w="340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2,524</w:t>
            </w:r>
          </w:p>
        </w:tc>
        <w:tc>
          <w:tcPr>
            <w:tcW w:w="10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57"/>
        </w:trPr>
        <w:tc>
          <w:tcPr>
            <w:tcW w:w="4940" w:type="dxa"/>
            <w:vAlign w:val="bottom"/>
          </w:tcPr>
          <w:p>
            <w:pPr>
              <w:ind w:left="280"/>
              <w:spacing w:after="0"/>
              <w:rPr>
                <w:sz w:val="20"/>
                <w:szCs w:val="20"/>
                <w:color w:val="auto"/>
              </w:rPr>
            </w:pPr>
            <w:r>
              <w:rPr>
                <w:rFonts w:ascii="Arial" w:cs="Arial" w:eastAsia="Arial" w:hAnsi="Arial"/>
                <w:sz w:val="18"/>
                <w:szCs w:val="18"/>
                <w:color w:val="auto"/>
              </w:rPr>
              <w:t>Total</w:t>
            </w:r>
          </w:p>
        </w:tc>
        <w:tc>
          <w:tcPr>
            <w:tcW w:w="34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25,977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34,296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400" w:type="dxa"/>
            <w:vAlign w:val="bottom"/>
            <w:vMerge w:val="restart"/>
          </w:tcPr>
          <w:p>
            <w:pPr>
              <w:jc w:val="right"/>
              <w:ind w:right="2450"/>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9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6" w:right="239" w:bottom="1440" w:gutter="0" w:footer="0" w:header="0"/>
        </w:sectPr>
      </w:pPr>
    </w:p>
    <w:bookmarkStart w:id="14" w:name="page15"/>
    <w:bookmarkEnd w:id="14"/>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 Pty Ltd.</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9, 2012, the Company acquired all of the outstanding shares of Engage Pty Ltd. (“Engage”), an Australian provider of cloud-based customer contact solutions. The transaction was accounted for under the purchase method of accounting and, accordingly, the operating results of Engage were included in the Company’s consolidated results of operations from the date of acquisition.</w:t>
      </w:r>
    </w:p>
    <w:p>
      <w:pPr>
        <w:spacing w:after="0" w:line="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purchase price was approximately $10.6 million. The total acquisition costs incurred in the year ended December 31, 2012 were approximately $0.5 million and are included in general and administrative expenses in the Company’s condensed consolidated statements of operations for the same period. The acquisition enhances the Company’s ability to offer intelligent engagement solutions to businesses in the Asia Pacific region. Of the total purchase price, $0.8 million was allocated to the net book values of the acquired assets and assumed liabilities. The historical carrying amounts of such assets and liabilities approximated their fair values. All receivables acquired are expected to be collectible. The purchase price in excess of the fair value of the net book values of the assets acquired and liabilities assumed was allocated to intangible assets based on management’s best estimate of fair values, taking into account all relevant information available at the time of acquisition, and the excess was allocated to goodwill. The goodwill is not deductible for tax purposes. The intangible assets are being amortized over their expected period of benefit. The purchase price includes approximately $1.7 million of potential earn-out consideration for the shareholders if certain revenue targets are achieved. The earn-out is payable in shares of LivePerson common stock and cash. The Company recorded the contingent earn-out as part of the purchase price. In accordance with ASC 480, the Company had classified this amount as a liability with the amount included in accrued expenses. At June 30, 2015, the Company assessed this earn-out and recorded a $0.7 million fair value re-measurement adjustment, which was recorded in operating income as a decrease to general and administrative expenses and costs of revenue. As of March 31, 2016, there was no remaining liability included in accrued expenses relating to this earn-out.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Synchronite, LLC</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June 2, 2014, the Company acquired Synchronite, LLC (“Synchronite”), a German-based start-up that provides co-browsing technology. The transaction was accounted for under the purchase method of accounting and, accordingly, the operating results of Synchronite were included in the Company’s consolidated results of operations from the date of acquisition.</w:t>
      </w:r>
    </w:p>
    <w:p>
      <w:pPr>
        <w:spacing w:after="0" w:line="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allocation of the total purchase price of approximately $4.1 million was based upon the estimated fair value of Synchronite’s net tangible and identifiable intangible assets as of the date of acquisition. The total acquisition costs incurred were approximately $0.4 million and are included in general and administrative expenses in the Company’s condensed consolidated statements of operations. Of the total purchase price, $45,000 was allocated to the net book values of the acquired assets and assumed liabilities. The historical carrying amounts of such assets and liabilities approximated their fair values. All receivables acquired are expected to be collectible. The purchase price includes approximately $2.7 million of goodwill and approximately $1.5 million of intangible assets. The goodwill is deductible for tax purposes. The intangible assets are being amortized over their expected period of benefit. The purchase price includes $1.8 million of potential earn-out consideration for the shareholders if complete product integration is achieved. The earn-out is payable in shares of LivePerson common stock and cash. The Company recorded the contingent earn-out as part of the purchase price. In accordance with ASC 480, the Company has classified this amount as a liability and the amount is included in accrued expenses in the March 31, 2016 condensed consolidated balance sheet, due to the variable number of shares that will be issued if and when the targets are achieved. For the year ended December 31, 2015, the Company made $1.6 million of payments. The ending balance at March 31, 2016 is $0.2 million. The Company will continue to assess the earn-out calculation in future periods and any future adjustments will affect operating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 At Once!, LLC</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7, 2014, the Company acquired Contact At Once!, LLC (“CAO!”), a software company with a cloud-based platform that instantly connects consumers with businesses through instant messaging, text messaging, chat, social media and video over the internet for consumer-to-business sales conversions. The transaction was accounted for under the purchase method of accounting and, accordingly, the operating results of CAO! were included in the Company’s consolidated results of operations from the date of acquisition.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96" w:right="239" w:bottom="1440" w:gutter="0" w:footer="0" w:header="0"/>
        </w:sectPr>
      </w:pPr>
    </w:p>
    <w:bookmarkStart w:id="15" w:name="page16"/>
    <w:bookmarkEnd w:id="15"/>
    <w:p>
      <w:pPr>
        <w:jc w:val="both"/>
        <w:ind w:firstLine="648"/>
        <w:spacing w:after="0" w:line="287" w:lineRule="auto"/>
        <w:rPr>
          <w:sz w:val="20"/>
          <w:szCs w:val="20"/>
          <w:color w:val="auto"/>
        </w:rPr>
      </w:pPr>
      <w:r>
        <w:rPr>
          <w:rFonts w:ascii="Arial" w:cs="Arial" w:eastAsia="Arial" w:hAnsi="Arial"/>
          <w:sz w:val="16"/>
          <w:szCs w:val="16"/>
          <w:color w:val="auto"/>
        </w:rPr>
        <w:t>The allocation of the total purchase price of approximately $67.0 million, which includes approximately $42.8 million in cash, approximately $20.0 million in shares of common stock and approximately $4.2 million of potential earn-out consideration in cash, was based upon the estimated fair value of CAO!’s net tangible and identifiable intangible assets as of the date of acquisition. The historical carrying amounts of such assets and liabilities approximated their fair values. All receivables acquired are expected to be collectible. The purchase price includes approximately $45.1 million of goodwill and approximately $20.4 million of intangible assets. The goodwill will be deductible for tax purposes. The intangible assets are being amortized over their expected period of benefit. The purchase price includes $4.2 million of potential earn-out consideration for the shareholders if certain targeted financial, strategic and integration objectives is achieved. The earn-out is payable in cash. The Company recorded the contingent earn-out as part of the purchase price. In accordance with ASC 480, the Company had classified this amount as a liability included in accrued expenses in the consolidated balance sheet. During the year ended December 31, 2015, the Company assessed this earn-out and recorded a $3.2 million fair value re-measurement adjustment, which was recorded in loss from operations as a decrease to general and administrative expenses. During the quarter ended, March 31, 2016, the Company made cash payments of $0.2 million. There is no remaining liability included in accrued expenses relating to this contingent earn-out as of March 31, 2016.</w:t>
      </w:r>
    </w:p>
    <w:p>
      <w:pPr>
        <w:spacing w:after="0" w:line="27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50" w:lineRule="exact"/>
        <w:rPr>
          <w:sz w:val="20"/>
          <w:szCs w:val="20"/>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17"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w:t>
      </w:r>
    </w:p>
    <w:p>
      <w:pPr>
        <w:spacing w:after="0" w:line="117"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The Company’s assets and liabilities that are measured at fair value on a recurring basis, by level, within the fair value hierarchy as of March 31, 2016 and December 31, 2015, are summarized as follows (amounts in thousands). The Company’s restricted cash balance of $4.0 million at March 31, 2016 and $5.4 million at December 31, 2015 is not held in a money market account and is not included in the following table.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5"/>
          </w:tcPr>
          <w:p>
            <w:pPr>
              <w:ind w:left="220"/>
              <w:spacing w:after="0"/>
              <w:rPr>
                <w:sz w:val="20"/>
                <w:szCs w:val="20"/>
                <w:color w:val="auto"/>
              </w:rPr>
            </w:pPr>
            <w:r>
              <w:rPr>
                <w:rFonts w:ascii="Arial" w:cs="Arial" w:eastAsia="Arial" w:hAnsi="Arial"/>
                <w:sz w:val="16"/>
                <w:szCs w:val="16"/>
                <w:b w:val="1"/>
                <w:bCs w:val="1"/>
                <w:color w:val="auto"/>
              </w:rPr>
              <w:t>March 31, 2016</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5"/>
          </w:tcPr>
          <w:p>
            <w:pPr>
              <w:ind w:left="80"/>
              <w:spacing w:after="0"/>
              <w:rPr>
                <w:sz w:val="20"/>
                <w:szCs w:val="20"/>
                <w:color w:val="auto"/>
              </w:rPr>
            </w:pPr>
            <w:r>
              <w:rPr>
                <w:rFonts w:ascii="Arial" w:cs="Arial" w:eastAsia="Arial" w:hAnsi="Arial"/>
                <w:sz w:val="16"/>
                <w:szCs w:val="16"/>
                <w:b w:val="1"/>
                <w:bCs w:val="1"/>
                <w:color w:val="auto"/>
              </w:rPr>
              <w:t>December 31, 2015</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Total</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3,323</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3,323</w:t>
            </w: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4,059</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4,059</w:t>
            </w: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1,159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1,159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102</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1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3,323</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1,159</w:t>
            </w:r>
          </w:p>
        </w:tc>
        <w:tc>
          <w:tcPr>
            <w:tcW w:w="12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4,482</w:t>
            </w: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4,059</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4,161</w:t>
            </w:r>
          </w:p>
        </w:tc>
      </w:tr>
      <w:tr>
        <w:trPr>
          <w:trHeight w:val="20"/>
        </w:trPr>
        <w:tc>
          <w:tcPr>
            <w:tcW w:w="4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Contingent earn-outs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377</w:t>
            </w: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40" w:type="dxa"/>
            <w:vAlign w:val="bottom"/>
            <w:tcBorders>
              <w:bottom w:val="single" w:sz="8" w:color="CCFFCC"/>
            </w:tcBorders>
            <w:shd w:val="clear" w:color="auto" w:fill="CCFFCC"/>
          </w:tcPr>
          <w:p>
            <w:pPr>
              <w:spacing w:after="0"/>
              <w:rPr>
                <w:sz w:val="23"/>
                <w:szCs w:val="23"/>
                <w:color w:val="auto"/>
              </w:rPr>
            </w:pPr>
          </w:p>
        </w:tc>
        <w:tc>
          <w:tcPr>
            <w:tcW w:w="82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3"/>
                <w:szCs w:val="23"/>
                <w:color w:val="auto"/>
              </w:rPr>
            </w:pPr>
          </w:p>
        </w:tc>
        <w:tc>
          <w:tcPr>
            <w:tcW w:w="8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840" w:type="dxa"/>
            <w:vAlign w:val="bottom"/>
            <w:tcBorders>
              <w:bottom w:val="single" w:sz="8" w:color="CCFFCC"/>
            </w:tcBorders>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3"/>
                <w:szCs w:val="23"/>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310</w:t>
            </w:r>
          </w:p>
        </w:tc>
      </w:tr>
      <w:tr>
        <w:trPr>
          <w:trHeight w:val="244"/>
        </w:trPr>
        <w:tc>
          <w:tcPr>
            <w:tcW w:w="412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210</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687</w:t>
            </w: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jc w:val="both"/>
        <w:ind w:firstLine="648"/>
        <w:spacing w:after="0" w:line="270" w:lineRule="auto"/>
        <w:rPr>
          <w:sz w:val="20"/>
          <w:szCs w:val="20"/>
          <w:color w:val="auto"/>
        </w:rPr>
      </w:pPr>
      <w:r>
        <w:rPr>
          <w:rFonts w:ascii="Arial" w:cs="Arial" w:eastAsia="Arial" w:hAnsi="Arial"/>
          <w:sz w:val="17"/>
          <w:szCs w:val="17"/>
          <w:color w:val="auto"/>
        </w:rPr>
        <w:t>The Company's money market funds are measured at fair value on a recurring basis based on quoted market prices in active markets and are classified as level 1 within the fair value hierarchy. The Company's contingent earn-out liability and foreign currency derivative contracts are measured at fair value on a recurring basis and are classified as level 3 and level 2, respectively,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ASU No. 2011-08 to determine whether it is "more likely than not" that the fair value of a reporting unit is less than its carrying amount as a basis for determining whether it is necessary to perform the two-step goodwill impairment test. This measurement is classified based on level 3 input.</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remaining contingent earn-out amounts as of March 31, 2016 are recorded in accrued expense on the condensed consolidated balance sheet and are payable in 2016. The contingent earn-out balance as of March 31, 2016 relates to Synchronite and is based on the fulfillment of a complete product integration and a minimum number of “Co-Browse” interactions per month.</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fair value of the Level 3 liabilities are as follows (amounts in thousands):</w:t>
      </w:r>
    </w:p>
    <w:p>
      <w:pPr>
        <w:spacing w:after="0" w:line="338"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Contingent Earn-Out</w:t>
            </w:r>
          </w:p>
        </w:tc>
      </w:tr>
      <w:tr>
        <w:trPr>
          <w:trHeight w:val="264"/>
        </w:trPr>
        <w:tc>
          <w:tcPr>
            <w:tcW w:w="7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Pr>
          <w:p>
            <w:pPr>
              <w:spacing w:after="0"/>
              <w:rPr>
                <w:sz w:val="22"/>
                <w:szCs w:val="22"/>
                <w:color w:val="auto"/>
              </w:rPr>
            </w:pPr>
          </w:p>
        </w:tc>
        <w:tc>
          <w:tcPr>
            <w:tcW w:w="1480" w:type="dxa"/>
            <w:vAlign w:val="bottom"/>
          </w:tcPr>
          <w:p>
            <w:pPr>
              <w:jc w:val="right"/>
              <w:ind w:right="180"/>
              <w:spacing w:after="0"/>
              <w:rPr>
                <w:sz w:val="20"/>
                <w:szCs w:val="20"/>
                <w:color w:val="auto"/>
              </w:rPr>
            </w:pPr>
            <w:r>
              <w:rPr>
                <w:rFonts w:ascii="Arial" w:cs="Arial" w:eastAsia="Arial" w:hAnsi="Arial"/>
                <w:sz w:val="14"/>
                <w:szCs w:val="14"/>
                <w:b w:val="1"/>
                <w:bCs w:val="1"/>
                <w:color w:val="auto"/>
                <w:w w:val="95"/>
              </w:rPr>
              <w:t>December 31, 2015</w:t>
            </w:r>
          </w:p>
        </w:tc>
      </w:tr>
      <w:tr>
        <w:trPr>
          <w:trHeight w:val="236"/>
        </w:trPr>
        <w:tc>
          <w:tcPr>
            <w:tcW w:w="788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Beginning of Period</w:t>
            </w:r>
          </w:p>
        </w:tc>
        <w:tc>
          <w:tcPr>
            <w:tcW w:w="1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377</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6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6,940</w:t>
            </w:r>
          </w:p>
        </w:tc>
      </w:tr>
      <w:tr>
        <w:trPr>
          <w:trHeight w:val="237"/>
        </w:trPr>
        <w:tc>
          <w:tcPr>
            <w:tcW w:w="7880" w:type="dxa"/>
            <w:vAlign w:val="bottom"/>
          </w:tcPr>
          <w:p>
            <w:pPr>
              <w:ind w:left="140"/>
              <w:spacing w:after="0"/>
              <w:rPr>
                <w:sz w:val="20"/>
                <w:szCs w:val="20"/>
                <w:color w:val="auto"/>
              </w:rPr>
            </w:pPr>
            <w:r>
              <w:rPr>
                <w:rFonts w:ascii="Arial" w:cs="Arial" w:eastAsia="Arial" w:hAnsi="Arial"/>
                <w:sz w:val="16"/>
                <w:szCs w:val="16"/>
                <w:color w:val="auto"/>
              </w:rPr>
              <w:t>CAO! addition (see Note 8)</w:t>
            </w: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(2,883)</w:t>
            </w:r>
          </w:p>
        </w:tc>
      </w:tr>
      <w:tr>
        <w:trPr>
          <w:trHeight w:val="33"/>
        </w:trPr>
        <w:tc>
          <w:tcPr>
            <w:tcW w:w="7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8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6"/>
                <w:szCs w:val="16"/>
                <w:color w:val="auto"/>
              </w:rPr>
              <w:t>Cash payments</w:t>
            </w:r>
          </w:p>
        </w:tc>
        <w:tc>
          <w:tcPr>
            <w:tcW w:w="1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7880" w:type="dxa"/>
            <w:vAlign w:val="bottom"/>
          </w:tcPr>
          <w:p>
            <w:pPr>
              <w:ind w:left="140"/>
              <w:spacing w:after="0"/>
              <w:rPr>
                <w:sz w:val="20"/>
                <w:szCs w:val="20"/>
                <w:color w:val="auto"/>
              </w:rPr>
            </w:pPr>
            <w:r>
              <w:rPr>
                <w:rFonts w:ascii="Arial" w:cs="Arial" w:eastAsia="Arial" w:hAnsi="Arial"/>
                <w:sz w:val="16"/>
                <w:szCs w:val="16"/>
                <w:color w:val="auto"/>
              </w:rPr>
              <w:t>Changes in fair value</w:t>
            </w: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(3,680)</w:t>
            </w:r>
          </w:p>
        </w:tc>
      </w:tr>
      <w:tr>
        <w:trPr>
          <w:trHeight w:val="33"/>
        </w:trPr>
        <w:tc>
          <w:tcPr>
            <w:tcW w:w="788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8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End of Period</w:t>
            </w: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377</w:t>
            </w:r>
          </w:p>
        </w:tc>
      </w:tr>
      <w:tr>
        <w:trPr>
          <w:trHeight w:val="20"/>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exposed to foreign exchange risks that in part are managed by using derivative financial instruments. The Company entered into foreign currency forward contracts related to risks associated with foreign operations. The Company does not use derivatives for trading purposes. Derivatives are recorded at their estimated fair values based upon Level 2 inputs. Derivatives designated and effective as cash flow hedges are reported as a component of other comprehensive income and reclassified to earnings in the same periods in which the hedged transactions impact earnings. Gains and losses related to derivatives not meeting the requirements of hedge accounting and the portion of derivatives related to hedge ineffectiveness are recognized in current earnings.</w:t>
      </w:r>
    </w:p>
    <w:p>
      <w:pPr>
        <w:spacing w:after="0" w:line="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accordance with the foreign currency forward contracts, the Company was required to pledge cash as collateral security to be maintained at the bank. The collateral shall remain in control of the lender, and these funds can be used to satisfy the outstanding obligation. Accordingly, the Company had cash at the bank of approximately $4.0 million at March 31, 2016, and $5.4 million at December 31, 2015 recorded as cash held as collateral in current assets.</w:t>
      </w:r>
    </w:p>
    <w:p>
      <w:pPr>
        <w:spacing w:after="0" w:line="3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outstanding foreign currency derivative contracts related primarily to intercompany receivables and payables for the periods presented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FFC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6"/>
              </w:rPr>
              <w:t>As of March 31, 2016</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2015</w:t>
            </w:r>
          </w:p>
        </w:tc>
      </w:tr>
      <w:tr>
        <w:trPr>
          <w:trHeight w:val="250"/>
        </w:trPr>
        <w:tc>
          <w:tcPr>
            <w:tcW w:w="79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Notional amount of foreign currency derivative contracts</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FFCC"/>
            </w:tcBorders>
            <w:shd w:val="clear" w:color="auto" w:fill="CCFFCC"/>
          </w:tcPr>
          <w:p>
            <w:pPr>
              <w:jc w:val="right"/>
              <w:ind w:right="62"/>
              <w:spacing w:after="0"/>
              <w:rPr>
                <w:sz w:val="20"/>
                <w:szCs w:val="20"/>
                <w:color w:val="auto"/>
              </w:rPr>
            </w:pPr>
            <w:r>
              <w:rPr>
                <w:rFonts w:ascii="Arial" w:cs="Arial" w:eastAsia="Arial" w:hAnsi="Arial"/>
                <w:sz w:val="16"/>
                <w:szCs w:val="16"/>
                <w:color w:val="auto"/>
              </w:rPr>
              <w:t>38,802</w:t>
            </w:r>
          </w:p>
        </w:tc>
        <w:tc>
          <w:tcPr>
            <w:tcW w:w="720" w:type="dxa"/>
            <w:vAlign w:val="bottom"/>
            <w:tcBorders>
              <w:bottom w:val="single" w:sz="8" w:color="CCFFCC"/>
            </w:tcBorders>
            <w:shd w:val="clear" w:color="auto" w:fill="CCFFCC"/>
          </w:tcPr>
          <w:p>
            <w:pPr>
              <w:jc w:val="right"/>
              <w:ind w:right="4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43,431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Fair value of foreign currency derivatives contracts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62"/>
              <w:spacing w:after="0"/>
              <w:rPr>
                <w:sz w:val="20"/>
                <w:szCs w:val="20"/>
                <w:color w:val="auto"/>
              </w:rPr>
            </w:pPr>
            <w:r>
              <w:rPr>
                <w:rFonts w:ascii="Arial" w:cs="Arial" w:eastAsia="Arial" w:hAnsi="Arial"/>
                <w:sz w:val="16"/>
                <w:szCs w:val="16"/>
                <w:color w:val="auto"/>
              </w:rPr>
              <w:t>1,159</w:t>
            </w:r>
          </w:p>
        </w:tc>
        <w:tc>
          <w:tcPr>
            <w:tcW w:w="72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(208)</w:t>
            </w: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The fair value of the Company’s derivative instruments is summarized below (in thousands):</w:t>
      </w:r>
    </w:p>
    <w:p>
      <w:pPr>
        <w:spacing w:after="0" w:line="230"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4"/>
                <w:szCs w:val="14"/>
                <w:b w:val="1"/>
                <w:bCs w:val="1"/>
                <w:color w:val="auto"/>
              </w:rPr>
              <w:t>Fair Value of Derivative Instruments</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36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22"/>
                <w:szCs w:val="22"/>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March 31, 2016</w:t>
            </w: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As of December 31, 2015</w:t>
            </w:r>
          </w:p>
        </w:tc>
        <w:tc>
          <w:tcPr>
            <w:tcW w:w="0" w:type="dxa"/>
            <w:vAlign w:val="bottom"/>
          </w:tcPr>
          <w:p>
            <w:pPr>
              <w:spacing w:after="0"/>
              <w:rPr>
                <w:sz w:val="1"/>
                <w:szCs w:val="1"/>
                <w:color w:val="auto"/>
              </w:rPr>
            </w:pPr>
          </w:p>
        </w:tc>
      </w:tr>
      <w:tr>
        <w:trPr>
          <w:trHeight w:val="250"/>
        </w:trPr>
        <w:tc>
          <w:tcPr>
            <w:tcW w:w="416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6"/>
                <w:szCs w:val="16"/>
                <w:b w:val="1"/>
                <w:bCs w:val="1"/>
                <w:color w:val="auto"/>
              </w:rPr>
              <w:t>Derivative Assets</w:t>
            </w:r>
          </w:p>
        </w:tc>
        <w:tc>
          <w:tcPr>
            <w:tcW w:w="34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5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200" w:type="dxa"/>
            <w:vAlign w:val="bottom"/>
            <w:tcBorders>
              <w:top w:val="single" w:sz="8" w:color="auto"/>
              <w:bottom w:val="single" w:sz="8" w:color="CCFFCC"/>
            </w:tcBorders>
            <w:shd w:val="clear" w:color="auto" w:fill="CCFFCC"/>
          </w:tcPr>
          <w:p>
            <w:pPr>
              <w:spacing w:after="0"/>
              <w:rPr>
                <w:sz w:val="21"/>
                <w:szCs w:val="21"/>
                <w:color w:val="auto"/>
              </w:rPr>
            </w:pPr>
          </w:p>
        </w:tc>
        <w:tc>
          <w:tcPr>
            <w:tcW w:w="46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160"/>
              <w:spacing w:after="0"/>
              <w:rPr>
                <w:sz w:val="20"/>
                <w:szCs w:val="20"/>
                <w:color w:val="auto"/>
              </w:rPr>
            </w:pPr>
            <w:r>
              <w:rPr>
                <w:rFonts w:ascii="Arial" w:cs="Arial" w:eastAsia="Arial" w:hAnsi="Arial"/>
                <w:sz w:val="16"/>
                <w:szCs w:val="16"/>
                <w:color w:val="auto"/>
              </w:rPr>
              <w:t>Derivatives not designated as hedging instruments:</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Foreign currency derivatives contracts</w:t>
            </w:r>
          </w:p>
        </w:tc>
        <w:tc>
          <w:tcPr>
            <w:tcW w:w="360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1,159</w:t>
            </w:r>
          </w:p>
        </w:tc>
        <w:tc>
          <w:tcPr>
            <w:tcW w:w="12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auto"/>
            </w:tcBorders>
            <w:shd w:val="clear" w:color="auto" w:fill="CCFFCC"/>
          </w:tcPr>
          <w:p>
            <w:pPr>
              <w:jc w:val="right"/>
              <w:ind w:right="102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Derivative Liabilities</w:t>
            </w: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60" w:type="dxa"/>
            <w:vAlign w:val="bottom"/>
            <w:vMerge w:val="continue"/>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Derivatives not designated as hedging instruments:</w:t>
            </w:r>
          </w:p>
        </w:tc>
        <w:tc>
          <w:tcPr>
            <w:tcW w:w="34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5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60" w:type="dxa"/>
            <w:vAlign w:val="bottom"/>
          </w:tcPr>
          <w:p>
            <w:pPr>
              <w:ind w:left="160"/>
              <w:spacing w:after="0"/>
              <w:rPr>
                <w:sz w:val="20"/>
                <w:szCs w:val="20"/>
                <w:color w:val="auto"/>
              </w:rPr>
            </w:pPr>
            <w:r>
              <w:rPr>
                <w:rFonts w:ascii="Arial" w:cs="Arial" w:eastAsia="Arial" w:hAnsi="Arial"/>
                <w:sz w:val="16"/>
                <w:szCs w:val="16"/>
                <w:color w:val="auto"/>
              </w:rPr>
              <w:t>Foreign currency derivatives contracts</w:t>
            </w: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Accrued expenses and other liabilities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02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derivatives that are not designated or are not effective as hedges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50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2"/>
              </w:rPr>
              <w:t>Gain (losses) on Derivative Instruments Recognized in Statements of Operations</w:t>
            </w:r>
          </w:p>
        </w:tc>
      </w:tr>
      <w:tr>
        <w:trPr>
          <w:trHeight w:val="264"/>
        </w:trPr>
        <w:tc>
          <w:tcPr>
            <w:tcW w:w="6400" w:type="dxa"/>
            <w:vAlign w:val="bottom"/>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4"/>
          </w:tcPr>
          <w:p>
            <w:pPr>
              <w:jc w:val="right"/>
              <w:ind w:right="34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6400" w:type="dxa"/>
            <w:vAlign w:val="bottom"/>
            <w:tcBorders>
              <w:bottom w:val="single" w:sz="8" w:color="CCFFCC"/>
            </w:tcBorders>
          </w:tcPr>
          <w:p>
            <w:pPr>
              <w:spacing w:after="0"/>
              <w:rPr>
                <w:sz w:val="22"/>
                <w:szCs w:val="22"/>
                <w:color w:val="auto"/>
              </w:rPr>
            </w:pPr>
          </w:p>
        </w:tc>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FFC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FC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Foreign currency derivatives contracts</w:t>
            </w:r>
          </w:p>
        </w:tc>
        <w:tc>
          <w:tcPr>
            <w:tcW w:w="220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Other income (expense)</w:t>
            </w:r>
          </w:p>
        </w:tc>
        <w:tc>
          <w:tcPr>
            <w:tcW w:w="280" w:type="dxa"/>
            <w:vAlign w:val="bottom"/>
            <w:tcBorders>
              <w:bottom w:val="single" w:sz="8" w:color="auto"/>
            </w:tcBorders>
            <w:shd w:val="clear" w:color="auto" w:fill="CCFFCC"/>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(7)</w:t>
            </w:r>
          </w:p>
        </w:tc>
      </w:tr>
      <w:tr>
        <w:trPr>
          <w:trHeight w:val="20"/>
        </w:trPr>
        <w:tc>
          <w:tcPr>
            <w:tcW w:w="6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leases facilities and certain equipment under agreements accounted for as operating leases. These leases generally require the Company to pay all executory costs such as maintenance and insurance. Rental expense for operating leases for the three months ended March 31, 2016 was approximately $2.7 million. Rental expense for operating leases for the three months ended March 31, 2015 was approximately $2.5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a 401(k) defined contribution plan covering all eligible employees. The Company provides for employer matching contributions equal to 50% of employee contributions, up to the lesser of 5% of eligible compensation or $6,000. Matching contributions are deposited into the employee’s 401(k) account and are subject to 5 year graded vesting. Salaries and related expenses include $0.4 million of employer matching contributions for the three months ended March 31, 2016 and 2015.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2016, the Company has a $1.9 million letter of credit outstanding substantially in favor of a certain landlord for office space. In addition, the Company has a letter of credit totaling $0.1 million as a security deposit for the due performance by the Company of the terms and conditions of a supply contract. There were no draws against these letters of credit during the three months ended March 31,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2016, there were 100,000,000 shares of common stock authorized, and 57,430,525 shares issued and outstanding. As of December 31, 2015, there were 100,000,000 shares of common stock authorized, and 57,374,907 shares issued and outstanding. The par value for common shares is $0.001.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2016 and December 31, 2015, there were 5,000,000 shares of preferred stock authorized, and zero shares issued and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par value for preferred shares is $0.001.</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December 10, 2012, the Company’s Board of Directors approved a stock repurchase program through June 30, 2014. Under the stock repurchase program, the Company is authorized to repurchase shares of its common stock, in the open market or privately negotiated transactions, at times and prices considered appropriate by the Board of Directors depending upon prevailing market conditions and other corporate considerations. On March 13, 2014, the Company’s Board of Directors increased the aggregate purchase price of the stock repurchase program from $30.0 million to $40.0 million. On July 23, 2014, the Company’s Board of Directors increased the aggregate purchase price of the stock repurchase program from $40.0 million to $50.0 million. On March 5, 2015, the Company’s Board of Directors extended the expiration date of the program out to December 31, 2016. On February 16, 2016, the Company's Board of Directors increased the aggregate purchase price of the total stock repurchase program by an additional $14.0 million. There were 637,827 shares repurchased under this program during 2016 which were recorded in treasury stock at par on the condensed consolidated balance sheets as of March 31, 2016. As of March 31, 2016, approximately $16.9 million remained available for purchase under the program.</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per share weighted average fair value of stock options granted during the three months ended March 31, 2016 was $2.34. The per share weighted average fair value of stock options granted during the three months ended March 31, 2015 was $4.64. The fair value of each option grant is estimated on the date of grant using the Black-Scholes option-pricing model with the following weighted average assumptions: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2380" w:type="dxa"/>
            <w:vAlign w:val="bottom"/>
            <w:gridSpan w:val="3"/>
          </w:tcPr>
          <w:p>
            <w:pPr>
              <w:jc w:val="center"/>
              <w:ind w:left="963"/>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tcPr>
          <w:p>
            <w:pPr>
              <w:spacing w:after="0"/>
              <w:rPr>
                <w:sz w:val="16"/>
                <w:szCs w:val="16"/>
                <w:color w:val="auto"/>
              </w:rPr>
            </w:pPr>
          </w:p>
        </w:tc>
      </w:tr>
      <w:tr>
        <w:trPr>
          <w:trHeight w:val="276"/>
        </w:trPr>
        <w:tc>
          <w:tcPr>
            <w:tcW w:w="8000" w:type="dxa"/>
            <w:vAlign w:val="bottom"/>
          </w:tcPr>
          <w:p>
            <w:pPr>
              <w:spacing w:after="0"/>
              <w:rPr>
                <w:sz w:val="24"/>
                <w:szCs w:val="24"/>
                <w:color w:val="auto"/>
              </w:rPr>
            </w:pPr>
          </w:p>
        </w:tc>
        <w:tc>
          <w:tcPr>
            <w:tcW w:w="2380" w:type="dxa"/>
            <w:vAlign w:val="bottom"/>
            <w:tcBorders>
              <w:bottom w:val="single" w:sz="8" w:color="auto"/>
            </w:tcBorders>
            <w:gridSpan w:val="3"/>
          </w:tcPr>
          <w:p>
            <w:pPr>
              <w:jc w:val="center"/>
              <w:ind w:left="963"/>
              <w:spacing w:after="0"/>
              <w:rPr>
                <w:sz w:val="20"/>
                <w:szCs w:val="20"/>
                <w:color w:val="auto"/>
              </w:rPr>
            </w:pPr>
            <w:r>
              <w:rPr>
                <w:rFonts w:ascii="Arial" w:cs="Arial" w:eastAsia="Arial" w:hAnsi="Arial"/>
                <w:sz w:val="14"/>
                <w:szCs w:val="14"/>
                <w:b w:val="1"/>
                <w:bCs w:val="1"/>
                <w:color w:val="auto"/>
                <w:w w:val="95"/>
              </w:rPr>
              <w:t>March 31,</w:t>
            </w:r>
          </w:p>
        </w:tc>
        <w:tc>
          <w:tcPr>
            <w:tcW w:w="1040" w:type="dxa"/>
            <w:vAlign w:val="bottom"/>
            <w:tcBorders>
              <w:bottom w:val="single" w:sz="8" w:color="auto"/>
            </w:tcBorders>
          </w:tcPr>
          <w:p>
            <w:pPr>
              <w:spacing w:after="0"/>
              <w:rPr>
                <w:sz w:val="24"/>
                <w:szCs w:val="24"/>
                <w:color w:val="auto"/>
              </w:rPr>
            </w:pPr>
          </w:p>
        </w:tc>
      </w:tr>
      <w:tr>
        <w:trPr>
          <w:trHeight w:val="264"/>
        </w:trPr>
        <w:tc>
          <w:tcPr>
            <w:tcW w:w="800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FFCC"/>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81"/>
              <w:spacing w:after="0"/>
              <w:rPr>
                <w:sz w:val="20"/>
                <w:szCs w:val="20"/>
                <w:color w:val="auto"/>
              </w:rPr>
            </w:pPr>
            <w:r>
              <w:rPr>
                <w:rFonts w:ascii="Arial" w:cs="Arial" w:eastAsia="Arial" w:hAnsi="Arial"/>
                <w:sz w:val="14"/>
                <w:szCs w:val="14"/>
                <w:b w:val="1"/>
                <w:bCs w:val="1"/>
                <w:color w:val="auto"/>
                <w:w w:val="89"/>
              </w:rPr>
              <w:t>2015</w:t>
            </w:r>
          </w:p>
        </w:tc>
      </w:tr>
      <w:tr>
        <w:trPr>
          <w:trHeight w:val="236"/>
        </w:trPr>
        <w:tc>
          <w:tcPr>
            <w:tcW w:w="8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Dividend yield</w:t>
            </w:r>
          </w:p>
        </w:tc>
        <w:tc>
          <w:tcPr>
            <w:tcW w:w="172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6"/>
                <w:szCs w:val="16"/>
                <w:color w:val="auto"/>
                <w:w w:val="87"/>
              </w:rPr>
              <w:t>0.0%</w:t>
            </w:r>
          </w:p>
        </w:tc>
        <w:tc>
          <w:tcPr>
            <w:tcW w:w="100" w:type="dxa"/>
            <w:vAlign w:val="bottom"/>
            <w:tcBorders>
              <w:bottom w:val="single" w:sz="8" w:color="CCFFCC"/>
            </w:tcBorders>
            <w:shd w:val="clear" w:color="auto" w:fill="CCFFCC"/>
          </w:tcPr>
          <w:p>
            <w:pPr>
              <w:spacing w:after="0"/>
              <w:rPr>
                <w:sz w:val="20"/>
                <w:szCs w:val="20"/>
                <w:color w:val="auto"/>
              </w:rPr>
            </w:pPr>
          </w:p>
        </w:tc>
        <w:tc>
          <w:tcPr>
            <w:tcW w:w="56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center"/>
              <w:ind w:right="461"/>
              <w:spacing w:after="0"/>
              <w:rPr>
                <w:sz w:val="20"/>
                <w:szCs w:val="20"/>
                <w:color w:val="auto"/>
              </w:rPr>
            </w:pPr>
            <w:r>
              <w:rPr>
                <w:rFonts w:ascii="Arial" w:cs="Arial" w:eastAsia="Arial" w:hAnsi="Arial"/>
                <w:sz w:val="16"/>
                <w:szCs w:val="16"/>
                <w:color w:val="auto"/>
                <w:w w:val="93"/>
              </w:rPr>
              <w:t>0.0%</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1.25%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center"/>
              <w:ind w:right="461"/>
              <w:spacing w:after="0"/>
              <w:rPr>
                <w:sz w:val="20"/>
                <w:szCs w:val="20"/>
                <w:color w:val="auto"/>
              </w:rPr>
            </w:pPr>
            <w:r>
              <w:rPr>
                <w:rFonts w:ascii="Arial" w:cs="Arial" w:eastAsia="Arial" w:hAnsi="Arial"/>
                <w:sz w:val="16"/>
                <w:szCs w:val="16"/>
                <w:color w:val="auto"/>
                <w:w w:val="92"/>
              </w:rPr>
              <w:t>1.30%</w:t>
            </w:r>
          </w:p>
        </w:tc>
      </w:tr>
      <w:tr>
        <w:trPr>
          <w:trHeight w:val="33"/>
        </w:trPr>
        <w:tc>
          <w:tcPr>
            <w:tcW w:w="8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Expected life (in years)</w:t>
            </w:r>
          </w:p>
        </w:tc>
        <w:tc>
          <w:tcPr>
            <w:tcW w:w="172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6"/>
                <w:szCs w:val="16"/>
                <w:color w:val="auto"/>
                <w:w w:val="89"/>
              </w:rPr>
              <w:t>5</w:t>
            </w:r>
          </w:p>
        </w:tc>
        <w:tc>
          <w:tcPr>
            <w:tcW w:w="10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center"/>
              <w:ind w:right="481"/>
              <w:spacing w:after="0"/>
              <w:rPr>
                <w:sz w:val="20"/>
                <w:szCs w:val="20"/>
                <w:color w:val="auto"/>
              </w:rPr>
            </w:pPr>
            <w:r>
              <w:rPr>
                <w:rFonts w:ascii="Arial" w:cs="Arial" w:eastAsia="Arial" w:hAnsi="Arial"/>
                <w:sz w:val="16"/>
                <w:szCs w:val="16"/>
                <w:color w:val="auto"/>
                <w:w w:val="89"/>
              </w:rPr>
              <w:t>5</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Historical volatility</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47.3%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center"/>
              <w:ind w:right="461"/>
              <w:spacing w:after="0"/>
              <w:rPr>
                <w:sz w:val="20"/>
                <w:szCs w:val="20"/>
                <w:color w:val="auto"/>
              </w:rPr>
            </w:pPr>
            <w:r>
              <w:rPr>
                <w:rFonts w:ascii="Arial" w:cs="Arial" w:eastAsia="Arial" w:hAnsi="Arial"/>
                <w:sz w:val="16"/>
                <w:szCs w:val="16"/>
                <w:color w:val="auto"/>
                <w:w w:val="92"/>
              </w:rPr>
              <w:t>49.7%</w:t>
            </w: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description of the methods used in the significant assumptions used to estimate the fair value of stock-based compensation awards follows: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uses 0% as it has never issued dividends and does not anticipate issuing dividends in the near term.</w:t>
      </w:r>
    </w:p>
    <w:p>
      <w:pPr>
        <w:spacing w:after="0" w:line="11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stock options in years.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1998, the Company established the Stock Option and Restricted Stock Purchase Plan (the “1998 Plan”). Under the 1998 Plan, the Board of Directors could issue incentive stock options or nonqualified stock options to purchase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plan by approximately 4,150,000, thereby reserving for issuance 10,000,000 shares of common stock in the aggregate.</w:t>
      </w:r>
    </w:p>
    <w:p>
      <w:pPr>
        <w:spacing w:after="0" w:line="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established the 2009 Stock Incentive Plan (as amended and restated,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stock incentive plan (the “Amended 2009 Plan”) effective June 7, 2012. The Amended 2009 Plan increased the number of shares authorized for issuance under the plan by an additional 4,250,000, thereby reserving for issuance 23,817,744 shares of common stock in the aggregate. Options to acquire common stock granted thereunder have 10-year terms. As of March 31, 2016,</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approximately 4,323,000 shares of common stock were reserved for issuance under the 2009 Plan (taking into account all option exercises through March 31,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June 2010, the Company’s stockholders approved the 2010 Employee Stock Purchase Plan with 1,000,000 shares of common stock initially reserved for issuance. As of March 31, 2016, approximately 332,000 shares of common stock were reserved for issuance under the Employee Stock Purchase Plan (taking into account all share purchases through March 31,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20" w:type="dxa"/>
            <w:vAlign w:val="bottom"/>
            <w:gridSpan w:val="5"/>
          </w:tcPr>
          <w:p>
            <w:pPr>
              <w:ind w:left="820"/>
              <w:spacing w:after="0"/>
              <w:rPr>
                <w:sz w:val="20"/>
                <w:szCs w:val="20"/>
                <w:color w:val="auto"/>
              </w:rPr>
            </w:pPr>
            <w:r>
              <w:rPr>
                <w:rFonts w:ascii="Arial" w:cs="Arial" w:eastAsia="Arial" w:hAnsi="Arial"/>
                <w:sz w:val="16"/>
                <w:szCs w:val="16"/>
                <w:b w:val="1"/>
                <w:bCs w:val="1"/>
                <w:color w:val="auto"/>
              </w:rPr>
              <w:t>Stock Option Activity</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Options (in</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Contractual Term</w:t>
            </w: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Value (in</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thousands)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240" w:type="dxa"/>
            <w:vAlign w:val="bottom"/>
          </w:tcPr>
          <w:p>
            <w:pPr>
              <w:spacing w:after="0"/>
              <w:rPr>
                <w:sz w:val="18"/>
                <w:szCs w:val="18"/>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85"/>
              </w:rPr>
              <w:t>thousands)</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2015</w:t>
            </w:r>
          </w:p>
        </w:tc>
        <w:tc>
          <w:tcPr>
            <w:tcW w:w="15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9,139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11.05</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Cancelled or expired</w:t>
            </w:r>
          </w:p>
        </w:tc>
        <w:tc>
          <w:tcPr>
            <w:tcW w:w="1500" w:type="dxa"/>
            <w:vAlign w:val="bottom"/>
          </w:tcPr>
          <w:p>
            <w:pPr>
              <w:jc w:val="right"/>
              <w:spacing w:after="0"/>
              <w:rPr>
                <w:sz w:val="20"/>
                <w:szCs w:val="20"/>
                <w:color w:val="auto"/>
              </w:rPr>
            </w:pPr>
            <w:r>
              <w:rPr>
                <w:rFonts w:ascii="Arial" w:cs="Arial" w:eastAsia="Arial" w:hAnsi="Arial"/>
                <w:sz w:val="16"/>
                <w:szCs w:val="16"/>
                <w:color w:val="auto"/>
              </w:rPr>
              <w:t>(556)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March 31, 2016</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8,588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11.05</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1,408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Options vested and expected to vest</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8,035</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11.07</w:t>
            </w:r>
          </w:p>
        </w:tc>
        <w:tc>
          <w:tcPr>
            <w:tcW w:w="100" w:type="dxa"/>
            <w:vAlign w:val="bottom"/>
            <w:tcBorders>
              <w:bottom w:val="single" w:sz="8" w:color="CCFFCC"/>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1,407</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Options exercisable at March 31, 2016</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5,494</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10.99</w:t>
            </w:r>
          </w:p>
        </w:tc>
        <w:tc>
          <w:tcPr>
            <w:tcW w:w="100" w:type="dxa"/>
            <w:vAlign w:val="bottom"/>
            <w:tcBorders>
              <w:bottom w:val="single" w:sz="8" w:color="CCFFCC"/>
            </w:tcBorders>
            <w:shd w:val="clear" w:color="auto" w:fill="CCFFCC"/>
          </w:tcPr>
          <w:p>
            <w:pPr>
              <w:spacing w:after="0"/>
              <w:rPr>
                <w:sz w:val="20"/>
                <w:szCs w:val="20"/>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total fair value of stock options exercised during the three months ended March 31, 2016 was approximately $6,822. As of March 31, 2016, there was approximately $11.6 million of total unrecognized compensation cost related to nonvested share-based compensation arrangements. That cost is expected to be recognized over a weighted average period of approximately 1.9 years.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outstanding and vested stock options as of March 31, 2016:</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jc w:val="right"/>
              <w:ind w:right="319"/>
              <w:spacing w:after="0"/>
              <w:rPr>
                <w:sz w:val="20"/>
                <w:szCs w:val="20"/>
                <w:color w:val="auto"/>
              </w:rPr>
            </w:pPr>
            <w:r>
              <w:rPr>
                <w:rFonts w:ascii="Arial" w:cs="Arial" w:eastAsia="Arial" w:hAnsi="Arial"/>
                <w:sz w:val="16"/>
                <w:szCs w:val="16"/>
                <w:b w:val="1"/>
                <w:bCs w:val="1"/>
                <w:color w:val="auto"/>
              </w:rPr>
              <w:t>Options Outstanding</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3"/>
          </w:tcPr>
          <w:p>
            <w:pPr>
              <w:jc w:val="right"/>
              <w:ind w:right="1011"/>
              <w:spacing w:after="0"/>
              <w:rPr>
                <w:sz w:val="20"/>
                <w:szCs w:val="20"/>
                <w:color w:val="auto"/>
              </w:rPr>
            </w:pPr>
            <w:r>
              <w:rPr>
                <w:rFonts w:ascii="Arial" w:cs="Arial" w:eastAsia="Arial" w:hAnsi="Arial"/>
                <w:sz w:val="16"/>
                <w:szCs w:val="16"/>
                <w:b w:val="1"/>
                <w:bCs w:val="1"/>
                <w:color w:val="auto"/>
              </w:rPr>
              <w:t>Options Exercisable</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7"/>
                <w:szCs w:val="17"/>
                <w:color w:val="auto"/>
              </w:rPr>
            </w:pPr>
          </w:p>
        </w:tc>
        <w:tc>
          <w:tcPr>
            <w:tcW w:w="2500" w:type="dxa"/>
            <w:vAlign w:val="bottom"/>
          </w:tcPr>
          <w:p>
            <w:pPr>
              <w:jc w:val="center"/>
              <w:ind w:left="279"/>
              <w:spacing w:after="0"/>
              <w:rPr>
                <w:sz w:val="20"/>
                <w:szCs w:val="20"/>
                <w:color w:val="auto"/>
              </w:rPr>
            </w:pPr>
            <w:r>
              <w:rPr>
                <w:rFonts w:ascii="Arial" w:cs="Arial" w:eastAsia="Arial" w:hAnsi="Arial"/>
                <w:sz w:val="16"/>
                <w:szCs w:val="16"/>
                <w:b w:val="1"/>
                <w:bCs w:val="1"/>
                <w:color w:val="auto"/>
                <w:w w:val="90"/>
              </w:rPr>
              <w:t>Weighted-Average Remaining</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Average</w:t>
            </w: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jc w:val="right"/>
              <w:ind w:right="191"/>
              <w:spacing w:after="0"/>
              <w:rPr>
                <w:sz w:val="20"/>
                <w:szCs w:val="20"/>
                <w:color w:val="auto"/>
              </w:rPr>
            </w:pPr>
            <w:r>
              <w:rPr>
                <w:rFonts w:ascii="Arial" w:cs="Arial" w:eastAsia="Arial" w:hAnsi="Arial"/>
                <w:sz w:val="16"/>
                <w:szCs w:val="16"/>
                <w:b w:val="1"/>
                <w:bCs w:val="1"/>
                <w:color w:val="auto"/>
                <w:w w:val="93"/>
              </w:rPr>
              <w:t>Weighted-Average</w:t>
            </w:r>
          </w:p>
        </w:tc>
        <w:tc>
          <w:tcPr>
            <w:tcW w:w="0" w:type="dxa"/>
            <w:vAlign w:val="bottom"/>
          </w:tcPr>
          <w:p>
            <w:pPr>
              <w:spacing w:after="0"/>
              <w:rPr>
                <w:sz w:val="1"/>
                <w:szCs w:val="1"/>
                <w:color w:val="auto"/>
              </w:rPr>
            </w:pPr>
          </w:p>
        </w:tc>
      </w:tr>
      <w:tr>
        <w:trPr>
          <w:trHeight w:val="210"/>
        </w:trPr>
        <w:tc>
          <w:tcPr>
            <w:tcW w:w="2200" w:type="dxa"/>
            <w:vAlign w:val="bottom"/>
            <w:gridSpan w:val="2"/>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20" w:type="dxa"/>
            <w:vAlign w:val="bottom"/>
          </w:tcPr>
          <w:p>
            <w:pPr>
              <w:spacing w:after="0"/>
              <w:rPr>
                <w:sz w:val="18"/>
                <w:szCs w:val="18"/>
                <w:color w:val="auto"/>
              </w:rPr>
            </w:pPr>
          </w:p>
        </w:tc>
        <w:tc>
          <w:tcPr>
            <w:tcW w:w="2500" w:type="dxa"/>
            <w:vAlign w:val="bottom"/>
          </w:tcPr>
          <w:p>
            <w:pPr>
              <w:jc w:val="center"/>
              <w:ind w:left="279"/>
              <w:spacing w:after="0"/>
              <w:rPr>
                <w:sz w:val="20"/>
                <w:szCs w:val="20"/>
                <w:color w:val="auto"/>
              </w:rPr>
            </w:pPr>
            <w:r>
              <w:rPr>
                <w:rFonts w:ascii="Arial" w:cs="Arial" w:eastAsia="Arial" w:hAnsi="Arial"/>
                <w:sz w:val="16"/>
                <w:szCs w:val="16"/>
                <w:b w:val="1"/>
                <w:bCs w:val="1"/>
                <w:color w:val="auto"/>
                <w:w w:val="94"/>
              </w:rPr>
              <w:t>Contractual Life (Years)</w:t>
            </w:r>
          </w:p>
        </w:tc>
        <w:tc>
          <w:tcPr>
            <w:tcW w:w="42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9"/>
              </w:rPr>
              <w:t>Exercise Price</w:t>
            </w:r>
          </w:p>
        </w:tc>
        <w:tc>
          <w:tcPr>
            <w:tcW w:w="1700" w:type="dxa"/>
            <w:vAlign w:val="bottom"/>
          </w:tcPr>
          <w:p>
            <w:pPr>
              <w:jc w:val="right"/>
              <w:ind w:right="131"/>
              <w:spacing w:after="0"/>
              <w:rPr>
                <w:sz w:val="20"/>
                <w:szCs w:val="20"/>
                <w:color w:val="auto"/>
              </w:rPr>
            </w:pPr>
            <w:r>
              <w:rPr>
                <w:rFonts w:ascii="Arial" w:cs="Arial" w:eastAsia="Arial" w:hAnsi="Arial"/>
                <w:sz w:val="16"/>
                <w:szCs w:val="16"/>
                <w:b w:val="1"/>
                <w:bCs w:val="1"/>
                <w:color w:val="auto"/>
              </w:rPr>
              <w:t>Number of Shares</w:t>
            </w:r>
          </w:p>
        </w:tc>
        <w:tc>
          <w:tcPr>
            <w:tcW w:w="320" w:type="dxa"/>
            <w:vAlign w:val="bottom"/>
          </w:tcPr>
          <w:p>
            <w:pPr>
              <w:spacing w:after="0"/>
              <w:rPr>
                <w:sz w:val="18"/>
                <w:szCs w:val="18"/>
                <w:color w:val="auto"/>
              </w:rPr>
            </w:pPr>
          </w:p>
        </w:tc>
        <w:tc>
          <w:tcPr>
            <w:tcW w:w="1620" w:type="dxa"/>
            <w:vAlign w:val="bottom"/>
          </w:tcPr>
          <w:p>
            <w:pPr>
              <w:jc w:val="right"/>
              <w:ind w:right="331"/>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33"/>
        </w:trPr>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$1.79 - $7.02</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1,185,764</w:t>
            </w:r>
          </w:p>
        </w:tc>
        <w:tc>
          <w:tcPr>
            <w:tcW w:w="120" w:type="dxa"/>
            <w:vAlign w:val="bottom"/>
            <w:tcBorders>
              <w:bottom w:val="single" w:sz="8" w:color="CCFFCC"/>
            </w:tcBorders>
            <w:shd w:val="clear" w:color="auto" w:fill="CCFFCC"/>
          </w:tcPr>
          <w:p>
            <w:pPr>
              <w:spacing w:after="0"/>
              <w:rPr>
                <w:sz w:val="21"/>
                <w:szCs w:val="21"/>
                <w:color w:val="auto"/>
              </w:rPr>
            </w:pPr>
          </w:p>
        </w:tc>
        <w:tc>
          <w:tcPr>
            <w:tcW w:w="250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85"/>
              </w:rPr>
              <w:t>2.67</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1,178,264</w:t>
            </w:r>
          </w:p>
        </w:tc>
        <w:tc>
          <w:tcPr>
            <w:tcW w:w="3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$7.04 - $9.24</w:t>
            </w:r>
          </w:p>
        </w:tc>
        <w:tc>
          <w:tcPr>
            <w:tcW w:w="1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934,654</w:t>
            </w:r>
          </w:p>
        </w:tc>
        <w:tc>
          <w:tcPr>
            <w:tcW w:w="1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6.79</w:t>
            </w:r>
          </w:p>
        </w:tc>
        <w:tc>
          <w:tcPr>
            <w:tcW w:w="2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558,654</w:t>
            </w: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$9.34 - $10.05</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1,007,150</w:t>
            </w:r>
          </w:p>
        </w:tc>
        <w:tc>
          <w:tcPr>
            <w:tcW w:w="120" w:type="dxa"/>
            <w:vAlign w:val="bottom"/>
            <w:tcBorders>
              <w:bottom w:val="single" w:sz="8" w:color="CCFFCC"/>
            </w:tcBorders>
            <w:shd w:val="clear" w:color="auto" w:fill="CCFFCC"/>
          </w:tcPr>
          <w:p>
            <w:pPr>
              <w:spacing w:after="0"/>
              <w:rPr>
                <w:sz w:val="21"/>
                <w:szCs w:val="21"/>
                <w:color w:val="auto"/>
              </w:rPr>
            </w:pPr>
          </w:p>
        </w:tc>
        <w:tc>
          <w:tcPr>
            <w:tcW w:w="250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85"/>
              </w:rPr>
              <w:t>8.26</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327,700</w:t>
            </w:r>
          </w:p>
        </w:tc>
        <w:tc>
          <w:tcPr>
            <w:tcW w:w="32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$10.09 - $10.09</w:t>
            </w:r>
          </w:p>
        </w:tc>
        <w:tc>
          <w:tcPr>
            <w:tcW w:w="1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4.89</w:t>
            </w:r>
          </w:p>
        </w:tc>
        <w:tc>
          <w:tcPr>
            <w:tcW w:w="2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3,500</w:t>
            </w: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$10.13 - $10.13</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1,339,525</w:t>
            </w:r>
          </w:p>
        </w:tc>
        <w:tc>
          <w:tcPr>
            <w:tcW w:w="120" w:type="dxa"/>
            <w:vAlign w:val="bottom"/>
            <w:tcBorders>
              <w:bottom w:val="single" w:sz="8" w:color="CCFFCC"/>
            </w:tcBorders>
            <w:shd w:val="clear" w:color="auto" w:fill="CCFFCC"/>
          </w:tcPr>
          <w:p>
            <w:pPr>
              <w:spacing w:after="0"/>
              <w:rPr>
                <w:sz w:val="21"/>
                <w:szCs w:val="21"/>
                <w:color w:val="auto"/>
              </w:rPr>
            </w:pPr>
          </w:p>
        </w:tc>
        <w:tc>
          <w:tcPr>
            <w:tcW w:w="250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85"/>
              </w:rPr>
              <w:t>7.51</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402,850</w:t>
            </w:r>
          </w:p>
        </w:tc>
        <w:tc>
          <w:tcPr>
            <w:tcW w:w="32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$10.31 - $12.32</w:t>
            </w:r>
          </w:p>
        </w:tc>
        <w:tc>
          <w:tcPr>
            <w:tcW w:w="1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972,575</w:t>
            </w:r>
          </w:p>
        </w:tc>
        <w:tc>
          <w:tcPr>
            <w:tcW w:w="1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6.48</w:t>
            </w:r>
          </w:p>
        </w:tc>
        <w:tc>
          <w:tcPr>
            <w:tcW w:w="2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703,850</w:t>
            </w: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$12.46 - $13.28</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1,344,400</w:t>
            </w:r>
          </w:p>
        </w:tc>
        <w:tc>
          <w:tcPr>
            <w:tcW w:w="120" w:type="dxa"/>
            <w:vAlign w:val="bottom"/>
            <w:tcBorders>
              <w:bottom w:val="single" w:sz="8" w:color="CCFFCC"/>
            </w:tcBorders>
            <w:shd w:val="clear" w:color="auto" w:fill="CCFFCC"/>
          </w:tcPr>
          <w:p>
            <w:pPr>
              <w:spacing w:after="0"/>
              <w:rPr>
                <w:sz w:val="21"/>
                <w:szCs w:val="21"/>
                <w:color w:val="auto"/>
              </w:rPr>
            </w:pPr>
          </w:p>
        </w:tc>
        <w:tc>
          <w:tcPr>
            <w:tcW w:w="250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85"/>
              </w:rPr>
              <w:t>5.34</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1,172,150</w:t>
            </w:r>
          </w:p>
        </w:tc>
        <w:tc>
          <w:tcPr>
            <w:tcW w:w="32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$13.34 - $16.00</w:t>
            </w:r>
          </w:p>
        </w:tc>
        <w:tc>
          <w:tcPr>
            <w:tcW w:w="1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869,225</w:t>
            </w:r>
          </w:p>
        </w:tc>
        <w:tc>
          <w:tcPr>
            <w:tcW w:w="1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7.34</w:t>
            </w:r>
          </w:p>
        </w:tc>
        <w:tc>
          <w:tcPr>
            <w:tcW w:w="2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426,488</w:t>
            </w: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$16.98 - $18.09</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926,200</w:t>
            </w:r>
          </w:p>
        </w:tc>
        <w:tc>
          <w:tcPr>
            <w:tcW w:w="120" w:type="dxa"/>
            <w:vAlign w:val="bottom"/>
            <w:tcBorders>
              <w:bottom w:val="single" w:sz="8" w:color="CCFFCC"/>
            </w:tcBorders>
            <w:shd w:val="clear" w:color="auto" w:fill="CCFFCC"/>
          </w:tcPr>
          <w:p>
            <w:pPr>
              <w:spacing w:after="0"/>
              <w:rPr>
                <w:sz w:val="21"/>
                <w:szCs w:val="21"/>
                <w:color w:val="auto"/>
              </w:rPr>
            </w:pPr>
          </w:p>
        </w:tc>
        <w:tc>
          <w:tcPr>
            <w:tcW w:w="250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85"/>
              </w:rPr>
              <w:t>6.15</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716,625</w:t>
            </w:r>
          </w:p>
        </w:tc>
        <w:tc>
          <w:tcPr>
            <w:tcW w:w="32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$18.24 - $18.24</w:t>
            </w:r>
          </w:p>
        </w:tc>
        <w:tc>
          <w:tcPr>
            <w:tcW w:w="1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6.33</w:t>
            </w:r>
          </w:p>
        </w:tc>
        <w:tc>
          <w:tcPr>
            <w:tcW w:w="2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3,750</w:t>
            </w: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260" w:type="dxa"/>
            <w:vAlign w:val="bottom"/>
            <w:tcBorders>
              <w:bottom w:val="single" w:sz="8" w:color="auto"/>
            </w:tcBorders>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500" w:type="dxa"/>
            <w:vAlign w:val="bottom"/>
            <w:shd w:val="clear" w:color="auto" w:fill="CCFFCC"/>
          </w:tcPr>
          <w:p>
            <w:pPr>
              <w:spacing w:after="0"/>
              <w:rPr>
                <w:sz w:val="24"/>
                <w:szCs w:val="24"/>
                <w:color w:val="auto"/>
              </w:rPr>
            </w:pPr>
          </w:p>
        </w:tc>
        <w:tc>
          <w:tcPr>
            <w:tcW w:w="4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700" w:type="dxa"/>
            <w:vAlign w:val="bottom"/>
            <w:tcBorders>
              <w:bottom w:val="single" w:sz="8" w:color="auto"/>
            </w:tcBorders>
            <w:shd w:val="clear" w:color="auto" w:fill="CCFFCC"/>
          </w:tcPr>
          <w:p>
            <w:pPr>
              <w:spacing w:after="0"/>
              <w:rPr>
                <w:sz w:val="24"/>
                <w:szCs w:val="24"/>
                <w:color w:val="auto"/>
              </w:rPr>
            </w:pPr>
          </w:p>
        </w:tc>
        <w:tc>
          <w:tcPr>
            <w:tcW w:w="320" w:type="dxa"/>
            <w:vAlign w:val="bottom"/>
            <w:shd w:val="clear" w:color="auto" w:fill="CCFFCC"/>
          </w:tcPr>
          <w:p>
            <w:pPr>
              <w:spacing w:after="0"/>
              <w:rPr>
                <w:sz w:val="24"/>
                <w:szCs w:val="24"/>
                <w:color w:val="auto"/>
              </w:rPr>
            </w:pPr>
          </w:p>
        </w:tc>
        <w:tc>
          <w:tcPr>
            <w:tcW w:w="162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8,587,993</w:t>
            </w:r>
          </w:p>
        </w:tc>
        <w:tc>
          <w:tcPr>
            <w:tcW w:w="1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6.23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2"/>
                <w:szCs w:val="22"/>
                <w:color w:val="auto"/>
              </w:rPr>
            </w:pPr>
          </w:p>
        </w:tc>
        <w:tc>
          <w:tcPr>
            <w:tcW w:w="1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5,493,831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20" w:type="dxa"/>
            <w:vAlign w:val="bottom"/>
            <w:gridSpan w:val="2"/>
            <w:vMerge w:val="restart"/>
          </w:tcPr>
          <w:p>
            <w:pPr>
              <w:jc w:val="right"/>
              <w:ind w:right="199"/>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restricted stock units (“RSUs”)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3680" w:type="dxa"/>
            <w:vAlign w:val="bottom"/>
            <w:gridSpan w:val="5"/>
          </w:tcPr>
          <w:p>
            <w:pPr>
              <w:ind w:left="760"/>
              <w:spacing w:after="0"/>
              <w:rPr>
                <w:sz w:val="20"/>
                <w:szCs w:val="20"/>
                <w:color w:val="auto"/>
              </w:rPr>
            </w:pPr>
            <w:r>
              <w:rPr>
                <w:rFonts w:ascii="Arial" w:cs="Arial" w:eastAsia="Arial" w:hAnsi="Arial"/>
                <w:sz w:val="16"/>
                <w:szCs w:val="16"/>
                <w:b w:val="1"/>
                <w:bCs w:val="1"/>
                <w:color w:val="auto"/>
              </w:rPr>
              <w:t>Restricted Stock Unit Activity</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9"/>
        </w:trPr>
        <w:tc>
          <w:tcPr>
            <w:tcW w:w="5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3"/>
        </w:trPr>
        <w:tc>
          <w:tcPr>
            <w:tcW w:w="58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Grant Date Fair Value</w:t>
            </w:r>
          </w:p>
        </w:tc>
        <w:tc>
          <w:tcPr>
            <w:tcW w:w="100" w:type="dxa"/>
            <w:vAlign w:val="bottom"/>
          </w:tcPr>
          <w:p>
            <w:pPr>
              <w:spacing w:after="0"/>
              <w:rPr>
                <w:sz w:val="17"/>
                <w:szCs w:val="17"/>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Aggregate Fair Value (in</w:t>
            </w:r>
          </w:p>
        </w:tc>
      </w:tr>
      <w:tr>
        <w:trPr>
          <w:trHeight w:val="210"/>
        </w:trPr>
        <w:tc>
          <w:tcPr>
            <w:tcW w:w="5820" w:type="dxa"/>
            <w:vAlign w:val="bottom"/>
          </w:tcPr>
          <w:p>
            <w:pPr>
              <w:spacing w:after="0"/>
              <w:rPr>
                <w:sz w:val="18"/>
                <w:szCs w:val="18"/>
                <w:color w:val="auto"/>
              </w:rPr>
            </w:pPr>
          </w:p>
        </w:tc>
        <w:tc>
          <w:tcPr>
            <w:tcW w:w="1860" w:type="dxa"/>
            <w:vAlign w:val="bottom"/>
            <w:gridSpan w:val="2"/>
          </w:tcPr>
          <w:p>
            <w:pPr>
              <w:ind w:left="240"/>
              <w:spacing w:after="0"/>
              <w:rPr>
                <w:sz w:val="20"/>
                <w:szCs w:val="20"/>
                <w:color w:val="auto"/>
              </w:rPr>
            </w:pPr>
            <w:r>
              <w:rPr>
                <w:rFonts w:ascii="Arial" w:cs="Arial" w:eastAsia="Arial" w:hAnsi="Arial"/>
                <w:sz w:val="16"/>
                <w:szCs w:val="16"/>
                <w:b w:val="1"/>
                <w:bCs w:val="1"/>
                <w:color w:val="auto"/>
              </w:rPr>
              <w:t>Number of Shares</w:t>
            </w:r>
          </w:p>
        </w:tc>
        <w:tc>
          <w:tcPr>
            <w:tcW w:w="16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 Share)</w:t>
            </w:r>
          </w:p>
        </w:tc>
        <w:tc>
          <w:tcPr>
            <w:tcW w:w="100" w:type="dxa"/>
            <w:vAlign w:val="bottom"/>
          </w:tcPr>
          <w:p>
            <w:pPr>
              <w:spacing w:after="0"/>
              <w:rPr>
                <w:sz w:val="18"/>
                <w:szCs w:val="18"/>
                <w:color w:val="auto"/>
              </w:rPr>
            </w:pPr>
          </w:p>
        </w:tc>
        <w:tc>
          <w:tcPr>
            <w:tcW w:w="1820" w:type="dxa"/>
            <w:vAlign w:val="bottom"/>
          </w:tcPr>
          <w:p>
            <w:pPr>
              <w:jc w:val="right"/>
              <w:ind w:right="499"/>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582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58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2015</w:t>
            </w:r>
          </w:p>
        </w:tc>
        <w:tc>
          <w:tcPr>
            <w:tcW w:w="17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1,201,500</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10.31</w:t>
            </w:r>
          </w:p>
        </w:tc>
        <w:tc>
          <w:tcPr>
            <w:tcW w:w="1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Granted</w:t>
            </w:r>
          </w:p>
        </w:tc>
        <w:tc>
          <w:tcPr>
            <w:tcW w:w="1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Exercised</w:t>
            </w:r>
          </w:p>
        </w:tc>
        <w:tc>
          <w:tcPr>
            <w:tcW w:w="18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6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1740" w:type="dxa"/>
            <w:vAlign w:val="bottom"/>
          </w:tcPr>
          <w:p>
            <w:pPr>
              <w:jc w:val="right"/>
              <w:spacing w:after="0"/>
              <w:rPr>
                <w:sz w:val="20"/>
                <w:szCs w:val="20"/>
                <w:color w:val="auto"/>
              </w:rPr>
            </w:pPr>
            <w:r>
              <w:rPr>
                <w:rFonts w:ascii="Arial" w:cs="Arial" w:eastAsia="Arial" w:hAnsi="Arial"/>
                <w:sz w:val="16"/>
                <w:szCs w:val="16"/>
                <w:color w:val="auto"/>
              </w:rPr>
              <w:t>(41,000)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6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20" w:type="dxa"/>
            <w:vAlign w:val="bottom"/>
            <w:tcBorders>
              <w:bottom w:val="single" w:sz="8" w:color="CCFFCC"/>
            </w:tcBorders>
          </w:tcPr>
          <w:p>
            <w:pPr>
              <w:spacing w:after="0"/>
              <w:rPr>
                <w:sz w:val="2"/>
                <w:szCs w:val="2"/>
                <w:color w:val="auto"/>
              </w:rPr>
            </w:pPr>
          </w:p>
        </w:tc>
      </w:tr>
      <w:tr>
        <w:trPr>
          <w:trHeight w:val="244"/>
        </w:trPr>
        <w:tc>
          <w:tcPr>
            <w:tcW w:w="58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Non-vested and outstanding at March 31, 2016</w:t>
            </w:r>
          </w:p>
        </w:tc>
        <w:tc>
          <w:tcPr>
            <w:tcW w:w="17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1,160,500</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10.31</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6,789</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Expected to vest</w:t>
            </w: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852,514</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4,987</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RSUs granted to employees generally vest over a four-year period. As of March 31, 2016, total unrecognized compensation cost, adjusted for estimated forfeitures, related to nonvested RSUs was approximately $9.4 million and the weighted-average remaining vesting period was 3.2 years.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Matters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previously filed an intellectual property suit against [24]7 Customer, Inc. in the Southern District of New York on March 6, 2014 seeking damages on the grounds that [24]7 reverse engineered and misappropriated the Company's technology to develop competing products and misused the Company's business information. Discovery in the New York case is in process. On June 22, 2015, [24]7 Customer, Inc. filed suit against the Company in the Northern District of California alleging patent infringement. On December 7, 2015, [24]7 Customer Inc. filed a second patent infringement suit against the Company, also in the Northern District of California. On January 5, 2016, the two California cases were consolidated for all pre-trial purposes. The Company believes the claims filed by [24]7 Customer Inc. are entirely without merit and intends to defend them vigorously.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w:t>
      </w:r>
    </w:p>
    <w:p>
      <w:pPr>
        <w:spacing w:after="0" w:line="3" w:lineRule="exact"/>
        <w:rPr>
          <w:sz w:val="20"/>
          <w:szCs w:val="20"/>
          <w:color w:val="auto"/>
        </w:rPr>
      </w:pPr>
    </w:p>
    <w:p>
      <w:pPr>
        <w:jc w:val="both"/>
        <w:ind w:firstLine="8"/>
        <w:spacing w:after="0" w:line="271" w:lineRule="auto"/>
        <w:tabs>
          <w:tab w:leader="none" w:pos="3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ind w:right="3980"/>
        <w:spacing w:after="0" w:line="378" w:lineRule="auto"/>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 General</w:t>
      </w:r>
    </w:p>
    <w:p>
      <w:pPr>
        <w:jc w:val="both"/>
        <w:ind w:firstLine="648"/>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LivePerson was incorporated in the State of Delaware in November 1995 and the LivePerson service was introduced in November 1998. We are a leading provider of mobile and online messaging technologies that power digital communication between brands and consumers. LiveEngage, the Company’s enterprise-class, cloud-based platform, enables businesses to create a meaningful connection with consumers by offering messaging as a preferred channel of communication. Messaging diminishes the need to rely on outdated email systems or call a 1-800 number. Brands leverage LiveEngage’s sophisticated intelligence engine and suite of text and mobile messaging, real-time chat messaging, content delivery, and cobrowsing offerings to proactively engage with consumers through m-dot sites, mobile apps, the desktop, social media and third-party consumer messaging platforms. Our campaign-based messaging enables the brand to target the right consumer at the right time on a brand's site by leveraging proprietary analysis and data driven intelligence.</w:t>
      </w:r>
    </w:p>
    <w:p>
      <w:pPr>
        <w:spacing w:after="0" w:line="5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We are organized into two operating segments: Business and Consumer. The Business segment enables brands to leverage LiveEngage’s sophisticated intelligence engine and suite of online and mobile messaging offerings to proactively engage with consumers. The Consumer segment facilitates online transactions between independent service providers (“Experts”) and individual consumers (“Users”) seeking information and knowledge for a fee via mobile and online messaging.</w:t>
      </w:r>
    </w:p>
    <w:p>
      <w:pPr>
        <w:spacing w:after="0" w:line="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sustain growth in these segments, our strategy is to expand our position as the leading provider of online and mobile messaging solutions that facilitate meaningful connection and expert advice. To accomplish this, we are focused on the following current initiatives:</w:t>
      </w:r>
    </w:p>
    <w:p>
      <w:pPr>
        <w:spacing w:after="0" w:line="38" w:lineRule="exact"/>
        <w:rPr>
          <w:sz w:val="20"/>
          <w:szCs w:val="20"/>
          <w:color w:val="auto"/>
        </w:rPr>
      </w:pPr>
    </w:p>
    <w:p>
      <w:pPr>
        <w:jc w:val="both"/>
        <w:ind w:left="460" w:hanging="330"/>
        <w:spacing w:after="0" w:line="30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Expanding Business with Existing Customers and Adding New Customers. </w:t>
      </w:r>
      <w:r>
        <w:rPr>
          <w:rFonts w:ascii="Arial" w:cs="Arial" w:eastAsia="Arial" w:hAnsi="Arial"/>
          <w:sz w:val="16"/>
          <w:szCs w:val="16"/>
          <w:color w:val="auto"/>
        </w:rPr>
        <w:t>We segmented our sales organization to increase productivity. Our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are solely focused on adding new customers, while our account managers are tasked with retaining and expanding existing customers.We also anticipate leveraging our LiveEngage platform to increase adoption of real-time, campaign-based messaging across our customer’s online properties and to expand with brands offline, by shifting onto our mobile messaging platform a portion of calls made to 1-800 numbers.</w:t>
      </w:r>
    </w:p>
    <w:p>
      <w:pPr>
        <w:spacing w:after="0" w:line="46" w:lineRule="exact"/>
        <w:rPr>
          <w:rFonts w:ascii="Arial" w:cs="Arial" w:eastAsia="Arial" w:hAnsi="Arial"/>
          <w:sz w:val="16"/>
          <w:szCs w:val="16"/>
          <w:color w:val="auto"/>
        </w:rPr>
      </w:pPr>
    </w:p>
    <w:p>
      <w:pPr>
        <w:jc w:val="both"/>
        <w:ind w:left="460" w:hanging="330"/>
        <w:spacing w:after="0" w:line="25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Introducing New Products and Capabilities. </w:t>
      </w:r>
      <w:r>
        <w:rPr>
          <w:rFonts w:ascii="Arial" w:cs="Arial" w:eastAsia="Arial" w:hAnsi="Arial"/>
          <w:sz w:val="18"/>
          <w:szCs w:val="18"/>
          <w:color w:val="auto"/>
        </w:rPr>
        <w:t>We are investing in product marketing, mobile resources, research and development, and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to support our efforts to build and launch new products and capabilities, to support existing customer deployments, and to further penetrate our total addressable market. These investments are initially focused in the areas of online and mobile consumer engagement, enhanced data and reporting and chat transcript text analysis. Over time, we expect to develop and launch additional capabilities that leverage our existing market position as a leader in mobile and online messaging.</w:t>
      </w:r>
    </w:p>
    <w:p>
      <w:pPr>
        <w:spacing w:after="0" w:line="80" w:lineRule="exact"/>
        <w:rPr>
          <w:rFonts w:ascii="Arial" w:cs="Arial" w:eastAsia="Arial" w:hAnsi="Arial"/>
          <w:sz w:val="18"/>
          <w:szCs w:val="18"/>
          <w:color w:val="auto"/>
        </w:rPr>
      </w:pPr>
    </w:p>
    <w:p>
      <w:pPr>
        <w:jc w:val="both"/>
        <w:ind w:left="460" w:hanging="330"/>
        <w:spacing w:after="0" w:line="25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Leveraging Partners to Enhance our Offering. </w:t>
      </w:r>
      <w:r>
        <w:rPr>
          <w:rFonts w:ascii="Arial" w:cs="Arial" w:eastAsia="Arial" w:hAnsi="Arial"/>
          <w:sz w:val="18"/>
          <w:szCs w:val="18"/>
          <w:color w:val="auto"/>
        </w:rPr>
        <w:t>In addition to developing our own applications, we continue to cultivate a partner eco-system capable of</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additional applications and services to our customers. For example, in 2015 we integrated LiveEngage with one of the leading consumer messaging platforms. In addition, we have opened up access to our platform and our products with application programming interfaces (APIs) that allow third parties to develop on top of our platform. Customers and partners can utilize these APIs to build our capabilities into their own applications and to enhance our applications with their services.</w:t>
      </w:r>
    </w:p>
    <w:p>
      <w:pPr>
        <w:spacing w:after="0" w:line="80" w:lineRule="exact"/>
        <w:rPr>
          <w:rFonts w:ascii="Arial" w:cs="Arial" w:eastAsia="Arial" w:hAnsi="Arial"/>
          <w:sz w:val="18"/>
          <w:szCs w:val="18"/>
          <w:color w:val="auto"/>
        </w:rPr>
      </w:pPr>
    </w:p>
    <w:p>
      <w:pPr>
        <w:jc w:val="both"/>
        <w:ind w:left="460" w:hanging="330"/>
        <w:spacing w:after="0" w:line="25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Maintaining Market Leadership in Technology and Security Expertise. </w:t>
      </w:r>
      <w:r>
        <w:rPr>
          <w:rFonts w:ascii="Arial" w:cs="Arial" w:eastAsia="Arial" w:hAnsi="Arial"/>
          <w:sz w:val="18"/>
          <w:szCs w:val="18"/>
          <w:color w:val="auto"/>
        </w:rPr>
        <w:t>As described above, we are devoting significant resources to creating new</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enabling technologies designed to accelerate innovation and delivery of new products and technologies to our customer base.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ind w:left="460"/>
        <w:spacing w:after="0" w:line="324" w:lineRule="auto"/>
        <w:rPr>
          <w:sz w:val="20"/>
          <w:szCs w:val="20"/>
          <w:color w:val="auto"/>
        </w:rPr>
      </w:pPr>
      <w:r>
        <w:rPr>
          <w:rFonts w:ascii="Arial" w:cs="Arial" w:eastAsia="Arial" w:hAnsi="Arial"/>
          <w:sz w:val="18"/>
          <w:szCs w:val="18"/>
          <w:color w:val="auto"/>
        </w:rPr>
        <w:t>the demands of the world’s largest and most demanding corporations. We believe that these efforts will allow us to effectively anticipate changing customer and consumer requirements in our rapidly evolving industry.</w:t>
      </w:r>
    </w:p>
    <w:p>
      <w:pPr>
        <w:spacing w:after="0" w:line="35" w:lineRule="exact"/>
        <w:rPr>
          <w:sz w:val="20"/>
          <w:szCs w:val="20"/>
          <w:color w:val="auto"/>
        </w:rPr>
      </w:pPr>
    </w:p>
    <w:p>
      <w:pPr>
        <w:jc w:val="both"/>
        <w:ind w:left="460" w:hanging="330"/>
        <w:spacing w:after="0" w:line="286"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Expanding our International Presence. </w:t>
      </w:r>
      <w:r>
        <w:rPr>
          <w:rFonts w:ascii="Arial" w:cs="Arial" w:eastAsia="Arial" w:hAnsi="Arial"/>
          <w:sz w:val="17"/>
          <w:szCs w:val="17"/>
          <w:color w:val="auto"/>
        </w:rPr>
        <w:t>We continue to invest in sales and support personnel in the United Kingdom, Asia-Pacific, Latin America and</w:t>
      </w:r>
      <w:r>
        <w:rPr>
          <w:rFonts w:ascii="Arial" w:cs="Arial" w:eastAsia="Arial" w:hAnsi="Arial"/>
          <w:sz w:val="17"/>
          <w:szCs w:val="17"/>
          <w:i w:val="1"/>
          <w:iCs w:val="1"/>
          <w:color w:val="auto"/>
        </w:rPr>
        <w:t xml:space="preserve"> </w:t>
      </w:r>
      <w:r>
        <w:rPr>
          <w:rFonts w:ascii="Arial" w:cs="Arial" w:eastAsia="Arial" w:hAnsi="Arial"/>
          <w:sz w:val="17"/>
          <w:szCs w:val="17"/>
          <w:color w:val="auto"/>
        </w:rPr>
        <w:t>Western Europe. We are also working with sales and support partners in the Asia-Pacific region. We continue to improve our e-commerce capabilities, and the multi-language and translation capabilities within our hosted solutions to further support international expansion.</w:t>
      </w:r>
    </w:p>
    <w:p>
      <w:pPr>
        <w:spacing w:after="0" w:line="57" w:lineRule="exact"/>
        <w:rPr>
          <w:rFonts w:ascii="Arial" w:cs="Arial" w:eastAsia="Arial" w:hAnsi="Arial"/>
          <w:sz w:val="17"/>
          <w:szCs w:val="17"/>
          <w:color w:val="auto"/>
        </w:rPr>
      </w:pPr>
    </w:p>
    <w:p>
      <w:pPr>
        <w:jc w:val="both"/>
        <w:ind w:left="460" w:hanging="330"/>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Continuing to Build Brand Recognition. </w:t>
      </w:r>
      <w:r>
        <w:rPr>
          <w:rFonts w:ascii="Arial" w:cs="Arial" w:eastAsia="Arial" w:hAnsi="Arial"/>
          <w:sz w:val="18"/>
          <w:szCs w:val="18"/>
          <w:color w:val="auto"/>
        </w:rPr>
        <w:t>As a pioneer of brand-to-consumer digital messaging, LivePerson enjoys strong brand recognition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credibility. Our focus on creating meaningful connections among employees, with our customers, and between brands and their consumers, is a key component of our culture and our market strategy. We strategically target decision makers and influencers within key vertical markets, leveraging customer successes to generate increased awareness and demand for brand-to-consumer messaging.</w:t>
      </w:r>
    </w:p>
    <w:p>
      <w:pPr>
        <w:spacing w:after="0" w:line="78" w:lineRule="exact"/>
        <w:rPr>
          <w:rFonts w:ascii="Arial" w:cs="Arial" w:eastAsia="Arial" w:hAnsi="Arial"/>
          <w:sz w:val="18"/>
          <w:szCs w:val="18"/>
          <w:color w:val="auto"/>
        </w:rPr>
      </w:pPr>
    </w:p>
    <w:p>
      <w:pPr>
        <w:jc w:val="both"/>
        <w:ind w:left="460" w:hanging="330"/>
        <w:spacing w:after="0" w:line="276"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Increasing the Value of Our Service to Our Customers. </w:t>
      </w:r>
      <w:r>
        <w:rPr>
          <w:rFonts w:ascii="Arial" w:cs="Arial" w:eastAsia="Arial" w:hAnsi="Arial"/>
          <w:sz w:val="17"/>
          <w:szCs w:val="17"/>
          <w:color w:val="auto"/>
        </w:rPr>
        <w:t>We regularly add both new products and services, and new features and functionality to our</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services to further enhance value to our customers. Because we directly manage the server infrastructure, we can make new features available to our customers immediately upon release, without customer or end-user installation of software or hardware. We continue to enhance our reporting, analysis, and administrative tools as part of our overall portfolio of services, as well as our ability to capture, analyze, and report on the substantial amount of online activity data we collect on behalf of our customers to further our customers’ online strategies.</w:t>
      </w:r>
    </w:p>
    <w:p>
      <w:pPr>
        <w:spacing w:after="0" w:line="64" w:lineRule="exact"/>
        <w:rPr>
          <w:rFonts w:ascii="Arial" w:cs="Arial" w:eastAsia="Arial" w:hAnsi="Arial"/>
          <w:sz w:val="17"/>
          <w:szCs w:val="17"/>
          <w:color w:val="auto"/>
        </w:rPr>
      </w:pPr>
    </w:p>
    <w:p>
      <w:pPr>
        <w:jc w:val="both"/>
        <w:ind w:left="460" w:hanging="330"/>
        <w:spacing w:after="0" w:line="276"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Evaluating Strategic Alliances and Acquisitions When Appropriate. </w:t>
      </w:r>
      <w:r>
        <w:rPr>
          <w:rFonts w:ascii="Arial" w:cs="Arial" w:eastAsia="Arial" w:hAnsi="Arial"/>
          <w:sz w:val="17"/>
          <w:szCs w:val="17"/>
          <w:color w:val="auto"/>
        </w:rPr>
        <w:t>We have successfully integrated several acquisitions over the past decade.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to our acquisition of Engage referenced above, most recently we acquired Contact At Once!, LLC. (“CAO!”), a unique messaging platform with leading market share in the automotive industry. While we have in 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overview of the three months ended March 31, 2016 compared to the three months ended March 31, 2015:</w:t>
      </w:r>
    </w:p>
    <w:p>
      <w:pPr>
        <w:spacing w:after="0" w:line="117" w:lineRule="exact"/>
        <w:rPr>
          <w:sz w:val="20"/>
          <w:szCs w:val="20"/>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revenue decreased 7% to $55.5 million from $59.8 million.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from our Business segment decreased 8% to $51.7 million from $56.1 million.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profit margin decreased to 71% from 73%.</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and expenses decreased 6% to $58.2 million from $61.8 million.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loss increased to $2.7 million from $2.1 million.</w:t>
      </w:r>
    </w:p>
    <w:p>
      <w:pPr>
        <w:spacing w:after="0" w:line="117"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per enterprise and mid-market customer averaged $200,000 over the trailing twelve months ended March 31, 2016, a 18% sequential increase as compared to the $170,000 calculated for the trailing twelve months ended March 31, 2015. These figures are pro forma to exclude contributions from one large customer contract that ended in 2015.</w:t>
      </w:r>
    </w:p>
    <w:p>
      <w:pPr>
        <w:spacing w:after="0" w:line="7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renewal rate for enterprise and mid-market customers was 83% over the trailing twelve months ended March 31, 2016 compared to 84% in December 31, 2015.</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and Adjusted Net (Loss) Income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and adjusted net income which are non-GAAP financial measures. The tables below present a reconciliation of adjusted EBITDA and adjusted net income to net loss, the most directly comparable GAAP financial measures.</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included adjusted EBITDA and adjusted net income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net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net income provide useful information to investors and others in understanding and evaluating our operating results in the same manner as our management and board of directors.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11" w:right="239" w:bottom="1440" w:gutter="0" w:footer="0" w:header="0"/>
        </w:sectPr>
      </w:pPr>
    </w:p>
    <w:bookmarkStart w:id="23" w:name="page24"/>
    <w:bookmarkEnd w:id="23"/>
    <w:p>
      <w:pPr>
        <w:ind w:right="20" w:firstLine="648"/>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jc w:val="both"/>
        <w:ind w:left="1140" w:hanging="322"/>
        <w:spacing w:after="0" w:line="264"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19"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equity-based compensation;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restructuring cost;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acquisition cost;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income (loss) and our other GAAP results. The following table presents a reconciliation of adjusted EBITDA for each of the periods indicated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263"/>
        </w:trPr>
        <w:tc>
          <w:tcPr>
            <w:tcW w:w="84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b w:val="1"/>
                <w:bCs w:val="1"/>
                <w:color w:val="auto"/>
              </w:rPr>
              <w:t>Reconciliation of Adjusted EBITDA</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76"/>
        </w:trPr>
        <w:tc>
          <w:tcPr>
            <w:tcW w:w="84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GAAP net loss</w:t>
            </w:r>
          </w:p>
        </w:tc>
        <w:tc>
          <w:tcPr>
            <w:tcW w:w="960" w:type="dxa"/>
            <w:vAlign w:val="bottom"/>
            <w:shd w:val="clear" w:color="auto" w:fill="CCFFCC"/>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99"/>
              </w:rPr>
              <w:t>(2,663)</w:t>
            </w:r>
          </w:p>
        </w:tc>
        <w:tc>
          <w:tcPr>
            <w:tcW w:w="10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FFCC"/>
          </w:tcPr>
          <w:p>
            <w:pPr>
              <w:jc w:val="right"/>
              <w:spacing w:after="0"/>
              <w:rPr>
                <w:sz w:val="20"/>
                <w:szCs w:val="20"/>
                <w:color w:val="auto"/>
              </w:rPr>
            </w:pPr>
            <w:r>
              <w:rPr>
                <w:rFonts w:ascii="Arial" w:cs="Arial" w:eastAsia="Arial" w:hAnsi="Arial"/>
                <w:sz w:val="14"/>
                <w:szCs w:val="14"/>
                <w:color w:val="auto"/>
                <w:w w:val="90"/>
              </w:rPr>
              <w:t>(2,058)</w:t>
            </w:r>
          </w:p>
        </w:tc>
      </w:tr>
      <w:tr>
        <w:trPr>
          <w:trHeight w:val="264"/>
        </w:trPr>
        <w:tc>
          <w:tcPr>
            <w:tcW w:w="8460" w:type="dxa"/>
            <w:vAlign w:val="bottom"/>
          </w:tcPr>
          <w:p>
            <w:pPr>
              <w:ind w:left="280"/>
              <w:spacing w:after="0"/>
              <w:rPr>
                <w:sz w:val="20"/>
                <w:szCs w:val="20"/>
                <w:color w:val="auto"/>
              </w:rPr>
            </w:pPr>
            <w:r>
              <w:rPr>
                <w:rFonts w:ascii="Arial" w:cs="Arial" w:eastAsia="Arial" w:hAnsi="Arial"/>
                <w:sz w:val="14"/>
                <w:szCs w:val="14"/>
                <w:color w:val="auto"/>
              </w:rPr>
              <w:t>Amortization of purchased intangibles</w:t>
            </w:r>
          </w:p>
        </w:tc>
        <w:tc>
          <w:tcPr>
            <w:tcW w:w="96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1,621</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2,152</w:t>
            </w:r>
          </w:p>
        </w:tc>
      </w:tr>
      <w:tr>
        <w:trPr>
          <w:trHeight w:val="276"/>
        </w:trPr>
        <w:tc>
          <w:tcPr>
            <w:tcW w:w="84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Stock-based compensation</w:t>
            </w:r>
          </w:p>
        </w:tc>
        <w:tc>
          <w:tcPr>
            <w:tcW w:w="960" w:type="dxa"/>
            <w:vAlign w:val="bottom"/>
            <w:shd w:val="clear" w:color="auto" w:fill="CCFFCC"/>
          </w:tcPr>
          <w:p>
            <w:pPr>
              <w:spacing w:after="0"/>
              <w:rPr>
                <w:sz w:val="24"/>
                <w:szCs w:val="24"/>
                <w:color w:val="auto"/>
              </w:rPr>
            </w:pPr>
          </w:p>
        </w:tc>
        <w:tc>
          <w:tcPr>
            <w:tcW w:w="5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2,319</w:t>
            </w:r>
          </w:p>
        </w:tc>
        <w:tc>
          <w:tcPr>
            <w:tcW w:w="10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4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2,794</w:t>
            </w:r>
          </w:p>
        </w:tc>
      </w:tr>
      <w:tr>
        <w:trPr>
          <w:trHeight w:val="264"/>
        </w:trPr>
        <w:tc>
          <w:tcPr>
            <w:tcW w:w="846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96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3,167</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2,578</w:t>
            </w:r>
          </w:p>
        </w:tc>
      </w:tr>
      <w:tr>
        <w:trPr>
          <w:trHeight w:val="276"/>
        </w:trPr>
        <w:tc>
          <w:tcPr>
            <w:tcW w:w="84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Provision for (benefit from) income taxes</w:t>
            </w:r>
          </w:p>
        </w:tc>
        <w:tc>
          <w:tcPr>
            <w:tcW w:w="960" w:type="dxa"/>
            <w:vAlign w:val="bottom"/>
            <w:shd w:val="clear" w:color="auto" w:fill="CCFFCC"/>
          </w:tcPr>
          <w:p>
            <w:pPr>
              <w:spacing w:after="0"/>
              <w:rPr>
                <w:sz w:val="24"/>
                <w:szCs w:val="24"/>
                <w:color w:val="auto"/>
              </w:rPr>
            </w:pPr>
          </w:p>
        </w:tc>
        <w:tc>
          <w:tcPr>
            <w:tcW w:w="5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(228)</w:t>
            </w:r>
          </w:p>
        </w:tc>
      </w:tr>
      <w:tr>
        <w:trPr>
          <w:trHeight w:val="264"/>
        </w:trPr>
        <w:tc>
          <w:tcPr>
            <w:tcW w:w="8460" w:type="dxa"/>
            <w:vAlign w:val="bottom"/>
            <w:tcBorders>
              <w:bottom w:val="single" w:sz="8" w:color="CCFFCC"/>
            </w:tcBorders>
          </w:tcPr>
          <w:p>
            <w:pPr>
              <w:ind w:left="280"/>
              <w:spacing w:after="0"/>
              <w:rPr>
                <w:sz w:val="20"/>
                <w:szCs w:val="20"/>
                <w:color w:val="auto"/>
              </w:rPr>
            </w:pPr>
            <w:r>
              <w:rPr>
                <w:rFonts w:ascii="Arial" w:cs="Arial" w:eastAsia="Arial" w:hAnsi="Arial"/>
                <w:sz w:val="14"/>
                <w:szCs w:val="14"/>
                <w:color w:val="auto"/>
              </w:rPr>
              <w:t>Other (income)/expense</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(634)</w:t>
            </w:r>
          </w:p>
        </w:tc>
        <w:tc>
          <w:tcPr>
            <w:tcW w:w="100" w:type="dxa"/>
            <w:vAlign w:val="bottom"/>
            <w:tcBorders>
              <w:bottom w:val="single" w:sz="8" w:color="CCFFCC"/>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w:t>
            </w:r>
          </w:p>
        </w:tc>
      </w:tr>
      <w:tr>
        <w:trPr>
          <w:trHeight w:val="243"/>
        </w:trPr>
        <w:tc>
          <w:tcPr>
            <w:tcW w:w="84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Adjusted EBITDA</w:t>
            </w:r>
          </w:p>
        </w:tc>
        <w:tc>
          <w:tcPr>
            <w:tcW w:w="960" w:type="dxa"/>
            <w:vAlign w:val="bottom"/>
            <w:tcBorders>
              <w:bottom w:val="single" w:sz="8" w:color="auto"/>
            </w:tcBorders>
            <w:shd w:val="clear" w:color="auto" w:fill="CCFFCC"/>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4,364</w:t>
            </w:r>
          </w:p>
        </w:tc>
        <w:tc>
          <w:tcPr>
            <w:tcW w:w="10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5,469</w:t>
            </w:r>
          </w:p>
        </w:tc>
      </w:tr>
      <w:tr>
        <w:trPr>
          <w:trHeight w:val="20"/>
        </w:trPr>
        <w:tc>
          <w:tcPr>
            <w:tcW w:w="8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use of adjusted net income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ind w:left="1140" w:hanging="322"/>
        <w:spacing w:after="0" w:line="298" w:lineRule="auto"/>
        <w:tabs>
          <w:tab w:leader="none" w:pos="1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although amortization are non-cash charges, the assets being amortized may have to be replaced in the future, and adjusted net income does not reflect cash capital expenditure requirements for such replacements or for new capital expenditure requirements;</w:t>
      </w: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equity-based compensation;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restructuring cost;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acquisition cost;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deferred tax asset valuation allowance;</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net income differently, which reduces its usefulness as a comparative measure.</w:t>
      </w:r>
    </w:p>
    <w:p>
      <w:pPr>
        <w:spacing w:after="0" w:line="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net income alongside other financial performance measures, including various cash flow metrics, net loss and our other GAAP results. The following table presents a reconciliation of adjusted net (loss) income for each of the periods indicated (amounts in thousands):</w:t>
      </w:r>
    </w:p>
    <w:p>
      <w:pPr>
        <w:spacing w:after="0" w:line="29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63"/>
        </w:trPr>
        <w:tc>
          <w:tcPr>
            <w:tcW w:w="76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64"/>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Reconciliation of Adjusted Net (Loss) Income</w:t>
            </w:r>
          </w:p>
        </w:tc>
        <w:tc>
          <w:tcPr>
            <w:tcW w:w="9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276"/>
        </w:trPr>
        <w:tc>
          <w:tcPr>
            <w:tcW w:w="7680" w:type="dxa"/>
            <w:vAlign w:val="bottom"/>
            <w:shd w:val="clear" w:color="auto" w:fill="CCFFCC"/>
          </w:tcPr>
          <w:p>
            <w:pPr>
              <w:ind w:left="260"/>
              <w:spacing w:after="0"/>
              <w:rPr>
                <w:sz w:val="20"/>
                <w:szCs w:val="20"/>
                <w:color w:val="auto"/>
              </w:rPr>
            </w:pPr>
            <w:r>
              <w:rPr>
                <w:rFonts w:ascii="Arial" w:cs="Arial" w:eastAsia="Arial" w:hAnsi="Arial"/>
                <w:sz w:val="14"/>
                <w:szCs w:val="14"/>
                <w:color w:val="auto"/>
              </w:rPr>
              <w:t>GAAP net loss</w:t>
            </w:r>
          </w:p>
        </w:tc>
        <w:tc>
          <w:tcPr>
            <w:tcW w:w="940" w:type="dxa"/>
            <w:vAlign w:val="bottom"/>
            <w:shd w:val="clear" w:color="auto" w:fill="CCFFCC"/>
          </w:tcPr>
          <w:p>
            <w:pPr>
              <w:jc w:val="right"/>
              <w:ind w:right="7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99"/>
              </w:rPr>
              <w:t>(2,663)</w:t>
            </w:r>
          </w:p>
        </w:tc>
        <w:tc>
          <w:tcPr>
            <w:tcW w:w="1260" w:type="dxa"/>
            <w:vAlign w:val="bottom"/>
            <w:gridSpan w:val="2"/>
            <w:shd w:val="clear" w:color="auto" w:fill="CCFFCC"/>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4"/>
                <w:szCs w:val="14"/>
                <w:color w:val="auto"/>
                <w:w w:val="99"/>
              </w:rPr>
              <w:t>(2,058)</w:t>
            </w:r>
          </w:p>
        </w:tc>
        <w:tc>
          <w:tcPr>
            <w:tcW w:w="140" w:type="dxa"/>
            <w:vAlign w:val="bottom"/>
          </w:tcPr>
          <w:p>
            <w:pPr>
              <w:spacing w:after="0"/>
              <w:rPr>
                <w:sz w:val="24"/>
                <w:szCs w:val="24"/>
                <w:color w:val="auto"/>
              </w:rPr>
            </w:pPr>
          </w:p>
        </w:tc>
      </w:tr>
      <w:tr>
        <w:trPr>
          <w:trHeight w:val="264"/>
        </w:trPr>
        <w:tc>
          <w:tcPr>
            <w:tcW w:w="7680" w:type="dxa"/>
            <w:vAlign w:val="bottom"/>
          </w:tcPr>
          <w:p>
            <w:pPr>
              <w:ind w:left="260"/>
              <w:spacing w:after="0"/>
              <w:rPr>
                <w:sz w:val="20"/>
                <w:szCs w:val="20"/>
                <w:color w:val="auto"/>
              </w:rPr>
            </w:pPr>
            <w:r>
              <w:rPr>
                <w:rFonts w:ascii="Arial" w:cs="Arial" w:eastAsia="Arial" w:hAnsi="Arial"/>
                <w:sz w:val="14"/>
                <w:szCs w:val="14"/>
                <w:color w:val="auto"/>
              </w:rPr>
              <w:t>Amortization of purchased intangibles</w:t>
            </w:r>
          </w:p>
        </w:tc>
        <w:tc>
          <w:tcPr>
            <w:tcW w:w="94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1,621</w:t>
            </w: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2,152</w:t>
            </w:r>
          </w:p>
        </w:tc>
        <w:tc>
          <w:tcPr>
            <w:tcW w:w="140" w:type="dxa"/>
            <w:vAlign w:val="bottom"/>
          </w:tcPr>
          <w:p>
            <w:pPr>
              <w:spacing w:after="0"/>
              <w:rPr>
                <w:sz w:val="22"/>
                <w:szCs w:val="22"/>
                <w:color w:val="auto"/>
              </w:rPr>
            </w:pPr>
          </w:p>
        </w:tc>
      </w:tr>
      <w:tr>
        <w:trPr>
          <w:trHeight w:val="276"/>
        </w:trPr>
        <w:tc>
          <w:tcPr>
            <w:tcW w:w="7680" w:type="dxa"/>
            <w:vAlign w:val="bottom"/>
            <w:shd w:val="clear" w:color="auto" w:fill="CCFFCC"/>
          </w:tcPr>
          <w:p>
            <w:pPr>
              <w:ind w:left="260"/>
              <w:spacing w:after="0"/>
              <w:rPr>
                <w:sz w:val="20"/>
                <w:szCs w:val="20"/>
                <w:color w:val="auto"/>
              </w:rPr>
            </w:pPr>
            <w:r>
              <w:rPr>
                <w:rFonts w:ascii="Arial" w:cs="Arial" w:eastAsia="Arial" w:hAnsi="Arial"/>
                <w:sz w:val="14"/>
                <w:szCs w:val="14"/>
                <w:color w:val="auto"/>
              </w:rPr>
              <w:t>Stock-based compensation</w:t>
            </w:r>
          </w:p>
        </w:tc>
        <w:tc>
          <w:tcPr>
            <w:tcW w:w="940" w:type="dxa"/>
            <w:vAlign w:val="bottom"/>
            <w:shd w:val="clear" w:color="auto" w:fill="CCFFCC"/>
          </w:tcPr>
          <w:p>
            <w:pPr>
              <w:spacing w:after="0"/>
              <w:rPr>
                <w:sz w:val="24"/>
                <w:szCs w:val="24"/>
                <w:color w:val="auto"/>
              </w:rPr>
            </w:pPr>
          </w:p>
        </w:tc>
        <w:tc>
          <w:tcPr>
            <w:tcW w:w="5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2,319</w:t>
            </w:r>
          </w:p>
        </w:tc>
        <w:tc>
          <w:tcPr>
            <w:tcW w:w="34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5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2,794</w:t>
            </w:r>
          </w:p>
        </w:tc>
        <w:tc>
          <w:tcPr>
            <w:tcW w:w="140" w:type="dxa"/>
            <w:vAlign w:val="bottom"/>
          </w:tcPr>
          <w:p>
            <w:pPr>
              <w:spacing w:after="0"/>
              <w:rPr>
                <w:sz w:val="24"/>
                <w:szCs w:val="24"/>
                <w:color w:val="auto"/>
              </w:rPr>
            </w:pPr>
          </w:p>
        </w:tc>
      </w:tr>
      <w:tr>
        <w:trPr>
          <w:trHeight w:val="197"/>
        </w:trPr>
        <w:tc>
          <w:tcPr>
            <w:tcW w:w="7680" w:type="dxa"/>
            <w:vAlign w:val="bottom"/>
          </w:tcPr>
          <w:p>
            <w:pPr>
              <w:ind w:left="260"/>
              <w:spacing w:after="0"/>
              <w:rPr>
                <w:sz w:val="20"/>
                <w:szCs w:val="20"/>
                <w:color w:val="auto"/>
              </w:rPr>
            </w:pPr>
            <w:r>
              <w:rPr>
                <w:rFonts w:ascii="Arial" w:cs="Arial" w:eastAsia="Arial" w:hAnsi="Arial"/>
                <w:sz w:val="14"/>
                <w:szCs w:val="14"/>
                <w:color w:val="auto"/>
              </w:rPr>
              <w:t>Income tax effect of non-GAAP items</w:t>
            </w:r>
          </w:p>
        </w:tc>
        <w:tc>
          <w:tcPr>
            <w:tcW w:w="94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w w:val="99"/>
              </w:rPr>
              <w:t>(1,379)</w:t>
            </w:r>
          </w:p>
        </w:tc>
        <w:tc>
          <w:tcPr>
            <w:tcW w:w="340" w:type="dxa"/>
            <w:vAlign w:val="bottom"/>
          </w:tcPr>
          <w:p>
            <w:pPr>
              <w:jc w:val="right"/>
              <w:ind w:right="137"/>
              <w:spacing w:after="0"/>
              <w:rPr>
                <w:sz w:val="20"/>
                <w:szCs w:val="20"/>
                <w:color w:val="auto"/>
              </w:rPr>
            </w:pPr>
            <w:r>
              <w:rPr>
                <w:rFonts w:ascii="Arial" w:cs="Arial" w:eastAsia="Arial" w:hAnsi="Arial"/>
                <w:sz w:val="9"/>
                <w:szCs w:val="9"/>
                <w:color w:val="auto"/>
              </w:rPr>
              <w:t>(1)</w:t>
            </w:r>
          </w:p>
        </w:tc>
        <w:tc>
          <w:tcPr>
            <w:tcW w:w="9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 xml:space="preserve">(526) </w:t>
            </w:r>
            <w:r>
              <w:rPr>
                <w:rFonts w:ascii="Arial" w:cs="Arial" w:eastAsia="Arial" w:hAnsi="Arial"/>
                <w:sz w:val="8"/>
                <w:szCs w:val="8"/>
                <w:color w:val="auto"/>
              </w:rPr>
              <w:t>(2)</w:t>
            </w:r>
          </w:p>
        </w:tc>
      </w:tr>
      <w:tr>
        <w:trPr>
          <w:trHeight w:val="243"/>
        </w:trPr>
        <w:tc>
          <w:tcPr>
            <w:tcW w:w="768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Adjusted net (loss) income</w:t>
            </w:r>
          </w:p>
        </w:tc>
        <w:tc>
          <w:tcPr>
            <w:tcW w:w="940" w:type="dxa"/>
            <w:vAlign w:val="bottom"/>
            <w:tcBorders>
              <w:top w:val="single" w:sz="8" w:color="auto"/>
              <w:bottom w:val="single" w:sz="8" w:color="auto"/>
            </w:tcBorders>
            <w:shd w:val="clear" w:color="auto" w:fill="CCFFCC"/>
          </w:tcPr>
          <w:p>
            <w:pPr>
              <w:jc w:val="right"/>
              <w:ind w:right="76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(102)</w:t>
            </w:r>
          </w:p>
        </w:tc>
        <w:tc>
          <w:tcPr>
            <w:tcW w:w="340" w:type="dxa"/>
            <w:vAlign w:val="bottom"/>
            <w:tcBorders>
              <w:top w:val="single" w:sz="8" w:color="CCFFCC"/>
              <w:bottom w:val="single" w:sz="8" w:color="CCFFCC"/>
            </w:tcBorders>
            <w:shd w:val="clear" w:color="auto" w:fill="CCFFCC"/>
          </w:tcPr>
          <w:p>
            <w:pPr>
              <w:spacing w:after="0"/>
              <w:rPr>
                <w:sz w:val="21"/>
                <w:szCs w:val="21"/>
                <w:color w:val="auto"/>
              </w:rPr>
            </w:pPr>
          </w:p>
        </w:tc>
        <w:tc>
          <w:tcPr>
            <w:tcW w:w="920" w:type="dxa"/>
            <w:vAlign w:val="bottom"/>
            <w:tcBorders>
              <w:top w:val="single" w:sz="8" w:color="auto"/>
              <w:bottom w:val="single" w:sz="8" w:color="auto"/>
            </w:tcBorders>
            <w:shd w:val="clear" w:color="auto" w:fill="CCFFCC"/>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2,362</w:t>
            </w:r>
          </w:p>
        </w:tc>
        <w:tc>
          <w:tcPr>
            <w:tcW w:w="140" w:type="dxa"/>
            <w:vAlign w:val="bottom"/>
          </w:tcPr>
          <w:p>
            <w:pPr>
              <w:spacing w:after="0"/>
              <w:rPr>
                <w:sz w:val="21"/>
                <w:szCs w:val="21"/>
                <w:color w:val="auto"/>
              </w:rPr>
            </w:pPr>
          </w:p>
        </w:tc>
      </w:tr>
      <w:tr>
        <w:trPr>
          <w:trHeight w:val="20"/>
        </w:trPr>
        <w:tc>
          <w:tcPr>
            <w:tcW w:w="7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4"/>
          <w:szCs w:val="14"/>
          <w:color w:val="auto"/>
        </w:rPr>
        <w:t>The Company's non-GAAP income tax effect uses a long-term projected tax rate of 35%.</w:t>
      </w:r>
    </w:p>
    <w:p>
      <w:pPr>
        <w:spacing w:after="0" w:line="32"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21"/>
        </w:numPr>
        <w:rPr>
          <w:rFonts w:ascii="Arial" w:cs="Arial" w:eastAsia="Arial" w:hAnsi="Arial"/>
          <w:sz w:val="19"/>
          <w:szCs w:val="19"/>
          <w:color w:val="auto"/>
          <w:vertAlign w:val="superscript"/>
        </w:rPr>
      </w:pPr>
      <w:r>
        <w:rPr>
          <w:rFonts w:ascii="Arial" w:cs="Arial" w:eastAsia="Arial" w:hAnsi="Arial"/>
          <w:sz w:val="13"/>
          <w:szCs w:val="13"/>
          <w:color w:val="auto"/>
        </w:rPr>
        <w:t>The Company's non-GAAP income tax effect was based on the effective tax rate, excluding discrete items.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584"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condensed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assumptions and estimates associated with revenue recognition,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The significant accounting policies which we believe are the most critical to aid in fully understanding and evaluating the reported consolidated financial results including the following: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Because we provide our application as a service, we follow the provisions of ASC 605-10-S99, “Revenue Recognition” and ASC 605-25, “Revenue Recognition with Multiple-Element Arrangements.” We charge a monthly fee, which varies by type of service, the level of customer usage and website traffic, and in some cases, the number of orders placed via our online engagement solutions.</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certain of our larger customers, we may provide call center labor through an arrangement with one or more of several qualified vendors. For most of these customers, we pass the fee we incur with the labor provider and our fee for the hosted services through to our customers in the form of a fixed fee for each order placed via our online engagement solutions. For these Pay for Performance (“PFP”) arrangements, in accordance with ASC 605-45, “Principal Agent Considerations,” we record revenue for transactions in which we act as an agent on a net basis, and revenue for transactions in which we act as a principal on a gross basis.</w:t>
      </w:r>
    </w:p>
    <w:p>
      <w:pPr>
        <w:spacing w:after="0" w:line="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also sell certain of the LivePerson services directly via Internet download. These services are marketed as LiveEngage for small to medium-sized businesses (“SMBs”), and are paid for almost exclusively by credit card. Credit card payments accelerate cash flow and reduce our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 monthly service revenue based upon the fee charged for the LivePerson services, provided that there is persuasive evidence of an arrangement, no significant obligations remain, collection of the resulting receivable is probable and the amount of fees to be paid is fixed or determinable. Our service agreements typically have twelve month terms and, in some cases, are terminable or may terminate upon 30 to 90 days’ notice without penalty. When professional service fees add value to the customer on a standalone basis, we recognize professional service fees upon completion of services. This guidance establishes a selling price hierarchy for determining the selling price of a deliverable, which is based on: (a) vendor-specific objective evidence; (b) third-party evidence; or (c) estimates. If a professional services arrangement does not qualify for separate accounting, we recognize the fees, and the related labor costs, ratably over the contracted period.</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revenue from our Consumer segment generated from online transactions between Experts and Users, we recognize revenue net of Expert fees in accordance with ASC 605-45, “Principal Agent Considerations,” due primarily to the fact that the Expert is the primary obligor. Additionally, we perform as an agent without any risk of loss for collection, and are not involved in selecting the Expert or establishing the Expert’s fee. We collect a fee from the consumer and retain a portion of the fee, and then remit the balance to the Expert. Revenue from these transactions is recognized when there is persuasive evidence of an arrangement, no significant obligations remain, collection of the resulting receivable is probable and the amount of fees to be paid is fixed or determinable.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2016, there was approximately $11.6 million of total unrecognized compensation cost related to nonvested stock options. That cost is expected to be recognized over a weighted average period of approximately 1.9 years. As of March 31,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2016, there was approximately $9.4 million of total unrecognized compensation cost related to nonvested restricted stock units. That cost is expected to be recognized over a weighted average period of approximately 3.2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customers are located primarily in the United States. 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we do have several large customers. If we experience a significant write-off from one of these large customers, it could have a material adverse impact on our condensed consolidated financial statements. No single customer accounted for or exceeded 10% of our total revenue in the three months ended March 31, 2016 and 2015. No individual customer accounted for 10% or more of accounts receivable as of March 31, 2016 and December 31, 2015. We decreased our allowance for doubtful accounts by $0.1 million to approximately $1.1 million, principally due to a decrease in accounts receivable.</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large portion of receivables are due from larger corporate customers that typically have longer payment cycles.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accordance with ASC 350, “Goodwill and Other Intangible Assets,” goodwill and indefinite-lived intangible assets are not amortized, but reviewed for impairment upon the occurrence of events or changes in circumstances that would reduce the fair value below its carrying amount. Goodwill is required to be tested for impairment at least annually. In September 2011, FASB issued ASU No. 2011-08, Intangibles — Goodwill and Other (Topic 350). ASU 2011-08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If it is determined that the fair value of a reporting unit is more likely than not to be less than its carrying value (including unrecognized intangible assets) than it is necessary to perform the second step of the goodwill impairment test. The second step of the goodwill impairment test is judgmental in nature and often involves the use of significant estimates and assumptions. Similarly, estimates and assumptions are used in determining the fair value of other intangible assets. These estimates and assumptions could have a significant impact on whether or not an impairment charge is recognized and also the magnitude of any such charge. We perform internal valuation analysis and consider other market information that is publicly available. Estimates of fair value are primarily determined using discounted cash flows and market comparisons. These approaches use significant estimates and assumptions including projected future cash flows (including timing), discount rates reflecting the risk inherent in future cash flows, perpetual growth rates, determination of appropriate market comparables and the determination of whether a premium or discount should be applied to such comparables.</w:t>
      </w:r>
    </w:p>
    <w:p>
      <w:pPr>
        <w:spacing w:after="0" w:line="7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color w:val="auto"/>
        </w:rPr>
        <w:t>We evaluate for goodwill impairment annually at September 30</w:t>
      </w:r>
      <w:r>
        <w:rPr>
          <w:rFonts w:ascii="Arial" w:cs="Arial" w:eastAsia="Arial" w:hAnsi="Arial"/>
          <w:sz w:val="24"/>
          <w:szCs w:val="24"/>
          <w:color w:val="auto"/>
          <w:vertAlign w:val="superscript"/>
        </w:rPr>
        <w:t>th</w:t>
      </w:r>
      <w:r>
        <w:rPr>
          <w:rFonts w:ascii="Arial" w:cs="Arial" w:eastAsia="Arial" w:hAnsi="Arial"/>
          <w:sz w:val="17"/>
          <w:szCs w:val="17"/>
          <w:color w:val="auto"/>
        </w:rPr>
        <w:t>. At the end of the third quarter of 2015, we determined that it was not more-likely that the fair value of the reporting units are less than their carrying amount. Accordingly, we did not perform the two-step goodwill impairment test.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 is measured as the difference between the carrying value and the fair value of the impaired asset. The Company does not have any long-lived assets, including intangible assets, which it considered to be impaired.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12, Legal Matters, of the Notes to the Consolidated Financial Statements for additional information on our legal proceedings and litigation.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2016, FASB issued Accounting Standards Update No. 2016-09, "Compensation —Stock Compensation (Topic 718): Improvements to Employee Share-Based Payment Accounting" ("ASU 2016-09"). This update is intended to improve the accounting for employee share-based payments and affects all organizations that issue share-based payment awards to their employees. Several aspects of the accounting for share-based payment award transactions are simplified, including:(a)income tax consequences;(b)classification of awards as either equity or liabilities; and(c)classification on the statement of cash flows. ASU 2016-09 is effective for financial statements issued for annual periods beginning after December 15, 2016. We are currently in the process of evaluating the impact of adoption of ASU 2016-09 on our financial statements.</w:t>
      </w:r>
    </w:p>
    <w:p>
      <w:pPr>
        <w:spacing w:after="0" w:line="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March 2016, FASB issued Accounting Standards Update No. 2016-05, "Derivatives and Hedging (Topic 815): Effect of Derivative Contract Novations on Existing Hedge Accounting Relationships" ("ASU 2016-05"). This update applies to all reporting entities for which there is a change in the counterparty to a derivative instrument that has been designated as a hedging instrument. The term novation, as it relates to derivative instruments, refers to replacing one of the parties to a derivative instrument with a new party. In practice, derivative instrument novations may occur for a variety of reasons, including financial institution mergers, intercompany transactions, an entity exiting a particular derivatives business or relationship, an entity managing against internal credit limits, or in response to laws or regulatory requirements. The derivative instrument that is the subject of a novation may be the hedging instrument in a hedging relationship that has been designated under Topic 815, Derivatives and Hedging. This update clarifies that a change in the counterparty to a derivative instrument that has been designated as the hedging instrument does not, in and of itself, require dedesignation of that hedging relationship provided that all other hedge accounting criteria. ASU 2016-05 is effective for financial statements issued for annual periods beginning after December 15, 2016. We are currently in the process of evaluating the impact of adoption of ASU 2016-05 on our financial statements.</w:t>
      </w:r>
    </w:p>
    <w:p>
      <w:pPr>
        <w:spacing w:after="0" w:line="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February 2016, FASB issued Accounting Standards Update No. 2016-02, "Leases" ("ASU 2016-02"). ASU 2016-02 requires lessees to recognize the following for all leases (with the exception of short-term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Lessees will no longer be provided with a source of off-balance sheet financing.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ASU 2016-02 is effective for financial statements issued for annual periods beginning after December 15, 2018. We are currently in the process of evaluating the impact of adoption of ASU 2016-02 on our financial statements.</w:t>
      </w:r>
    </w:p>
    <w:p>
      <w:pPr>
        <w:spacing w:after="0" w:line="7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January 2016, FASB issued Accounting Standards Update No. 2016-01, “Financial Instruments- Overall: Recognition and Measurement of Financial Assets and Financial Liabilities” (“ASU 2016-01”). ASU 2016-01 requires all equity investments to be measured at fair value with changes in the fair value recognized through net income (other than those accounted for under equity method of accounting or those that result in consolidation of the investee). Additionally, it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Lastly, the standard eliminates the requirement to disclose the method(s) and significant assumptions used to estimate the fair value that is required to be disclosed for financial instruments measured at amortized cost on the balance sheet. ASU 2016-01 is effective for financial statements issued for annual periods beginning after December 15, 2017, and interim periods within those annual periods. We do not expect the standard to have a material impact on our financial statements.</w:t>
      </w:r>
    </w:p>
    <w:p>
      <w:pPr>
        <w:spacing w:after="0" w:line="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November 2015, FASB issued Accounting Standards Update No. 2015-17, “Income taxes: Balance Sheet Classification of Deferred Taxes Business” (“ASU 2015-17”). Topic 740, Income Taxes, requires an entity to separate deferred income tax liabilities and assets into current and noncurrent amounts in a classified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ASU 2015-17 requires that deferred income tax liabilities and assets be classified as noncurrent in a classified statement of financial position. ASU 2015-17 is effective for financial statements issued for annual periods beginning after December 15, 2016, and interim periods within those annual periods. We are currently in the process of evaluating the impact of adoption of ASU 2015-17 on our financial statements.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jc w:val="both"/>
        <w:ind w:firstLine="648"/>
        <w:spacing w:after="0" w:line="255" w:lineRule="auto"/>
        <w:rPr>
          <w:sz w:val="20"/>
          <w:szCs w:val="20"/>
          <w:color w:val="auto"/>
        </w:rPr>
      </w:pPr>
      <w:r>
        <w:rPr>
          <w:rFonts w:ascii="Arial" w:cs="Arial" w:eastAsia="Arial" w:hAnsi="Arial"/>
          <w:sz w:val="18"/>
          <w:szCs w:val="18"/>
          <w:color w:val="auto"/>
        </w:rPr>
        <w:t>In September 2015, FASB issued Accounting Standards Update No. 2015-16, “</w:t>
      </w:r>
      <w:r>
        <w:rPr>
          <w:rFonts w:ascii="Arial" w:cs="Arial" w:eastAsia="Arial" w:hAnsi="Arial"/>
          <w:sz w:val="18"/>
          <w:szCs w:val="18"/>
          <w:i w:val="1"/>
          <w:iCs w:val="1"/>
          <w:color w:val="auto"/>
        </w:rPr>
        <w:t>Business Combinations: 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Measurement-Period Adjustments</w:t>
      </w:r>
      <w:r>
        <w:rPr>
          <w:rFonts w:ascii="Arial" w:cs="Arial" w:eastAsia="Arial" w:hAnsi="Arial"/>
          <w:sz w:val="18"/>
          <w:szCs w:val="18"/>
          <w:color w:val="auto"/>
        </w:rPr>
        <w:t>” (“ASU 2015-16”). ASU 2015-16 requires that an acquirer recognize adjustments to provisional amounts that are identified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measurement period in the reporting period in which the adjustment amounts are determined. The amendments in ASU 2015-16 require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ASU 2015-16 is effective for annual reporting periods beginning after December 15, 2015. We are currently in the process of evaluating the impact of adoption of ASU 2015-16 on our financial statements.</w:t>
      </w:r>
    </w:p>
    <w:p>
      <w:pPr>
        <w:spacing w:after="0" w:line="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In February 2015, FASB issued Accounting Standards Update (“ASU”) 2015-02, </w:t>
      </w:r>
      <w:r>
        <w:rPr>
          <w:rFonts w:ascii="Arial" w:cs="Arial" w:eastAsia="Arial" w:hAnsi="Arial"/>
          <w:sz w:val="16"/>
          <w:szCs w:val="16"/>
          <w:i w:val="1"/>
          <w:iCs w:val="1"/>
          <w:color w:val="auto"/>
        </w:rPr>
        <w:t>Consolidation: Amendments to the Consolidation Analysis</w:t>
      </w:r>
      <w:r>
        <w:rPr>
          <w:rFonts w:ascii="Arial" w:cs="Arial" w:eastAsia="Arial" w:hAnsi="Arial"/>
          <w:sz w:val="16"/>
          <w:szCs w:val="16"/>
          <w:color w:val="auto"/>
        </w:rPr>
        <w:t xml:space="preserve"> (“ASU 2015-02”), which affects reporting entities that are required to evaluate whether they should consolidate certain legal entities. All legal entities are subject to reevaluation under the revised consolidation model. The standard amends the consolidation requirements in ASC 810. ASU 2015-02 is effective for fiscal periods beginning after December 15, 2015 for public companies, and early adoption is permitted. We do not expect to early adopt ASU 2015-02, which will be effective for our fiscal year ending December 31, 2016. We do not believe the standard will have a material impact on our financial statements.</w:t>
      </w:r>
    </w:p>
    <w:p>
      <w:pPr>
        <w:spacing w:after="0" w:line="5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May 2014, FASB issued ASU 2014-09, Revenue from Contracts with Customers (“ASU 2014-09”), which supersedes most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GAAP. The standard is effective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In March 2016, the FASB issued implementation guidance that clarified the considerations in principal versus agent determination. In April 2016, the FASB issued guidance that clarified identifying performance obligations and licensing implementation guidance contained in the new revenue recognition standard.We will adopt this guidance at the beginning of its first quarter of fiscal year 2018. Adoption of this guidance is not expected to have a material impact on our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We charge a monthly fee, which varies by service and customer usage. The majority of our larger customers also pay a professional services fee related to implementation and ongoing optimization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Revenue from our Business segment accounted for 93% and 94% of total revenue for the three months ended March 31, 2016 and 2015, respectively. Revenue attributable to our monthly hosted Business services accounted for 89% and 90% of total Business revenue for the three months ended March 31, 2016 and 2015, respectively. Our service agreements typically have twelve month terms and, in some cases, are terminable or may terminate upon 30 to 90 days’ notice without penalty. Given the time required to schedule training for our customers’ operators and our customers’ resource constraints, we have historically experienced a lag between signing a customer contract and recognizing revenue from that customer. Although this lag typically ranges from 30 to 90 days, it may take more time between contract signing and recognizing revenue in certain situations.</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from our Consumer segment is generated from online transactions between Experts and Users and is recognized net of Expert fees and accounted for approximately 7% and 6% of total revenue for the three months ended March 31, 2016 and 2015, respectively.</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have entered into contractual arrangements that complement our direct sales force and online sales efforts. These are primarily with call center service companies, pursuant to which LivePerson is paid a commission based on revenue generated by these service companies from our referrals. To date, revenue from such commissions has not been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 consists of:</w:t>
      </w:r>
    </w:p>
    <w:p>
      <w:pPr>
        <w:spacing w:after="0" w:line="117" w:lineRule="exact"/>
        <w:rPr>
          <w:sz w:val="20"/>
          <w:szCs w:val="20"/>
          <w:color w:val="auto"/>
        </w:rPr>
      </w:pPr>
    </w:p>
    <w:p>
      <w:pPr>
        <w:ind w:left="1220" w:hanging="321"/>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compensation costs relating to employees who provide customer support and implementation services to our customers;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outside labor provider costs;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costs relating to our network support staff;</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depreciation of certain hardware and software;</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allocated occupancy costs and related overhead;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140" w:lineRule="exact"/>
        <w:rPr>
          <w:rFonts w:ascii="Arial" w:cs="Arial" w:eastAsia="Arial" w:hAnsi="Arial"/>
          <w:sz w:val="16"/>
          <w:szCs w:val="16"/>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credit card fees and related payment processing costs associated with consumer and self-service customers; and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amortization of certain intangibles.</w:t>
      </w:r>
    </w:p>
    <w:p>
      <w:pPr>
        <w:spacing w:after="0" w:line="117" w:lineRule="exact"/>
        <w:rPr>
          <w:sz w:val="20"/>
          <w:szCs w:val="20"/>
          <w:color w:val="auto"/>
        </w:rPr>
      </w:pPr>
    </w:p>
    <w:p>
      <w:pPr>
        <w:jc w:val="both"/>
        <w:ind w:left="60" w:firstLine="648"/>
        <w:spacing w:after="0" w:line="264" w:lineRule="auto"/>
        <w:rPr>
          <w:sz w:val="20"/>
          <w:szCs w:val="20"/>
          <w:color w:val="auto"/>
        </w:rPr>
      </w:pPr>
      <w:r>
        <w:rPr>
          <w:rFonts w:ascii="Arial" w:cs="Arial" w:eastAsia="Arial" w:hAnsi="Arial"/>
          <w:sz w:val="18"/>
          <w:szCs w:val="18"/>
          <w:color w:val="auto"/>
        </w:rPr>
        <w:t>Our sales and marketing expenses consist of compensation and related expenses for sales personnel and marketing personnel, online marketing, allocated occupancy costs and related overhead, advertising, sales commissions, public relations, promotional materials, travel expenses and trade show exhibit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and human resources personnel, allocated occupancy costs and related overhead, professional fees, provision for doubtful accounts and other general corporate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three months ended March 31, 2016, we decreased our allowance for doubtful accounts by approximately $0.1 million to approximately $1.1 million, principally due to an decrease in accounts receivable. During 2015, we decreased our allowance for doubtful accounts by $0.1 million to approximately $1.2 million, principally due to an increase in write-offs compared to 2014. A large proportion of receivables are due from larger corporate customers that typically have longer payment cycles. We base our allowance for doubtful accounts on specifically identified credit risks of customers, historical trends and other information that we believe to be reasonable. We adjust our allowance for doubtful accounts when accounts previously reserved have been collected.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Compensation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non-cash compensation amounts are as follows:</w:t>
      </w:r>
    </w:p>
    <w:p>
      <w:pPr>
        <w:spacing w:after="0" w:line="338"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9"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1" w:lineRule="exact"/>
        <w:rPr>
          <w:sz w:val="20"/>
          <w:szCs w:val="20"/>
          <w:color w:val="auto"/>
        </w:rPr>
      </w:pPr>
    </w:p>
    <w:p>
      <w:pPr>
        <w:ind w:left="40"/>
        <w:spacing w:after="0"/>
        <w:tabs>
          <w:tab w:leader="none" w:pos="8340" w:val="left"/>
          <w:tab w:leader="none" w:pos="9340" w:val="left"/>
          <w:tab w:leader="none" w:pos="9960" w:val="left"/>
          <w:tab w:leader="none" w:pos="10920" w:val="left"/>
        </w:tabs>
        <w:rPr>
          <w:sz w:val="20"/>
          <w:szCs w:val="20"/>
          <w:color w:val="auto"/>
        </w:rPr>
      </w:pPr>
      <w:r>
        <w:rPr>
          <w:rFonts w:ascii="Arial" w:cs="Arial" w:eastAsia="Arial" w:hAnsi="Arial"/>
          <w:sz w:val="16"/>
          <w:szCs w:val="16"/>
          <w:color w:val="auto"/>
        </w:rPr>
        <w:t>Stock-based compensation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2,319</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2,794</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organized into two operating segments: Business and Consumer. The Business segment facilitates real-time online interactions — chat, voice and content delivery, across multiple channels and screens for global corporations of all sizes. The Consumer segment facilitates online transactions between Experts and Users seeking information and knowledge for a fee via real-time chat.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2016 and 2015</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84"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23495</wp:posOffset>
            </wp:positionV>
            <wp:extent cx="24955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03" w:lineRule="exact"/>
        <w:rPr>
          <w:sz w:val="20"/>
          <w:szCs w:val="20"/>
          <w:color w:val="auto"/>
        </w:rPr>
      </w:pPr>
    </w:p>
    <w:p>
      <w:pPr>
        <w:ind w:left="8020"/>
        <w:spacing w:after="0"/>
        <w:tabs>
          <w:tab w:leader="none" w:pos="9460" w:val="left"/>
          <w:tab w:leader="none" w:pos="1056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23495</wp:posOffset>
            </wp:positionV>
            <wp:extent cx="24955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03"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23495</wp:posOffset>
            </wp:positionV>
            <wp:extent cx="17837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80" w:type="dxa"/>
            <w:vAlign w:val="bottom"/>
          </w:tcPr>
          <w:p>
            <w:pPr>
              <w:ind w:left="40"/>
              <w:spacing w:after="0"/>
              <w:rPr>
                <w:sz w:val="20"/>
                <w:szCs w:val="20"/>
                <w:color w:val="auto"/>
              </w:rPr>
            </w:pPr>
            <w:r>
              <w:rPr>
                <w:rFonts w:ascii="Arial" w:cs="Arial" w:eastAsia="Arial" w:hAnsi="Arial"/>
                <w:sz w:val="16"/>
                <w:szCs w:val="16"/>
                <w:color w:val="auto"/>
              </w:rPr>
              <w:t>Revenue by Segment:</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Business</w:t>
            </w:r>
          </w:p>
        </w:tc>
        <w:tc>
          <w:tcPr>
            <w:tcW w:w="460" w:type="dxa"/>
            <w:vAlign w:val="bottom"/>
            <w:tcBorders>
              <w:bottom w:val="single" w:sz="8" w:color="CCFFCC"/>
            </w:tcBorders>
            <w:shd w:val="clear" w:color="auto" w:fill="CCFFCC"/>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51,698</w:t>
            </w:r>
          </w:p>
        </w:tc>
        <w:tc>
          <w:tcPr>
            <w:tcW w:w="10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shd w:val="clear" w:color="auto" w:fill="CCFFCC"/>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56,074</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7480" w:type="dxa"/>
            <w:vAlign w:val="bottom"/>
          </w:tcPr>
          <w:p>
            <w:pPr>
              <w:ind w:left="280"/>
              <w:spacing w:after="0"/>
              <w:rPr>
                <w:sz w:val="20"/>
                <w:szCs w:val="20"/>
                <w:color w:val="auto"/>
              </w:rPr>
            </w:pPr>
            <w:r>
              <w:rPr>
                <w:rFonts w:ascii="Arial" w:cs="Arial" w:eastAsia="Arial" w:hAnsi="Arial"/>
                <w:sz w:val="16"/>
                <w:szCs w:val="16"/>
                <w:color w:val="auto"/>
              </w:rPr>
              <w:t>Consumer</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3,766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3,696</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33"/>
        </w:trPr>
        <w:tc>
          <w:tcPr>
            <w:tcW w:w="748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shd w:val="clear" w:color="auto" w:fill="CCFFCC"/>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55,464</w:t>
            </w:r>
          </w:p>
        </w:tc>
        <w:tc>
          <w:tcPr>
            <w:tcW w:w="10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auto"/>
            </w:tcBorders>
            <w:shd w:val="clear" w:color="auto" w:fill="CCFFCC"/>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59,770</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(7)%</w:t>
            </w:r>
          </w:p>
        </w:tc>
      </w:tr>
      <w:tr>
        <w:trPr>
          <w:trHeight w:val="20"/>
        </w:trPr>
        <w:tc>
          <w:tcPr>
            <w:tcW w:w="7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jc w:val="both"/>
        <w:ind w:firstLine="648"/>
        <w:spacing w:after="0" w:line="276" w:lineRule="auto"/>
        <w:rPr>
          <w:sz w:val="20"/>
          <w:szCs w:val="20"/>
          <w:color w:val="auto"/>
        </w:rPr>
      </w:pPr>
      <w:r>
        <w:rPr>
          <w:rFonts w:ascii="Arial" w:cs="Arial" w:eastAsia="Arial" w:hAnsi="Arial"/>
          <w:sz w:val="17"/>
          <w:szCs w:val="17"/>
          <w:color w:val="auto"/>
        </w:rPr>
        <w:t>Business revenue decreased by 8% to $51.7 million in the three months ended March 31, 2016, from $56.1 million in the comparable period in 2015. The decrease is primarily attributable to revenue from existing customers of approximately $5.5 million and revenue that is variable based on pay for performance, interactions and usage of approximately $1.0 million; partially offset by an increase in revenue from professional services and new customers of approximately $2.2 million. Overall decrease in business revenue is primarily attributable to the temporary impact from our focus on upgrading customers to LiveEngage, as well as a previously disclosed customer contract that ended at the end of the first quarter of 2015.</w:t>
      </w:r>
    </w:p>
    <w:p>
      <w:pPr>
        <w:spacing w:after="0" w:line="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Consumer revenue increased by 2% to $3.8 million in the three months ended March 31, 2016, from $3.7 million in the comparable period in 2015. The variance was driven by an increase in chat minutes along with an increase in the fees we charge experts, partially offset by a decrease in the price per minute.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Business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294"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7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w w:val="98"/>
              </w:rPr>
              <w:t>Three Months Ended March 31,</w:t>
            </w:r>
          </w:p>
        </w:tc>
        <w:tc>
          <w:tcPr>
            <w:tcW w:w="960" w:type="dxa"/>
            <w:vAlign w:val="bottom"/>
            <w:tcBorders>
              <w:bottom w:val="single" w:sz="8" w:color="auto"/>
            </w:tcBorders>
          </w:tcPr>
          <w:p>
            <w:pPr>
              <w:spacing w:after="0"/>
              <w:rPr>
                <w:sz w:val="16"/>
                <w:szCs w:val="16"/>
                <w:color w:val="auto"/>
              </w:rPr>
            </w:pPr>
          </w:p>
        </w:tc>
      </w:tr>
      <w:tr>
        <w:trPr>
          <w:trHeight w:val="264"/>
        </w:trPr>
        <w:tc>
          <w:tcPr>
            <w:tcW w:w="7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 Change</w:t>
            </w:r>
          </w:p>
        </w:tc>
      </w:tr>
      <w:tr>
        <w:trPr>
          <w:trHeight w:val="264"/>
        </w:trPr>
        <w:tc>
          <w:tcPr>
            <w:tcW w:w="7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in thousands)</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7"/>
        </w:trPr>
        <w:tc>
          <w:tcPr>
            <w:tcW w:w="7120" w:type="dxa"/>
            <w:vAlign w:val="bottom"/>
          </w:tcPr>
          <w:p>
            <w:pPr>
              <w:ind w:left="20"/>
              <w:spacing w:after="0"/>
              <w:rPr>
                <w:sz w:val="20"/>
                <w:szCs w:val="20"/>
                <w:color w:val="auto"/>
              </w:rPr>
            </w:pPr>
            <w:r>
              <w:rPr>
                <w:rFonts w:ascii="Arial" w:cs="Arial" w:eastAsia="Arial" w:hAnsi="Arial"/>
                <w:sz w:val="16"/>
                <w:szCs w:val="16"/>
                <w:color w:val="auto"/>
              </w:rPr>
              <w:t>Cost of revenue - business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43"/>
              <w:spacing w:after="0"/>
              <w:rPr>
                <w:sz w:val="20"/>
                <w:szCs w:val="20"/>
                <w:color w:val="auto"/>
              </w:rPr>
            </w:pPr>
            <w:r>
              <w:rPr>
                <w:rFonts w:ascii="Arial" w:cs="Arial" w:eastAsia="Arial" w:hAnsi="Arial"/>
                <w:sz w:val="16"/>
                <w:szCs w:val="16"/>
                <w:color w:val="auto"/>
              </w:rPr>
              <w:t>15,238</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1"/>
              <w:spacing w:after="0"/>
              <w:rPr>
                <w:sz w:val="20"/>
                <w:szCs w:val="20"/>
                <w:color w:val="auto"/>
              </w:rPr>
            </w:pPr>
            <w:r>
              <w:rPr>
                <w:rFonts w:ascii="Arial" w:cs="Arial" w:eastAsia="Arial" w:hAnsi="Arial"/>
                <w:sz w:val="16"/>
                <w:szCs w:val="16"/>
                <w:color w:val="auto"/>
              </w:rPr>
              <w:t>15,617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7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Percentage of total revenue</w:t>
            </w:r>
          </w:p>
        </w:tc>
        <w:tc>
          <w:tcPr>
            <w:tcW w:w="3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27%</w:t>
            </w:r>
          </w:p>
        </w:tc>
        <w:tc>
          <w:tcPr>
            <w:tcW w:w="5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7120" w:type="dxa"/>
            <w:vAlign w:val="bottom"/>
          </w:tcPr>
          <w:p>
            <w:pPr>
              <w:ind w:left="20"/>
              <w:spacing w:after="0"/>
              <w:rPr>
                <w:sz w:val="20"/>
                <w:szCs w:val="20"/>
                <w:color w:val="auto"/>
              </w:rPr>
            </w:pPr>
            <w:r>
              <w:rPr>
                <w:rFonts w:ascii="Arial" w:cs="Arial" w:eastAsia="Arial" w:hAnsi="Arial"/>
                <w:sz w:val="16"/>
                <w:szCs w:val="16"/>
                <w:color w:val="auto"/>
              </w:rPr>
              <w:t>Headcount (at period end):</w:t>
            </w:r>
          </w:p>
        </w:tc>
        <w:tc>
          <w:tcPr>
            <w:tcW w:w="320" w:type="dxa"/>
            <w:vAlign w:val="bottom"/>
          </w:tcPr>
          <w:p>
            <w:pPr>
              <w:spacing w:after="0"/>
              <w:rPr>
                <w:sz w:val="20"/>
                <w:szCs w:val="20"/>
                <w:color w:val="auto"/>
              </w:rPr>
            </w:pPr>
          </w:p>
        </w:tc>
        <w:tc>
          <w:tcPr>
            <w:tcW w:w="1120" w:type="dxa"/>
            <w:vAlign w:val="bottom"/>
          </w:tcPr>
          <w:p>
            <w:pPr>
              <w:jc w:val="right"/>
              <w:ind w:right="143"/>
              <w:spacing w:after="0"/>
              <w:rPr>
                <w:sz w:val="20"/>
                <w:szCs w:val="20"/>
                <w:color w:val="auto"/>
              </w:rPr>
            </w:pPr>
            <w:r>
              <w:rPr>
                <w:rFonts w:ascii="Arial" w:cs="Arial" w:eastAsia="Arial" w:hAnsi="Arial"/>
                <w:sz w:val="16"/>
                <w:szCs w:val="16"/>
                <w:color w:val="auto"/>
              </w:rPr>
              <w:t>291</w:t>
            </w:r>
          </w:p>
        </w:tc>
        <w:tc>
          <w:tcPr>
            <w:tcW w:w="540" w:type="dxa"/>
            <w:vAlign w:val="bottom"/>
          </w:tcPr>
          <w:p>
            <w:pPr>
              <w:spacing w:after="0"/>
              <w:rPr>
                <w:sz w:val="20"/>
                <w:szCs w:val="20"/>
                <w:color w:val="auto"/>
              </w:rPr>
            </w:pPr>
          </w:p>
        </w:tc>
        <w:tc>
          <w:tcPr>
            <w:tcW w:w="880" w:type="dxa"/>
            <w:vAlign w:val="bottom"/>
          </w:tcPr>
          <w:p>
            <w:pPr>
              <w:jc w:val="right"/>
              <w:ind w:right="81"/>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200" w:lineRule="exact"/>
        <w:rPr>
          <w:sz w:val="20"/>
          <w:szCs w:val="20"/>
          <w:color w:val="auto"/>
        </w:rPr>
      </w:pPr>
    </w:p>
    <w:p>
      <w:pPr>
        <w:spacing w:after="0" w:line="2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Cost of revenue decreased by 2% to $15.2 million in the three months ended March 31, 2016, from $15.6 million in the comparable period in 2015. This decrease in expense is primarily attributable to a decrease in outside labor provider fees and business services of approximately $0.8 million, a decrease in primary and backup server facilities and allocated overhead related costs to support our server and network infrastructure of approximately $0.2 million, and amortization of approximately $0.1 million. This is partially offset by an increase in depreciation expense of approximately $0.4 million as a result of the investment in enhancing our business continuity capabilities at our hosting facilities and an increase in total compensation and related costs for additional and existing customer service, network operations personnel and external consultants in the amount of approximately $0.4 million.</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Consumer</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6"/>
              </w:rPr>
              <w:t>Three Months Ended March 31,</w:t>
            </w:r>
          </w:p>
        </w:tc>
        <w:tc>
          <w:tcPr>
            <w:tcW w:w="900" w:type="dxa"/>
            <w:vAlign w:val="bottom"/>
            <w:tcBorders>
              <w:bottom w:val="single" w:sz="8" w:color="auto"/>
            </w:tcBorders>
          </w:tcPr>
          <w:p>
            <w:pPr>
              <w:spacing w:after="0"/>
              <w:rPr>
                <w:sz w:val="16"/>
                <w:szCs w:val="16"/>
                <w:color w:val="auto"/>
              </w:rPr>
            </w:pPr>
          </w:p>
        </w:tc>
      </w:tr>
      <w:tr>
        <w:trPr>
          <w:trHeight w:val="264"/>
        </w:trPr>
        <w:tc>
          <w:tcPr>
            <w:tcW w:w="752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 Change</w:t>
            </w:r>
          </w:p>
        </w:tc>
      </w:tr>
      <w:tr>
        <w:trPr>
          <w:trHeight w:val="264"/>
        </w:trPr>
        <w:tc>
          <w:tcPr>
            <w:tcW w:w="75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right"/>
              <w:ind w:right="323"/>
              <w:spacing w:after="0"/>
              <w:rPr>
                <w:sz w:val="20"/>
                <w:szCs w:val="20"/>
                <w:color w:val="auto"/>
              </w:rPr>
            </w:pPr>
            <w:r>
              <w:rPr>
                <w:rFonts w:ascii="Arial" w:cs="Arial" w:eastAsia="Arial" w:hAnsi="Arial"/>
                <w:sz w:val="14"/>
                <w:szCs w:val="14"/>
                <w:b w:val="1"/>
                <w:bCs w:val="1"/>
                <w:color w:val="auto"/>
                <w:w w:val="97"/>
              </w:rPr>
              <w:t>($ in thousands)</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7"/>
        </w:trPr>
        <w:tc>
          <w:tcPr>
            <w:tcW w:w="7520" w:type="dxa"/>
            <w:vAlign w:val="bottom"/>
          </w:tcPr>
          <w:p>
            <w:pPr>
              <w:ind w:left="40"/>
              <w:spacing w:after="0"/>
              <w:rPr>
                <w:sz w:val="20"/>
                <w:szCs w:val="20"/>
                <w:color w:val="auto"/>
              </w:rPr>
            </w:pPr>
            <w:r>
              <w:rPr>
                <w:rFonts w:ascii="Arial" w:cs="Arial" w:eastAsia="Arial" w:hAnsi="Arial"/>
                <w:sz w:val="16"/>
                <w:szCs w:val="16"/>
                <w:color w:val="auto"/>
              </w:rPr>
              <w:t>Cost of revenue - consumer</w:t>
            </w:r>
          </w:p>
        </w:tc>
        <w:tc>
          <w:tcPr>
            <w:tcW w:w="820" w:type="dxa"/>
            <w:vAlign w:val="bottom"/>
          </w:tcPr>
          <w:p>
            <w:pPr>
              <w:jc w:val="right"/>
              <w:ind w:right="64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43"/>
              <w:spacing w:after="0"/>
              <w:rPr>
                <w:sz w:val="20"/>
                <w:szCs w:val="20"/>
                <w:color w:val="auto"/>
              </w:rPr>
            </w:pPr>
            <w:r>
              <w:rPr>
                <w:rFonts w:ascii="Arial" w:cs="Arial" w:eastAsia="Arial" w:hAnsi="Arial"/>
                <w:sz w:val="16"/>
                <w:szCs w:val="16"/>
                <w:color w:val="auto"/>
              </w:rPr>
              <w:t>626</w:t>
            </w:r>
          </w:p>
        </w:tc>
        <w:tc>
          <w:tcPr>
            <w:tcW w:w="960" w:type="dxa"/>
            <w:vAlign w:val="bottom"/>
          </w:tcPr>
          <w:p>
            <w:pPr>
              <w:jc w:val="right"/>
              <w:ind w:right="723"/>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7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5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820" w:type="dxa"/>
            <w:vAlign w:val="bottom"/>
            <w:tcBorders>
              <w:bottom w:val="single" w:sz="8" w:color="CCFFCC"/>
            </w:tcBorders>
            <w:shd w:val="clear" w:color="auto" w:fill="CCFFCC"/>
          </w:tcPr>
          <w:p>
            <w:pPr>
              <w:spacing w:after="0"/>
              <w:rPr>
                <w:sz w:val="21"/>
                <w:szCs w:val="21"/>
                <w:color w:val="auto"/>
              </w:rPr>
            </w:pPr>
          </w:p>
        </w:tc>
        <w:tc>
          <w:tcPr>
            <w:tcW w:w="52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w:t>
            </w:r>
          </w:p>
        </w:tc>
        <w:tc>
          <w:tcPr>
            <w:tcW w:w="96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spacing w:after="0"/>
              <w:rPr>
                <w:sz w:val="21"/>
                <w:szCs w:val="21"/>
                <w:color w:val="auto"/>
              </w:rPr>
            </w:pPr>
          </w:p>
        </w:tc>
      </w:tr>
      <w:tr>
        <w:trPr>
          <w:trHeight w:val="237"/>
        </w:trPr>
        <w:tc>
          <w:tcPr>
            <w:tcW w:w="752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820" w:type="dxa"/>
            <w:vAlign w:val="bottom"/>
          </w:tcPr>
          <w:p>
            <w:pPr>
              <w:spacing w:after="0"/>
              <w:rPr>
                <w:sz w:val="20"/>
                <w:szCs w:val="20"/>
                <w:color w:val="auto"/>
              </w:rPr>
            </w:pPr>
          </w:p>
        </w:tc>
        <w:tc>
          <w:tcPr>
            <w:tcW w:w="520" w:type="dxa"/>
            <w:vAlign w:val="bottom"/>
          </w:tcPr>
          <w:p>
            <w:pPr>
              <w:jc w:val="right"/>
              <w:ind w:right="143"/>
              <w:spacing w:after="0"/>
              <w:rPr>
                <w:sz w:val="20"/>
                <w:szCs w:val="20"/>
                <w:color w:val="auto"/>
              </w:rPr>
            </w:pPr>
            <w:r>
              <w:rPr>
                <w:rFonts w:ascii="Arial" w:cs="Arial" w:eastAsia="Arial" w:hAnsi="Arial"/>
                <w:sz w:val="16"/>
                <w:szCs w:val="16"/>
                <w:color w:val="auto"/>
              </w:rPr>
              <w:t>19</w:t>
            </w:r>
          </w:p>
        </w:tc>
        <w:tc>
          <w:tcPr>
            <w:tcW w:w="96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revenue remained relatively flat at $0.6 million in the three months ended March 31, 2016 and 2015, representing 1% of total revenue.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b w:val="1"/>
          <w:bCs w:val="1"/>
          <w:i w:val="1"/>
          <w:iCs w:val="1"/>
          <w:color w:val="auto"/>
        </w:rPr>
        <w:t>Sales and Marketing - Business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sales and marketing personnel, as well as advertising, public relations, trade show exhibit expenses and allocated occupancy costs and related overhead.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8"/>
              </w:rPr>
              <w:t>Three Months Ended March 31,</w:t>
            </w:r>
          </w:p>
        </w:tc>
        <w:tc>
          <w:tcPr>
            <w:tcW w:w="920" w:type="dxa"/>
            <w:vAlign w:val="bottom"/>
            <w:tcBorders>
              <w:bottom w:val="single" w:sz="8" w:color="auto"/>
            </w:tcBorders>
          </w:tcPr>
          <w:p>
            <w:pPr>
              <w:spacing w:after="0"/>
              <w:rPr>
                <w:sz w:val="16"/>
                <w:szCs w:val="16"/>
                <w:color w:val="auto"/>
              </w:rPr>
            </w:pPr>
          </w:p>
        </w:tc>
      </w:tr>
      <w:tr>
        <w:trPr>
          <w:trHeight w:val="264"/>
        </w:trPr>
        <w:tc>
          <w:tcPr>
            <w:tcW w:w="74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 Change</w:t>
            </w:r>
          </w:p>
        </w:tc>
      </w:tr>
      <w:tr>
        <w:trPr>
          <w:trHeight w:val="264"/>
        </w:trPr>
        <w:tc>
          <w:tcPr>
            <w:tcW w:w="74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in thousands)</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Sales and marketing - business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43"/>
              <w:spacing w:after="0"/>
              <w:rPr>
                <w:sz w:val="20"/>
                <w:szCs w:val="20"/>
                <w:color w:val="auto"/>
              </w:rPr>
            </w:pPr>
            <w:r>
              <w:rPr>
                <w:rFonts w:ascii="Arial" w:cs="Arial" w:eastAsia="Arial" w:hAnsi="Arial"/>
                <w:sz w:val="16"/>
                <w:szCs w:val="16"/>
                <w:color w:val="auto"/>
              </w:rPr>
              <w:t>21,013</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22,852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3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38%</w:t>
            </w:r>
          </w:p>
        </w:tc>
        <w:tc>
          <w:tcPr>
            <w:tcW w:w="56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spacing w:after="0"/>
              <w:rPr>
                <w:sz w:val="21"/>
                <w:szCs w:val="2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320" w:type="dxa"/>
            <w:vAlign w:val="bottom"/>
          </w:tcPr>
          <w:p>
            <w:pPr>
              <w:spacing w:after="0"/>
              <w:rPr>
                <w:sz w:val="20"/>
                <w:szCs w:val="20"/>
                <w:color w:val="auto"/>
              </w:rPr>
            </w:pPr>
          </w:p>
        </w:tc>
        <w:tc>
          <w:tcPr>
            <w:tcW w:w="1120" w:type="dxa"/>
            <w:vAlign w:val="bottom"/>
          </w:tcPr>
          <w:p>
            <w:pPr>
              <w:jc w:val="right"/>
              <w:ind w:right="143"/>
              <w:spacing w:after="0"/>
              <w:rPr>
                <w:sz w:val="20"/>
                <w:szCs w:val="20"/>
                <w:color w:val="auto"/>
              </w:rPr>
            </w:pPr>
            <w:r>
              <w:rPr>
                <w:rFonts w:ascii="Arial" w:cs="Arial" w:eastAsia="Arial" w:hAnsi="Arial"/>
                <w:sz w:val="16"/>
                <w:szCs w:val="16"/>
                <w:color w:val="auto"/>
              </w:rPr>
              <w:t>325</w:t>
            </w:r>
          </w:p>
        </w:tc>
        <w:tc>
          <w:tcPr>
            <w:tcW w:w="560" w:type="dxa"/>
            <w:vAlign w:val="bottom"/>
          </w:tcPr>
          <w:p>
            <w:pPr>
              <w:spacing w:after="0"/>
              <w:rPr>
                <w:sz w:val="20"/>
                <w:szCs w:val="20"/>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r>
    </w:tbl>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Sales and marketing expenses decreased by 8% to $21.0 million in the three months ended March 31, 2016, from $22.9 million in the comparable period in 2015. The decrease was primarily due to compensation and related costs for sales and marketing personnel of approximately $3.6 million directly related to a decrease in headcount as result of our increased focus on strengthening our profitability as the scalability of our operating model and recent investments materialize. This was partially offset by an increase in marketing expenses, tradeshow fees, and other related allocated overhead of approximately $1.0 million as a result of the LiveEngage 2.0 product expansion and an increase in outside labor provider fees and business services of approximately $0.7 million.</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Consumer</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marketing personnel, as well as online promotion, public relations and allocated occupancy costs and related overhead.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5"/>
              </w:rPr>
              <w:t>Three Months Ended March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 Change</w:t>
            </w:r>
          </w:p>
        </w:tc>
      </w:tr>
      <w:tr>
        <w:trPr>
          <w:trHeight w:val="264"/>
        </w:trPr>
        <w:tc>
          <w:tcPr>
            <w:tcW w:w="744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right"/>
              <w:ind w:right="343"/>
              <w:spacing w:after="0"/>
              <w:rPr>
                <w:sz w:val="20"/>
                <w:szCs w:val="20"/>
                <w:color w:val="auto"/>
              </w:rPr>
            </w:pPr>
            <w:r>
              <w:rPr>
                <w:rFonts w:ascii="Arial" w:cs="Arial" w:eastAsia="Arial" w:hAnsi="Arial"/>
                <w:sz w:val="14"/>
                <w:szCs w:val="14"/>
                <w:b w:val="1"/>
                <w:bCs w:val="1"/>
                <w:color w:val="auto"/>
                <w:w w:val="99"/>
              </w:rPr>
              <w:t>($ in thousands)</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Sales and marketing - consumer</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43"/>
              <w:spacing w:after="0"/>
              <w:rPr>
                <w:sz w:val="20"/>
                <w:szCs w:val="20"/>
                <w:color w:val="auto"/>
              </w:rPr>
            </w:pPr>
            <w:r>
              <w:rPr>
                <w:rFonts w:ascii="Arial" w:cs="Arial" w:eastAsia="Arial" w:hAnsi="Arial"/>
                <w:sz w:val="16"/>
                <w:szCs w:val="16"/>
                <w:color w:val="auto"/>
                <w:w w:val="89"/>
              </w:rPr>
              <w:t>1,663</w:t>
            </w:r>
          </w:p>
        </w:tc>
        <w:tc>
          <w:tcPr>
            <w:tcW w:w="920" w:type="dxa"/>
            <w:vAlign w:val="bottom"/>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w w:val="89"/>
              </w:rPr>
              <w:t>1,442</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7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86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w:t>
            </w:r>
          </w:p>
        </w:tc>
        <w:tc>
          <w:tcPr>
            <w:tcW w:w="92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860" w:type="dxa"/>
            <w:vAlign w:val="bottom"/>
          </w:tcPr>
          <w:p>
            <w:pPr>
              <w:spacing w:after="0"/>
              <w:rPr>
                <w:sz w:val="20"/>
                <w:szCs w:val="20"/>
                <w:color w:val="auto"/>
              </w:rPr>
            </w:pPr>
          </w:p>
        </w:tc>
        <w:tc>
          <w:tcPr>
            <w:tcW w:w="600" w:type="dxa"/>
            <w:vAlign w:val="bottom"/>
          </w:tcPr>
          <w:p>
            <w:pPr>
              <w:jc w:val="right"/>
              <w:ind w:right="143"/>
              <w:spacing w:after="0"/>
              <w:rPr>
                <w:sz w:val="20"/>
                <w:szCs w:val="20"/>
                <w:color w:val="auto"/>
              </w:rPr>
            </w:pPr>
            <w:r>
              <w:rPr>
                <w:rFonts w:ascii="Arial" w:cs="Arial" w:eastAsia="Arial" w:hAnsi="Arial"/>
                <w:sz w:val="16"/>
                <w:szCs w:val="16"/>
                <w:color w:val="auto"/>
              </w:rPr>
              <w:t>12</w:t>
            </w:r>
          </w:p>
        </w:tc>
        <w:tc>
          <w:tcPr>
            <w:tcW w:w="92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r>
    </w:tbl>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and marketing expenses increased by 15% to $1.7 million in the three months ended March 31, 2016 from $1.4 million in the comparable period in 2015. This increase is primarily attributable to an increase in advertising expenses of approximately $0.3 million.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w w:val="96"/>
              </w:rPr>
              <w:t>Three Months Ended March 31,</w:t>
            </w:r>
          </w:p>
        </w:tc>
        <w:tc>
          <w:tcPr>
            <w:tcW w:w="860" w:type="dxa"/>
            <w:vAlign w:val="bottom"/>
            <w:tcBorders>
              <w:bottom w:val="single" w:sz="8" w:color="auto"/>
            </w:tcBorders>
          </w:tcPr>
          <w:p>
            <w:pPr>
              <w:spacing w:after="0"/>
              <w:rPr>
                <w:sz w:val="16"/>
                <w:szCs w:val="16"/>
                <w:color w:val="auto"/>
              </w:rPr>
            </w:pPr>
          </w:p>
        </w:tc>
      </w:tr>
      <w:tr>
        <w:trPr>
          <w:trHeight w:val="264"/>
        </w:trPr>
        <w:tc>
          <w:tcPr>
            <w:tcW w:w="76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7"/>
              </w:rPr>
              <w:t>% Change</w:t>
            </w:r>
          </w:p>
        </w:tc>
      </w:tr>
      <w:tr>
        <w:trPr>
          <w:trHeight w:val="250"/>
        </w:trPr>
        <w:tc>
          <w:tcPr>
            <w:tcW w:w="7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in thousands)</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7"/>
        </w:trPr>
        <w:tc>
          <w:tcPr>
            <w:tcW w:w="7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3"/>
              <w:spacing w:after="0"/>
              <w:rPr>
                <w:sz w:val="20"/>
                <w:szCs w:val="20"/>
                <w:color w:val="auto"/>
              </w:rPr>
            </w:pPr>
            <w:r>
              <w:rPr>
                <w:rFonts w:ascii="Arial" w:cs="Arial" w:eastAsia="Arial" w:hAnsi="Arial"/>
                <w:sz w:val="16"/>
                <w:szCs w:val="16"/>
                <w:color w:val="auto"/>
              </w:rPr>
              <w:t>9,529</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10,164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7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6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3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17%</w:t>
            </w:r>
          </w:p>
        </w:tc>
        <w:tc>
          <w:tcPr>
            <w:tcW w:w="54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CCFFCC"/>
            </w:tcBorders>
            <w:shd w:val="clear" w:color="auto" w:fill="CCFFCC"/>
          </w:tcPr>
          <w:p>
            <w:pPr>
              <w:spacing w:after="0"/>
              <w:rPr>
                <w:sz w:val="21"/>
                <w:szCs w:val="21"/>
                <w:color w:val="auto"/>
              </w:rPr>
            </w:pPr>
          </w:p>
        </w:tc>
      </w:tr>
      <w:tr>
        <w:trPr>
          <w:trHeight w:val="237"/>
        </w:trPr>
        <w:tc>
          <w:tcPr>
            <w:tcW w:w="762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300" w:type="dxa"/>
            <w:vAlign w:val="bottom"/>
          </w:tcPr>
          <w:p>
            <w:pPr>
              <w:spacing w:after="0"/>
              <w:rPr>
                <w:sz w:val="20"/>
                <w:szCs w:val="20"/>
                <w:color w:val="auto"/>
              </w:rPr>
            </w:pPr>
          </w:p>
        </w:tc>
        <w:tc>
          <w:tcPr>
            <w:tcW w:w="1020" w:type="dxa"/>
            <w:vAlign w:val="bottom"/>
          </w:tcPr>
          <w:p>
            <w:pPr>
              <w:jc w:val="right"/>
              <w:ind w:right="123"/>
              <w:spacing w:after="0"/>
              <w:rPr>
                <w:sz w:val="20"/>
                <w:szCs w:val="20"/>
                <w:color w:val="auto"/>
              </w:rPr>
            </w:pPr>
            <w:r>
              <w:rPr>
                <w:rFonts w:ascii="Arial" w:cs="Arial" w:eastAsia="Arial" w:hAnsi="Arial"/>
                <w:sz w:val="16"/>
                <w:szCs w:val="16"/>
                <w:color w:val="auto"/>
              </w:rPr>
              <w:t>119</w:t>
            </w:r>
          </w:p>
        </w:tc>
        <w:tc>
          <w:tcPr>
            <w:tcW w:w="540" w:type="dxa"/>
            <w:vAlign w:val="bottom"/>
          </w:tcPr>
          <w:p>
            <w:pPr>
              <w:spacing w:after="0"/>
              <w:rPr>
                <w:sz w:val="20"/>
                <w:szCs w:val="20"/>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General and administrative expenses decreased by 6% to $9.5 million in the three months ended March 31, 2016 from $10.2 million in the comparable period in 2015. This decrease is primarily attributable to a decrease in salary and related employee expenses of $0.4 million, outsourcing and other business services expense of approximately $0.3 million and recruiting fees of approximately $0.3 million. This is partially offset by increases in allocated occupancy costs, related overhead, and other general corporate expenses in the amount of approximately $0.4 million.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8"/>
              </w:rPr>
              <w:t>Three Months Ended March 31,</w:t>
            </w:r>
          </w:p>
        </w:tc>
        <w:tc>
          <w:tcPr>
            <w:tcW w:w="920" w:type="dxa"/>
            <w:vAlign w:val="bottom"/>
            <w:tcBorders>
              <w:bottom w:val="single" w:sz="8" w:color="auto"/>
            </w:tcBorders>
          </w:tcPr>
          <w:p>
            <w:pPr>
              <w:spacing w:after="0"/>
              <w:rPr>
                <w:sz w:val="16"/>
                <w:szCs w:val="16"/>
                <w:color w:val="auto"/>
              </w:rPr>
            </w:pPr>
          </w:p>
        </w:tc>
      </w:tr>
      <w:tr>
        <w:trPr>
          <w:trHeight w:val="264"/>
        </w:trPr>
        <w:tc>
          <w:tcPr>
            <w:tcW w:w="740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 Change</w:t>
            </w:r>
          </w:p>
        </w:tc>
      </w:tr>
      <w:tr>
        <w:trPr>
          <w:trHeight w:val="264"/>
        </w:trPr>
        <w:tc>
          <w:tcPr>
            <w:tcW w:w="740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right"/>
              <w:ind w:right="323"/>
              <w:spacing w:after="0"/>
              <w:rPr>
                <w:sz w:val="20"/>
                <w:szCs w:val="20"/>
                <w:color w:val="auto"/>
              </w:rPr>
            </w:pPr>
            <w:r>
              <w:rPr>
                <w:rFonts w:ascii="Arial" w:cs="Arial" w:eastAsia="Arial" w:hAnsi="Arial"/>
                <w:sz w:val="14"/>
                <w:szCs w:val="14"/>
                <w:b w:val="1"/>
                <w:bCs w:val="1"/>
                <w:color w:val="auto"/>
                <w:w w:val="99"/>
              </w:rPr>
              <w:t>($ in thousands)</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860" w:type="dxa"/>
            <w:vAlign w:val="bottom"/>
          </w:tcPr>
          <w:p>
            <w:pPr>
              <w:jc w:val="right"/>
              <w:ind w:right="663"/>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43"/>
              <w:spacing w:after="0"/>
              <w:rPr>
                <w:sz w:val="20"/>
                <w:szCs w:val="20"/>
                <w:color w:val="auto"/>
              </w:rPr>
            </w:pPr>
            <w:r>
              <w:rPr>
                <w:rFonts w:ascii="Arial" w:cs="Arial" w:eastAsia="Arial" w:hAnsi="Arial"/>
                <w:sz w:val="16"/>
                <w:szCs w:val="16"/>
                <w:color w:val="auto"/>
                <w:w w:val="89"/>
              </w:rPr>
              <w:t>9,214</w:t>
            </w:r>
          </w:p>
        </w:tc>
        <w:tc>
          <w:tcPr>
            <w:tcW w:w="900" w:type="dxa"/>
            <w:vAlign w:val="bottom"/>
          </w:tcPr>
          <w:p>
            <w:pPr>
              <w:jc w:val="right"/>
              <w:ind w:right="66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w w:val="89"/>
              </w:rPr>
              <w:t>9,800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7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86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17%</w:t>
            </w:r>
          </w:p>
        </w:tc>
        <w:tc>
          <w:tcPr>
            <w:tcW w:w="9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spacing w:after="0"/>
              <w:rPr>
                <w:sz w:val="21"/>
                <w:szCs w:val="2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860" w:type="dxa"/>
            <w:vAlign w:val="bottom"/>
          </w:tcPr>
          <w:p>
            <w:pPr>
              <w:spacing w:after="0"/>
              <w:rPr>
                <w:sz w:val="20"/>
                <w:szCs w:val="20"/>
                <w:color w:val="auto"/>
              </w:rPr>
            </w:pPr>
          </w:p>
        </w:tc>
        <w:tc>
          <w:tcPr>
            <w:tcW w:w="600" w:type="dxa"/>
            <w:vAlign w:val="bottom"/>
          </w:tcPr>
          <w:p>
            <w:pPr>
              <w:jc w:val="right"/>
              <w:ind w:right="143"/>
              <w:spacing w:after="0"/>
              <w:rPr>
                <w:sz w:val="20"/>
                <w:szCs w:val="20"/>
                <w:color w:val="auto"/>
              </w:rPr>
            </w:pPr>
            <w:r>
              <w:rPr>
                <w:rFonts w:ascii="Arial" w:cs="Arial" w:eastAsia="Arial" w:hAnsi="Arial"/>
                <w:sz w:val="16"/>
                <w:szCs w:val="16"/>
                <w:color w:val="auto"/>
              </w:rPr>
              <w:t>255</w:t>
            </w:r>
          </w:p>
        </w:tc>
        <w:tc>
          <w:tcPr>
            <w:tcW w:w="90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r>
    </w:tbl>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Product development costs decreased by 6% to $9.2 million in the three months ended March 31, 2016, from $9.8 million in the comparable period in 2015. This decrease relates to a decrease in compensation, outside labor, and associated costs for existing product development personnel of approximately $0.6 million. We will continue to invest in product development efforts to expand future product offerings as we allow our recent investments in our product offerings to materialize.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Amortization of Purchased Intangibles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b w:val="1"/>
                <w:bCs w:val="1"/>
                <w:color w:val="auto"/>
              </w:rPr>
              <w:t>Three Months Ended March 31,</w:t>
            </w:r>
          </w:p>
        </w:tc>
      </w:tr>
      <w:tr>
        <w:trPr>
          <w:trHeight w:val="250"/>
        </w:trPr>
        <w:tc>
          <w:tcPr>
            <w:tcW w:w="8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30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bottom w:val="single" w:sz="8" w:color="CCFFCC"/>
            </w:tcBorders>
          </w:tcPr>
          <w:p>
            <w:pPr>
              <w:spacing w:after="0"/>
              <w:rPr>
                <w:sz w:val="22"/>
                <w:szCs w:val="22"/>
                <w:color w:val="auto"/>
              </w:rPr>
            </w:pPr>
          </w:p>
        </w:tc>
      </w:tr>
      <w:tr>
        <w:trPr>
          <w:trHeight w:val="250"/>
        </w:trPr>
        <w:tc>
          <w:tcPr>
            <w:tcW w:w="83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Amortization of purchased intangibles</w:t>
            </w:r>
          </w:p>
        </w:tc>
        <w:tc>
          <w:tcPr>
            <w:tcW w:w="2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FFCC"/>
            </w:tcBorders>
            <w:shd w:val="clear" w:color="auto" w:fill="CCFFCC"/>
          </w:tcPr>
          <w:p>
            <w:pPr>
              <w:jc w:val="right"/>
              <w:ind w:right="144"/>
              <w:spacing w:after="0"/>
              <w:rPr>
                <w:sz w:val="20"/>
                <w:szCs w:val="20"/>
                <w:color w:val="auto"/>
              </w:rPr>
            </w:pPr>
            <w:r>
              <w:rPr>
                <w:rFonts w:ascii="Arial" w:cs="Arial" w:eastAsia="Arial" w:hAnsi="Arial"/>
                <w:sz w:val="16"/>
                <w:szCs w:val="16"/>
                <w:color w:val="auto"/>
              </w:rPr>
              <w:t>924</w:t>
            </w:r>
          </w:p>
        </w:tc>
        <w:tc>
          <w:tcPr>
            <w:tcW w:w="2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FFCC"/>
            </w:tcBorders>
            <w:shd w:val="clear" w:color="auto" w:fill="CCFFCC"/>
          </w:tcPr>
          <w:p>
            <w:pPr>
              <w:jc w:val="right"/>
              <w:ind w:right="82"/>
              <w:spacing w:after="0"/>
              <w:rPr>
                <w:sz w:val="20"/>
                <w:szCs w:val="20"/>
                <w:color w:val="auto"/>
              </w:rPr>
            </w:pPr>
            <w:r>
              <w:rPr>
                <w:rFonts w:ascii="Arial" w:cs="Arial" w:eastAsia="Arial" w:hAnsi="Arial"/>
                <w:sz w:val="16"/>
                <w:szCs w:val="16"/>
                <w:color w:val="auto"/>
              </w:rPr>
              <w:t>1,313</w:t>
            </w:r>
          </w:p>
        </w:tc>
        <w:tc>
          <w:tcPr>
            <w:tcW w:w="11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(30)%</w:t>
            </w:r>
          </w:p>
        </w:tc>
      </w:tr>
      <w:tr>
        <w:trPr>
          <w:trHeight w:val="237"/>
        </w:trPr>
        <w:tc>
          <w:tcPr>
            <w:tcW w:w="8300" w:type="dxa"/>
            <w:vAlign w:val="bottom"/>
          </w:tcPr>
          <w:p>
            <w:pPr>
              <w:ind w:left="40"/>
              <w:spacing w:after="0"/>
              <w:rPr>
                <w:sz w:val="20"/>
                <w:szCs w:val="20"/>
                <w:color w:val="auto"/>
              </w:rPr>
            </w:pPr>
            <w:r>
              <w:rPr>
                <w:rFonts w:ascii="Arial" w:cs="Arial" w:eastAsia="Arial" w:hAnsi="Arial"/>
                <w:sz w:val="16"/>
                <w:szCs w:val="16"/>
                <w:color w:val="auto"/>
              </w:rPr>
              <w:t>Percentage of total revenues</w:t>
            </w:r>
          </w:p>
        </w:tc>
        <w:tc>
          <w:tcPr>
            <w:tcW w:w="220" w:type="dxa"/>
            <w:vAlign w:val="bottom"/>
          </w:tcPr>
          <w:p>
            <w:pPr>
              <w:spacing w:after="0"/>
              <w:rPr>
                <w:sz w:val="20"/>
                <w:szCs w:val="20"/>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Amortization expense for purchased intangibles decreased by 30% to $0.9 million in the three months ended March 31, 2016 from $1.3 million in the comparable period in 2015. The decrease is primarily attributable to the full amortization of NexGraph and Engage technology intangible along with continued amortization of our 2014 acquisitions of CAO! and Synchronite and our investments in technology licenses.</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 amortization expense in the amount of $0.7 million and $0.8 million is included in cost of revenue for the three months ended March 31, 2016 and 2015.</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income (expense) consists of interest income on cash and cash equivalents, investment income and financial (expense) income which is a result of currency rate fluctuations associated with exchange rate movement of the U.S. dollar against the New Israeli Shekel, Pound Sterling, Euro, Australian Dollar and Japanese Yen.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40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bottom w:val="single" w:sz="8" w:color="CCFFCC"/>
            </w:tcBorders>
          </w:tcPr>
          <w:p>
            <w:pPr>
              <w:spacing w:after="0"/>
              <w:rPr>
                <w:sz w:val="22"/>
                <w:szCs w:val="22"/>
                <w:color w:val="auto"/>
              </w:rPr>
            </w:pPr>
          </w:p>
        </w:tc>
      </w:tr>
      <w:tr>
        <w:trPr>
          <w:trHeight w:val="237"/>
        </w:trPr>
        <w:tc>
          <w:tcPr>
            <w:tcW w:w="8400" w:type="dxa"/>
            <w:vAlign w:val="bottom"/>
            <w:shd w:val="clear" w:color="auto" w:fill="CCFFCC"/>
          </w:tcPr>
          <w:p>
            <w:pPr>
              <w:ind w:left="40"/>
              <w:spacing w:after="0"/>
              <w:rPr>
                <w:sz w:val="20"/>
                <w:szCs w:val="20"/>
                <w:color w:val="auto"/>
              </w:rPr>
            </w:pPr>
            <w:r>
              <w:rPr>
                <w:rFonts w:ascii="Arial" w:cs="Arial" w:eastAsia="Arial" w:hAnsi="Arial"/>
                <w:sz w:val="16"/>
                <w:szCs w:val="16"/>
                <w:color w:val="auto"/>
              </w:rPr>
              <w:t>Other income (expense), net</w:t>
            </w:r>
          </w:p>
        </w:tc>
        <w:tc>
          <w:tcPr>
            <w:tcW w:w="2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ind w:left="320"/>
              <w:spacing w:after="0"/>
              <w:rPr>
                <w:sz w:val="20"/>
                <w:szCs w:val="20"/>
                <w:color w:val="auto"/>
              </w:rPr>
            </w:pPr>
            <w:r>
              <w:rPr>
                <w:rFonts w:ascii="Arial" w:cs="Arial" w:eastAsia="Arial" w:hAnsi="Arial"/>
                <w:sz w:val="16"/>
                <w:szCs w:val="16"/>
                <w:color w:val="auto"/>
              </w:rPr>
              <w:t>634</w:t>
            </w:r>
          </w:p>
        </w:tc>
        <w:tc>
          <w:tcPr>
            <w:tcW w:w="3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(231)</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(374)%</w:t>
            </w:r>
          </w:p>
        </w:tc>
      </w:tr>
      <w:tr>
        <w:trPr>
          <w:trHeight w:val="33"/>
        </w:trPr>
        <w:tc>
          <w:tcPr>
            <w:tcW w:w="84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decrease in other expense to other income in the three months ended March 31, 2016 from the comparable period 2015 is attributable to an increase in financial income from currency exchange, hedging, and other investment income of approximately $0.9 million.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8400" w:type="dxa"/>
            <w:vAlign w:val="bottom"/>
            <w:tcBorders>
              <w:bottom w:val="single" w:sz="8" w:color="CCFFC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1"/>
                <w:szCs w:val="21"/>
                <w:color w:val="auto"/>
              </w:rPr>
            </w:pPr>
          </w:p>
        </w:tc>
        <w:tc>
          <w:tcPr>
            <w:tcW w:w="1020" w:type="dxa"/>
            <w:vAlign w:val="bottom"/>
            <w:tcBorders>
              <w:bottom w:val="single" w:sz="8" w:color="CCFFCC"/>
            </w:tcBorders>
          </w:tcPr>
          <w:p>
            <w:pPr>
              <w:spacing w:after="0"/>
              <w:rPr>
                <w:sz w:val="21"/>
                <w:szCs w:val="21"/>
                <w:color w:val="auto"/>
              </w:rPr>
            </w:pPr>
          </w:p>
        </w:tc>
      </w:tr>
      <w:tr>
        <w:trPr>
          <w:trHeight w:val="237"/>
        </w:trPr>
        <w:tc>
          <w:tcPr>
            <w:tcW w:w="8400" w:type="dxa"/>
            <w:vAlign w:val="bottom"/>
            <w:shd w:val="clear" w:color="auto" w:fill="CCFFCC"/>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2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ind w:left="320"/>
              <w:spacing w:after="0"/>
              <w:rPr>
                <w:sz w:val="20"/>
                <w:szCs w:val="20"/>
                <w:color w:val="auto"/>
              </w:rPr>
            </w:pPr>
            <w:r>
              <w:rPr>
                <w:rFonts w:ascii="Arial" w:cs="Arial" w:eastAsia="Arial" w:hAnsi="Arial"/>
                <w:sz w:val="16"/>
                <w:szCs w:val="16"/>
                <w:color w:val="auto"/>
              </w:rPr>
              <w:t>554</w:t>
            </w:r>
          </w:p>
        </w:tc>
        <w:tc>
          <w:tcPr>
            <w:tcW w:w="3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(228)</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(343)%</w:t>
            </w:r>
          </w:p>
        </w:tc>
      </w:tr>
      <w:tr>
        <w:trPr>
          <w:trHeight w:val="33"/>
        </w:trPr>
        <w:tc>
          <w:tcPr>
            <w:tcW w:w="84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 expense increased to $0.6 million for the three months ended March 31, 2016. During the three months ended March 31, 2015, we recognized a tax benefit of $0.2 million. Our effective tax rate was 27% for the three months ended March 31, 2016. Our consolidated effective tax rate is impacted by the statutory income tax rates applicable to each of the jurisdictions in which we operate.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had net loss of $2.7 million for the three months ended March 31, 2016 compared to a net loss of $2.1 million for the three months ended March 31, 2015. Revenue decreased by approximately $4.3 million while operating expenses decreased by $3.6 million. Other income increased by $0.9 million while the provision for (benefit from) income taxes increased by $0.8 million, contributing to an increase in net loss of $0.6 million.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3"/>
          </w:tcPr>
          <w:p>
            <w:pPr>
              <w:jc w:val="center"/>
              <w:ind w:right="181"/>
              <w:spacing w:after="0"/>
              <w:rPr>
                <w:sz w:val="20"/>
                <w:szCs w:val="20"/>
                <w:color w:val="auto"/>
              </w:rPr>
            </w:pPr>
            <w:r>
              <w:rPr>
                <w:rFonts w:ascii="Arial" w:cs="Arial" w:eastAsia="Arial" w:hAnsi="Arial"/>
                <w:sz w:val="14"/>
                <w:szCs w:val="14"/>
                <w:b w:val="1"/>
                <w:bCs w:val="1"/>
                <w:color w:val="auto"/>
                <w:w w:val="95"/>
              </w:rPr>
              <w:t>Three Months Ended</w:t>
            </w:r>
          </w:p>
        </w:tc>
      </w:tr>
      <w:tr>
        <w:trPr>
          <w:trHeight w:val="276"/>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r>
      <w:tr>
        <w:trPr>
          <w:trHeight w:val="250"/>
        </w:trPr>
        <w:tc>
          <w:tcPr>
            <w:tcW w:w="40" w:type="dxa"/>
            <w:vAlign w:val="bottom"/>
            <w:tcBorders>
              <w:bottom w:val="single" w:sz="8" w:color="CCFFCC"/>
            </w:tcBorders>
          </w:tcPr>
          <w:p>
            <w:pPr>
              <w:spacing w:after="0"/>
              <w:rPr>
                <w:sz w:val="21"/>
                <w:szCs w:val="21"/>
                <w:color w:val="auto"/>
              </w:rPr>
            </w:pPr>
          </w:p>
        </w:tc>
        <w:tc>
          <w:tcPr>
            <w:tcW w:w="3160" w:type="dxa"/>
            <w:vAlign w:val="bottom"/>
            <w:tcBorders>
              <w:bottom w:val="single" w:sz="8" w:color="CCFFCC"/>
            </w:tcBorders>
          </w:tcPr>
          <w:p>
            <w:pPr>
              <w:spacing w:after="0"/>
              <w:rPr>
                <w:sz w:val="21"/>
                <w:szCs w:val="21"/>
                <w:color w:val="auto"/>
              </w:rPr>
            </w:pPr>
          </w:p>
        </w:tc>
        <w:tc>
          <w:tcPr>
            <w:tcW w:w="5600" w:type="dxa"/>
            <w:vAlign w:val="bottom"/>
            <w:tcBorders>
              <w:bottom w:val="single" w:sz="8" w:color="CCFFC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tcBorders>
              <w:bottom w:val="single" w:sz="8" w:color="auto"/>
            </w:tcBorders>
          </w:tcPr>
          <w:p>
            <w:pPr>
              <w:spacing w:after="0"/>
              <w:rPr>
                <w:sz w:val="21"/>
                <w:szCs w:val="21"/>
                <w:color w:val="auto"/>
              </w:rPr>
            </w:pPr>
          </w:p>
        </w:tc>
      </w:tr>
      <w:tr>
        <w:trPr>
          <w:trHeight w:val="202"/>
        </w:trPr>
        <w:tc>
          <w:tcPr>
            <w:tcW w:w="8800" w:type="dxa"/>
            <w:vAlign w:val="bottom"/>
            <w:gridSpan w:val="3"/>
            <w:shd w:val="clear" w:color="auto" w:fill="CCFFCC"/>
          </w:tcPr>
          <w:p>
            <w:pPr>
              <w:ind w:left="40"/>
              <w:spacing w:after="0"/>
              <w:rPr>
                <w:sz w:val="20"/>
                <w:szCs w:val="20"/>
                <w:color w:val="auto"/>
              </w:rPr>
            </w:pPr>
            <w:r>
              <w:rPr>
                <w:rFonts w:ascii="Arial" w:cs="Arial" w:eastAsia="Arial" w:hAnsi="Arial"/>
                <w:sz w:val="16"/>
                <w:szCs w:val="16"/>
                <w:b w:val="1"/>
                <w:bCs w:val="1"/>
                <w:color w:val="auto"/>
              </w:rPr>
              <w:t>Consolidated Statements of Cash Flows Data:</w:t>
            </w:r>
          </w:p>
        </w:tc>
        <w:tc>
          <w:tcPr>
            <w:tcW w:w="28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r>
      <w:tr>
        <w:trPr>
          <w:trHeight w:val="48"/>
        </w:trPr>
        <w:tc>
          <w:tcPr>
            <w:tcW w:w="40" w:type="dxa"/>
            <w:vAlign w:val="bottom"/>
            <w:tcBorders>
              <w:top w:val="single" w:sz="8" w:color="CCFFCC"/>
            </w:tcBorders>
            <w:shd w:val="clear" w:color="auto" w:fill="CCFFCC"/>
          </w:tcPr>
          <w:p>
            <w:pPr>
              <w:spacing w:after="0"/>
              <w:rPr>
                <w:sz w:val="4"/>
                <w:szCs w:val="4"/>
                <w:color w:val="auto"/>
              </w:rPr>
            </w:pPr>
          </w:p>
        </w:tc>
        <w:tc>
          <w:tcPr>
            <w:tcW w:w="3160" w:type="dxa"/>
            <w:vAlign w:val="bottom"/>
            <w:tcBorders>
              <w:top w:val="single" w:sz="8" w:color="auto"/>
            </w:tcBorders>
            <w:shd w:val="clear" w:color="auto" w:fill="CCFFCC"/>
          </w:tcPr>
          <w:p>
            <w:pPr>
              <w:spacing w:after="0"/>
              <w:rPr>
                <w:sz w:val="4"/>
                <w:szCs w:val="4"/>
                <w:color w:val="auto"/>
              </w:rPr>
            </w:pPr>
          </w:p>
        </w:tc>
        <w:tc>
          <w:tcPr>
            <w:tcW w:w="5600" w:type="dxa"/>
            <w:vAlign w:val="bottom"/>
            <w:tcBorders>
              <w:top w:val="single" w:sz="8" w:color="CCFFCC"/>
            </w:tcBorders>
            <w:shd w:val="clear" w:color="auto" w:fill="CCFFCC"/>
          </w:tcPr>
          <w:p>
            <w:pPr>
              <w:spacing w:after="0"/>
              <w:rPr>
                <w:sz w:val="4"/>
                <w:szCs w:val="4"/>
                <w:color w:val="auto"/>
              </w:rPr>
            </w:pPr>
          </w:p>
        </w:tc>
        <w:tc>
          <w:tcPr>
            <w:tcW w:w="280" w:type="dxa"/>
            <w:vAlign w:val="bottom"/>
            <w:tcBorders>
              <w:top w:val="single" w:sz="8" w:color="CCFFCC"/>
            </w:tcBorders>
            <w:shd w:val="clear" w:color="auto" w:fill="CCFFCC"/>
          </w:tcPr>
          <w:p>
            <w:pPr>
              <w:spacing w:after="0"/>
              <w:rPr>
                <w:sz w:val="4"/>
                <w:szCs w:val="4"/>
                <w:color w:val="auto"/>
              </w:rPr>
            </w:pPr>
          </w:p>
        </w:tc>
        <w:tc>
          <w:tcPr>
            <w:tcW w:w="1020" w:type="dxa"/>
            <w:vAlign w:val="bottom"/>
            <w:tcBorders>
              <w:top w:val="single" w:sz="8" w:color="CCFFCC"/>
            </w:tcBorders>
            <w:shd w:val="clear" w:color="auto" w:fill="CCFFCC"/>
          </w:tcPr>
          <w:p>
            <w:pPr>
              <w:spacing w:after="0"/>
              <w:rPr>
                <w:sz w:val="4"/>
                <w:szCs w:val="4"/>
                <w:color w:val="auto"/>
              </w:rPr>
            </w:pPr>
          </w:p>
        </w:tc>
        <w:tc>
          <w:tcPr>
            <w:tcW w:w="540" w:type="dxa"/>
            <w:vAlign w:val="bottom"/>
            <w:tcBorders>
              <w:top w:val="single" w:sz="8" w:color="CCFFCC"/>
            </w:tcBorders>
            <w:shd w:val="clear" w:color="auto" w:fill="CCFFCC"/>
          </w:tcPr>
          <w:p>
            <w:pPr>
              <w:spacing w:after="0"/>
              <w:rPr>
                <w:sz w:val="4"/>
                <w:szCs w:val="4"/>
                <w:color w:val="auto"/>
              </w:rPr>
            </w:pPr>
          </w:p>
        </w:tc>
        <w:tc>
          <w:tcPr>
            <w:tcW w:w="780" w:type="dxa"/>
            <w:vAlign w:val="bottom"/>
            <w:tcBorders>
              <w:top w:val="single" w:sz="8" w:color="CCFFCC"/>
            </w:tcBorders>
            <w:shd w:val="clear" w:color="auto" w:fill="CCFFCC"/>
          </w:tcPr>
          <w:p>
            <w:pPr>
              <w:spacing w:after="0"/>
              <w:rPr>
                <w:sz w:val="4"/>
                <w:szCs w:val="4"/>
                <w:color w:val="auto"/>
              </w:rPr>
            </w:pP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Cash flows provided by (used in) 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84"/>
              <w:spacing w:after="0"/>
              <w:rPr>
                <w:sz w:val="20"/>
                <w:szCs w:val="20"/>
                <w:color w:val="auto"/>
              </w:rPr>
            </w:pPr>
            <w:r>
              <w:rPr>
                <w:rFonts w:ascii="Arial" w:cs="Arial" w:eastAsia="Arial" w:hAnsi="Arial"/>
                <w:sz w:val="16"/>
                <w:szCs w:val="16"/>
                <w:color w:val="auto"/>
              </w:rPr>
              <w:t>2,150</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(7,580)</w:t>
            </w:r>
          </w:p>
        </w:tc>
      </w:tr>
      <w:tr>
        <w:trPr>
          <w:trHeight w:val="33"/>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800" w:type="dxa"/>
            <w:vAlign w:val="bottom"/>
            <w:tcBorders>
              <w:bottom w:val="single" w:sz="8" w:color="CCFFCC"/>
            </w:tcBorders>
            <w:gridSpan w:val="3"/>
            <w:shd w:val="clear" w:color="auto" w:fill="CCFFCC"/>
          </w:tcPr>
          <w:p>
            <w:pPr>
              <w:ind w:left="4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124"/>
              <w:spacing w:after="0"/>
              <w:rPr>
                <w:sz w:val="20"/>
                <w:szCs w:val="20"/>
                <w:color w:val="auto"/>
              </w:rPr>
            </w:pPr>
            <w:r>
              <w:rPr>
                <w:rFonts w:ascii="Arial" w:cs="Arial" w:eastAsia="Arial" w:hAnsi="Arial"/>
                <w:sz w:val="16"/>
                <w:szCs w:val="16"/>
                <w:color w:val="auto"/>
              </w:rPr>
              <w:t>(3,089)</w:t>
            </w:r>
          </w:p>
        </w:tc>
        <w:tc>
          <w:tcPr>
            <w:tcW w:w="5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(1,783)</w:t>
            </w: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Cash flows (used in) provided by financing activities</w:t>
            </w:r>
          </w:p>
        </w:tc>
        <w:tc>
          <w:tcPr>
            <w:tcW w:w="280" w:type="dxa"/>
            <w:vAlign w:val="bottom"/>
          </w:tcPr>
          <w:p>
            <w:pPr>
              <w:spacing w:after="0"/>
              <w:rPr>
                <w:sz w:val="20"/>
                <w:szCs w:val="20"/>
                <w:color w:val="auto"/>
              </w:rPr>
            </w:pPr>
          </w:p>
        </w:tc>
        <w:tc>
          <w:tcPr>
            <w:tcW w:w="1020" w:type="dxa"/>
            <w:vAlign w:val="bottom"/>
          </w:tcPr>
          <w:p>
            <w:pPr>
              <w:jc w:val="right"/>
              <w:ind w:right="124"/>
              <w:spacing w:after="0"/>
              <w:rPr>
                <w:sz w:val="20"/>
                <w:szCs w:val="20"/>
                <w:color w:val="auto"/>
              </w:rPr>
            </w:pPr>
            <w:r>
              <w:rPr>
                <w:rFonts w:ascii="Arial" w:cs="Arial" w:eastAsia="Arial" w:hAnsi="Arial"/>
                <w:sz w:val="16"/>
                <w:szCs w:val="16"/>
                <w:color w:val="auto"/>
              </w:rPr>
              <w:t>(2,969)</w:t>
            </w:r>
          </w:p>
        </w:tc>
        <w:tc>
          <w:tcPr>
            <w:tcW w:w="54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977</w:t>
            </w:r>
          </w:p>
        </w:tc>
      </w:tr>
    </w:tbl>
    <w:p>
      <w:pPr>
        <w:spacing w:after="0" w:line="12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March 31, 2016, we had approximately $44.6 million in cash and cash equivalents, a decrease of approximately $4.2 million from December 31, 2015. The decrease is primarily attributable to net cash used in investing activities relating to purchases of fixed assets related to the build-out of our co-location facility offset by partial release of restricted cash used for collateral pledge associated with office rent. The decrease in cash and cash equivalents related to the cash used in financing activities to repurchase our common stock, partially offset by proceeds from the issuance of common stock in connection with the exercise of stock options by employees and cash provided by operating activities. We invest our cash in short-term money market funds.</w:t>
      </w:r>
    </w:p>
    <w:p>
      <w:pPr>
        <w:spacing w:after="0" w:line="5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Net cash provided by operating activities was $2.2 million for the three months ended March 31, 2016 and consisted primarily of net loss, non-cash expenses related to ASC 718-10, amortization of purchased intangibles and depreciation, a decrease in accrued expenses and other liabilities, and an increase in accounts receivable, prepaid expenses, accounts payable, deferred revenue, and deferred tax liability. Net cash used in operating activities was $7.6 million for the three months ended March 31, 2015 and consisted primarily of a net loss, non-cash expenses related to ASC 718-10, amortization of purchased intangibles and depreciation, increases in accounts receivable and prepaid expenses, and decreases in accrued expenses and deferred revenue.</w:t>
      </w:r>
    </w:p>
    <w:p>
      <w:pPr>
        <w:spacing w:after="0" w:line="5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Net cash used in investing activities was $3.1 million in the three months ended March 31, 2016 and was due primarily to the purchase of fixed assets for our co-location facilities offset by partial release of restricted cash associated with collateral pledge associated with rent. Net cash used in investing activities was $1.8 million in the three months ended March 31, 2015 and was due primarily to the purchase of fixed assets for our co-location facilities.</w:t>
      </w:r>
    </w:p>
    <w:p>
      <w:pPr>
        <w:spacing w:after="0" w:line="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financing activities was $3.0 million in the three months ended March 31, 2016 and consisted primarily of the repurchase of our common stock partially offset by proceeds from issuance of common stock. Net cash provided by financing activities was $1.0 million in the three months ended March 31, 2015 and consisted primarily of the issuance of common stock and excess tax benefit in connection with the exercise of stock options by employees offset by the repurchase of our common stock.</w:t>
      </w:r>
    </w:p>
    <w:p>
      <w:pPr>
        <w:spacing w:after="0" w:line="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incurred significant quarterly net losses from inception through June 30, 2003, significant negative cash flows from operations in our quarterly periods from inception through December 31, 2002 and negative cash flows from operations of $0.1 million in the quarterly period ended March 31, 2004. We also incurred a net loss and negative cash flow from operations in the quarterly periods ended March 31, 2014, June 30, 2014, March 31, 2015, June 30, 2015, December 31, 2015, and March 31, 2016. We incurred a net loss in the quarterly periods ended June 30, 2013, September 30, 2013, December 31, 2013, as well as in the quarterly periods ended September 30, 2014, December 31, 2014, March 31, 2015, June 30, 2015, December 31, 2015, and March 31, 2016. As of March 31, 2016, we had an accumulated deficit of approximately $121.7 million.</w:t>
      </w:r>
    </w:p>
    <w:p>
      <w:pPr>
        <w:spacing w:after="0" w:line="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anticipate that our current cash and cash equivalents will be sufficient to satisfy our working capital and capital requirements for at least the next twelve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jc w:val="both"/>
        <w:ind w:right="20"/>
        <w:spacing w:after="0" w:line="277" w:lineRule="auto"/>
        <w:rPr>
          <w:sz w:val="20"/>
          <w:szCs w:val="20"/>
          <w:color w:val="auto"/>
        </w:rPr>
      </w:pPr>
      <w:r>
        <w:rPr>
          <w:rFonts w:ascii="Arial" w:cs="Arial" w:eastAsia="Arial" w:hAnsi="Arial"/>
          <w:sz w:val="18"/>
          <w:szCs w:val="18"/>
          <w:color w:val="auto"/>
        </w:rPr>
        <w:t>operating results. In addition, we may require additional funds in order to fund more rapid expansion, to develop new or enhanced services or products or to invest in or acquire complementary businesses, technologies, services or products.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have any special purposes entities, and other than operating leases, which are described below, we do not engage in off-balance sheet financing arrangements.</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lease facilities and certain equipment under agreements accounted for as operating leases. These leases generally require us to pay all executory costs such as maintenance and insurance. Rental expense for operating leases for the three months ended March 31, 2016 and March 31, 2015 was $2.7 million and $2.5 million, respectively.</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2016, our principal commitments were approximately $31.8 million under various operating leases, of which approximately $5.6 million is due in 2016. We currently expect that our principal commitments for the year ending December 31, 2016 will not exceed $9.0 million in the aggregate.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contractual obligations at March 31, 2016 are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Payments due by period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50"/>
        </w:trPr>
        <w:tc>
          <w:tcPr>
            <w:tcW w:w="3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15"/>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b w:val="1"/>
                <w:bCs w:val="1"/>
                <w:color w:val="auto"/>
                <w:w w:val="99"/>
              </w:rPr>
              <w:t>Less than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rPr>
              <w:t>More than 5</w:t>
            </w:r>
          </w:p>
        </w:tc>
      </w:tr>
      <w:tr>
        <w:trPr>
          <w:trHeight w:val="210"/>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8"/>
                <w:szCs w:val="18"/>
                <w:color w:val="auto"/>
              </w:rPr>
            </w:pPr>
          </w:p>
        </w:tc>
        <w:tc>
          <w:tcPr>
            <w:tcW w:w="1260" w:type="dxa"/>
            <w:vAlign w:val="bottom"/>
          </w:tcPr>
          <w:p>
            <w:pPr>
              <w:jc w:val="right"/>
              <w:ind w:right="519"/>
              <w:spacing w:after="0"/>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1-3 years</w:t>
            </w: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18"/>
                <w:szCs w:val="18"/>
                <w:color w:val="auto"/>
              </w:rPr>
            </w:pPr>
          </w:p>
        </w:tc>
        <w:tc>
          <w:tcPr>
            <w:tcW w:w="1260" w:type="dxa"/>
            <w:vAlign w:val="bottom"/>
          </w:tcPr>
          <w:p>
            <w:pPr>
              <w:jc w:val="right"/>
              <w:ind w:right="459"/>
              <w:spacing w:after="0"/>
              <w:rPr>
                <w:sz w:val="20"/>
                <w:szCs w:val="20"/>
                <w:color w:val="auto"/>
              </w:rPr>
            </w:pPr>
            <w:r>
              <w:rPr>
                <w:rFonts w:ascii="Arial" w:cs="Arial" w:eastAsia="Arial" w:hAnsi="Arial"/>
                <w:sz w:val="16"/>
                <w:szCs w:val="16"/>
                <w:b w:val="1"/>
                <w:bCs w:val="1"/>
                <w:color w:val="auto"/>
              </w:rPr>
              <w:t>years</w:t>
            </w:r>
          </w:p>
        </w:tc>
      </w:tr>
      <w:tr>
        <w:trPr>
          <w:trHeight w:val="33"/>
        </w:trPr>
        <w:tc>
          <w:tcPr>
            <w:tcW w:w="3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Operating leases</w:t>
            </w:r>
          </w:p>
        </w:tc>
        <w:tc>
          <w:tcPr>
            <w:tcW w:w="34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31,768</w:t>
            </w:r>
          </w:p>
        </w:tc>
        <w:tc>
          <w:tcPr>
            <w:tcW w:w="1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7,447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13,771</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6,776</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3,774</w:t>
            </w: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31,768</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7,447</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13,771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6,776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3,774</w:t>
            </w:r>
          </w:p>
        </w:tc>
      </w:tr>
      <w:tr>
        <w:trPr>
          <w:trHeight w:val="20"/>
        </w:trPr>
        <w:tc>
          <w:tcPr>
            <w:tcW w:w="3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result of the expanded scope of our Israeli operations, our currency rate fluctuation risk associated with the exchange rate movement of the U.S. dollar against the New Israeli Shekel (“NIS”) has increased. During the three months ended March 31, 2016, the U.S. dollar depreciated by approximately 2% as compared to the NIS. During the three months ended March 31, 2016, expenses generated by our Israeli operations totaled approximately $5.4 million. During 2016, we hedged this foreign currency risk exposure along with the hedging of the U.S dollar against the Euro, Great Britain Pound ("GBP"), and the Australian Dollar ("AUD"). 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continue to enter in to these types of investments. The functional currency of our wholly-owned Israeli subsidiaries, LivePerson Ltd. (formerly HumanClick Ltd.) and Kasamba Ltd., is the U.S. dollar; the functional currency of our operations in the United Kingdom is the Pound Sterling; the functional currency of our operations in the Netherlands, Germany, Italy and France is the Euro; the functional currency of our operations in Australia is the Australian Dollar; and the functional currency of our operations in Japan is the Japanese Yen.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Risk</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accounts receivable are subject, in the normal course of business, to collection risks. We regularly assess these risks and have established policies and business practices to protect against the adverse effects of collection risks. During the three months ended March 31, 2016, we decreased our allowance for doubtful accounts by $0.1 million to approximately $1.1 million, principally due to a decrease in accounts receivable. During 2015, we decreased our allowance for doubtful accounts from $1.3 million to approximately $1.2 million, principally due to an increase in write-offs compared to 2014. A larger proportion of receivables are due from larger corporate customers that typically have longer payment cycles. We base our allowance for doubtful accounts on specifically identified credit risks of customers, historical trends and other information that we believe to be reasonable. We adjust our allowance for doubtful accounts when accounts previously reserved have been collected.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investments consist of cash and cash equivalents. Therefore, changes in the market’s interest rates do not affect in any material respect the value of the investments as recorded by us.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March 31, 2016. Based on that evaluation, the Chief Executive Officer and Chief Financial Officer concluded that our disclosure controls and procedures were effective as of March 31, 2016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2016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the Effectiveness of Internal Control</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previously filed an intellectual property suit against [24]7 Customer, Inc. in the Southern District of New York on March 6, 2014 seeking damages on the grounds that [24]7 reverse engineered and misappropriated our technology to develop competing products and misused our business information. Discovery in the New York case is in process. On June 22, 2015, [24]7 Customer, Inc. filed suit against us in the Northern District of California alleging patent infringement. On December 7, 2015, [24]7 Customer Inc. filed a second patent infringement suit against us, also in the Northern District of California. On January 5, 2016, the two California cases were consolidated for all pre-trial purposes. We believe the claims filed by [24]7 Customer Inc. are entirely without merit and intend to defend them vigorously.</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jc w:val="both"/>
        <w:ind w:firstLine="648"/>
        <w:spacing w:after="0" w:line="255" w:lineRule="auto"/>
        <w:rPr>
          <w:sz w:val="20"/>
          <w:szCs w:val="20"/>
          <w:color w:val="auto"/>
        </w:rPr>
      </w:pPr>
      <w:r>
        <w:rPr>
          <w:rFonts w:ascii="Arial" w:cs="Arial" w:eastAsia="Arial" w:hAnsi="Arial"/>
          <w:sz w:val="18"/>
          <w:szCs w:val="18"/>
          <w:color w:val="auto"/>
        </w:rPr>
        <w:t>From time to time, third parties assert claims against us regarding intellectual property rights, privacy issues and other matters arising in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in Part I, Item 1A. "Risk Factors" in our Annual Report on Form 10-K for the year ended December 31, 2015, filed on March 15, 2016, which could adversely affect our business, financial condition, results of operations, cash flows, and the trading price of our common stock. There have been no material changes to the risk factors described in our most recent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Equity Securities by the Issuer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repurchase activity for the three months ended March 31, 2016 appears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1880" w:type="dxa"/>
            <w:vAlign w:val="bottom"/>
          </w:tcPr>
          <w:p>
            <w:pPr>
              <w:jc w:val="center"/>
              <w:ind w:right="20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Total Number of</w:t>
            </w:r>
          </w:p>
        </w:tc>
        <w:tc>
          <w:tcPr>
            <w:tcW w:w="240" w:type="dxa"/>
            <w:vAlign w:val="bottom"/>
          </w:tcPr>
          <w:p>
            <w:pPr>
              <w:spacing w:after="0"/>
              <w:rPr>
                <w:sz w:val="12"/>
                <w:szCs w:val="12"/>
                <w:color w:val="auto"/>
              </w:rPr>
            </w:pPr>
          </w:p>
        </w:tc>
        <w:tc>
          <w:tcPr>
            <w:tcW w:w="2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Average Price Paid per</w:t>
            </w: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Period</w:t>
            </w:r>
          </w:p>
        </w:tc>
        <w:tc>
          <w:tcPr>
            <w:tcW w:w="2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2420" w:type="dxa"/>
            <w:vAlign w:val="bottom"/>
            <w:gridSpan w:val="2"/>
            <w:vMerge w:val="continue"/>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 (2)</w:t>
            </w:r>
          </w:p>
        </w:tc>
        <w:tc>
          <w:tcPr>
            <w:tcW w:w="240" w:type="dxa"/>
            <w:vAlign w:val="bottom"/>
          </w:tcPr>
          <w:p>
            <w:pPr>
              <w:spacing w:after="0"/>
              <w:rPr>
                <w:sz w:val="16"/>
                <w:szCs w:val="16"/>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 xml:space="preserve">Share </w:t>
            </w:r>
            <w:r>
              <w:rPr>
                <w:rFonts w:ascii="Arial" w:cs="Arial" w:eastAsia="Arial" w:hAnsi="Arial"/>
                <w:sz w:val="8"/>
                <w:szCs w:val="8"/>
                <w:b w:val="1"/>
                <w:bCs w:val="1"/>
                <w:color w:val="auto"/>
                <w:w w:val="99"/>
              </w:rPr>
              <w:t>(1) (2)</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8"/>
                <w:szCs w:val="8"/>
                <w:b w:val="1"/>
                <w:bCs w:val="1"/>
                <w:color w:val="auto"/>
                <w:w w:val="94"/>
              </w:rPr>
              <w:t>(1) (2)</w:t>
            </w:r>
          </w:p>
        </w:tc>
        <w:tc>
          <w:tcPr>
            <w:tcW w:w="280" w:type="dxa"/>
            <w:vAlign w:val="bottom"/>
          </w:tcPr>
          <w:p>
            <w:pPr>
              <w:spacing w:after="0"/>
              <w:rPr>
                <w:sz w:val="16"/>
                <w:szCs w:val="16"/>
                <w:color w:val="auto"/>
              </w:rPr>
            </w:pPr>
          </w:p>
        </w:tc>
        <w:tc>
          <w:tcPr>
            <w:tcW w:w="1880" w:type="dxa"/>
            <w:vAlign w:val="bottom"/>
          </w:tcPr>
          <w:p>
            <w:pPr>
              <w:jc w:val="center"/>
              <w:ind w:right="160"/>
              <w:spacing w:after="0"/>
              <w:rPr>
                <w:sz w:val="20"/>
                <w:szCs w:val="20"/>
                <w:color w:val="auto"/>
              </w:rPr>
            </w:pPr>
            <w:r>
              <w:rPr>
                <w:rFonts w:ascii="Arial" w:cs="Arial" w:eastAsia="Arial" w:hAnsi="Arial"/>
                <w:sz w:val="14"/>
                <w:szCs w:val="14"/>
                <w:b w:val="1"/>
                <w:bCs w:val="1"/>
                <w:color w:val="auto"/>
                <w:w w:val="97"/>
              </w:rPr>
              <w:t xml:space="preserve">Programs </w:t>
            </w:r>
            <w:r>
              <w:rPr>
                <w:rFonts w:ascii="Arial" w:cs="Arial" w:eastAsia="Arial" w:hAnsi="Arial"/>
                <w:sz w:val="8"/>
                <w:szCs w:val="8"/>
                <w:b w:val="1"/>
                <w:bCs w:val="1"/>
                <w:color w:val="auto"/>
                <w:w w:val="97"/>
              </w:rPr>
              <w:t>(1) (2) (3)</w:t>
            </w:r>
          </w:p>
        </w:tc>
        <w:tc>
          <w:tcPr>
            <w:tcW w:w="0" w:type="dxa"/>
            <w:vAlign w:val="bottom"/>
          </w:tcPr>
          <w:p>
            <w:pPr>
              <w:spacing w:after="0"/>
              <w:rPr>
                <w:sz w:val="1"/>
                <w:szCs w:val="1"/>
                <w:color w:val="auto"/>
              </w:rPr>
            </w:pPr>
          </w:p>
        </w:tc>
      </w:tr>
      <w:tr>
        <w:trPr>
          <w:trHeight w:val="250"/>
        </w:trPr>
        <w:tc>
          <w:tcPr>
            <w:tcW w:w="230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9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16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80" w:type="dxa"/>
            <w:vAlign w:val="bottom"/>
            <w:tcBorders>
              <w:top w:val="single" w:sz="8" w:color="auto"/>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6,102,623</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1/1/2016 – 1/31/2016</w:t>
            </w:r>
          </w:p>
        </w:tc>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6,102,623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2/1/2016 – 2/29/2016</w:t>
            </w:r>
          </w:p>
        </w:tc>
        <w:tc>
          <w:tcPr>
            <w:tcW w:w="2200" w:type="dxa"/>
            <w:vAlign w:val="bottom"/>
            <w:tcBorders>
              <w:bottom w:val="single" w:sz="8" w:color="CCFFCC"/>
            </w:tcBorders>
            <w:shd w:val="clear" w:color="auto" w:fill="CCFFCC"/>
          </w:tcPr>
          <w:p>
            <w:pPr>
              <w:jc w:val="right"/>
              <w:ind w:right="36"/>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FFCC"/>
            </w:tcBorders>
            <w:shd w:val="clear" w:color="auto" w:fill="CCFFCC"/>
          </w:tcPr>
          <w:p>
            <w:pPr>
              <w:jc w:val="right"/>
              <w:ind w:right="16"/>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FFCC"/>
            </w:tcBorders>
            <w:shd w:val="clear" w:color="auto" w:fill="CCFFCC"/>
          </w:tcPr>
          <w:p>
            <w:pPr>
              <w:spacing w:after="0"/>
              <w:rPr>
                <w:sz w:val="21"/>
                <w:szCs w:val="21"/>
                <w:color w:val="auto"/>
              </w:rPr>
            </w:pPr>
          </w:p>
        </w:tc>
        <w:tc>
          <w:tcPr>
            <w:tcW w:w="21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19,408,618</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3/1/2016 – 3/31/2016</w:t>
            </w:r>
          </w:p>
        </w:tc>
        <w:tc>
          <w:tcPr>
            <w:tcW w:w="2200" w:type="dxa"/>
            <w:vAlign w:val="bottom"/>
          </w:tcPr>
          <w:p>
            <w:pPr>
              <w:jc w:val="right"/>
              <w:ind w:right="36"/>
              <w:spacing w:after="0"/>
              <w:rPr>
                <w:sz w:val="20"/>
                <w:szCs w:val="20"/>
                <w:color w:val="auto"/>
              </w:rPr>
            </w:pPr>
            <w:r>
              <w:rPr>
                <w:rFonts w:ascii="Arial" w:cs="Arial" w:eastAsia="Arial" w:hAnsi="Arial"/>
                <w:sz w:val="18"/>
                <w:szCs w:val="18"/>
                <w:color w:val="auto"/>
              </w:rPr>
              <w:t>487,827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6"/>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2160" w:type="dxa"/>
            <w:vAlign w:val="bottom"/>
          </w:tcPr>
          <w:p>
            <w:pPr>
              <w:jc w:val="right"/>
              <w:ind w:right="40"/>
              <w:spacing w:after="0"/>
              <w:rPr>
                <w:sz w:val="20"/>
                <w:szCs w:val="20"/>
                <w:color w:val="auto"/>
              </w:rPr>
            </w:pPr>
            <w:r>
              <w:rPr>
                <w:rFonts w:ascii="Arial" w:cs="Arial" w:eastAsia="Arial" w:hAnsi="Arial"/>
                <w:sz w:val="18"/>
                <w:szCs w:val="18"/>
                <w:color w:val="auto"/>
              </w:rPr>
              <w:t>487,827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16,898,399</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FFCC"/>
            </w:tcBorders>
            <w:shd w:val="clear" w:color="auto" w:fill="CCFFCC"/>
          </w:tcPr>
          <w:p>
            <w:pPr>
              <w:jc w:val="right"/>
              <w:ind w:right="36"/>
              <w:spacing w:after="0"/>
              <w:rPr>
                <w:sz w:val="20"/>
                <w:szCs w:val="20"/>
                <w:color w:val="auto"/>
              </w:rPr>
            </w:pPr>
            <w:r>
              <w:rPr>
                <w:rFonts w:ascii="Arial" w:cs="Arial" w:eastAsia="Arial" w:hAnsi="Arial"/>
                <w:sz w:val="18"/>
                <w:szCs w:val="18"/>
                <w:color w:val="auto"/>
              </w:rPr>
              <w:t>637,827</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FFCC"/>
            </w:tcBorders>
            <w:shd w:val="clear" w:color="auto" w:fill="CCFFCC"/>
          </w:tcPr>
          <w:p>
            <w:pPr>
              <w:jc w:val="right"/>
              <w:ind w:right="16"/>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FFCC"/>
            </w:tcBorders>
            <w:shd w:val="clear" w:color="auto" w:fill="CCFFCC"/>
          </w:tcPr>
          <w:p>
            <w:pPr>
              <w:spacing w:after="0"/>
              <w:rPr>
                <w:sz w:val="21"/>
                <w:szCs w:val="21"/>
                <w:color w:val="auto"/>
              </w:rPr>
            </w:pPr>
          </w:p>
        </w:tc>
        <w:tc>
          <w:tcPr>
            <w:tcW w:w="21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8"/>
                <w:szCs w:val="18"/>
                <w:color w:val="auto"/>
              </w:rPr>
              <w:t>637,827</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16,898,399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300" w:hanging="644"/>
        <w:spacing w:after="0" w:line="259"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December 10, 2012, the Company announced that its Board of Directors approved a share repurchase program through June 30, 2014. Under the stock repurchase program, the Company was authorized to repurchase shares of the Company’s common stock, in the open market or privately negotiated transactions, at times and prices considered appropriate by the Board of Directors depending upon prevailing market conditions and other corporate considerations.</w:t>
      </w:r>
    </w:p>
    <w:p>
      <w:pPr>
        <w:spacing w:after="0" w:line="78" w:lineRule="exact"/>
        <w:rPr>
          <w:rFonts w:ascii="Arial" w:cs="Arial" w:eastAsia="Arial" w:hAnsi="Arial"/>
          <w:sz w:val="18"/>
          <w:szCs w:val="18"/>
          <w:color w:val="auto"/>
        </w:rPr>
      </w:pPr>
    </w:p>
    <w:p>
      <w:pPr>
        <w:jc w:val="both"/>
        <w:ind w:left="1300" w:hanging="644"/>
        <w:spacing w:after="0" w:line="273"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 of June 30, 2014, approximately $1.1 million remained available for purchases under the program as in effect at that time. On July 23, 2014, the Company’s Board of Directors extended the expiration date of the program out to December 31, 2014 and also increased the aggregate purchase price of the stock repurchase program from $40.0 million to $50.0 million. On March 5, 2015, the Company’s Board of Directors extended the expiration date of the program out to December 31, 2016. On February 16, 2016, the Company's Board of Directors increased the aggregate purchase price of the total stock repurchase program by an additional $14.0 million. As of March 31, 2016, approximately $16.9 million remained available for purchases under the program.</w:t>
      </w:r>
    </w:p>
    <w:p>
      <w:pPr>
        <w:spacing w:after="0" w:line="70" w:lineRule="exact"/>
        <w:rPr>
          <w:rFonts w:ascii="Arial" w:cs="Arial" w:eastAsia="Arial" w:hAnsi="Arial"/>
          <w:sz w:val="17"/>
          <w:szCs w:val="17"/>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Transaction fees related to the share purchases are deducted from the total remaining allowable expenditure amount.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19"/>
          </w:cols>
          <w:pgMar w:left="240" w:top="580"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exhibits are filed as part of this Quarterly Report on Form 10-Q:</w:t>
      </w:r>
    </w:p>
    <w:p>
      <w:pPr>
        <w:sectPr>
          <w:pgSz w:w="11900" w:h="16838" w:orient="portrait"/>
          <w:cols w:equalWidth="0" w:num="1">
            <w:col w:w="11320"/>
          </w:cols>
          <w:pgMar w:left="240" w:top="580" w:right="339" w:bottom="1440" w:gutter="0" w:footer="0" w:header="0"/>
        </w:sect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by Chief Executive Officer pursuant to Exchange Act Rule 13a-14(a), as adopted pursuant to Section 302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Chief Financial Officer pursuant to Exchange Act Rule 13a-14(a), as adopted pursuant to Section 302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by Chief Executive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Chief Financial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ind w:right="300" w:firstLine="8"/>
        <w:spacing w:after="0" w:line="342" w:lineRule="auto"/>
        <w:tabs>
          <w:tab w:leader="none" w:pos="357"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6" w:lineRule="exact"/>
        <w:rPr>
          <w:sz w:val="20"/>
          <w:szCs w:val="20"/>
          <w:color w:val="auto"/>
        </w:rPr>
      </w:pPr>
    </w:p>
    <w:p>
      <w:pPr>
        <w:jc w:val="both"/>
        <w:ind w:firstLine="8"/>
        <w:spacing w:after="0" w:line="264" w:lineRule="auto"/>
        <w:tabs>
          <w:tab w:leader="none" w:pos="2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accordance with Rule 406T of Regulation S-T, these XBRL (eXtensible Business Reporting Language) documents are furnished and not filed or a part of a registration statement or prospectus for purposes of Sections 11 or 12 of the Securities Act of 1933 or Section 18 of the Securities Exchange Act of 1934 and otherwise are not subject to liability under these sections.</w:t>
      </w: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580" w:right="339" w:bottom="1440" w:gutter="0" w:footer="0" w:header="0"/>
          <w:type w:val="continuous"/>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LIVEPERSON, INC.</w:t>
      </w:r>
    </w:p>
    <w:p>
      <w:pPr>
        <w:spacing w:after="0" w:line="6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40" w:type="dxa"/>
            <w:vAlign w:val="bottom"/>
          </w:tcPr>
          <w:p>
            <w:pPr>
              <w:ind w:left="160"/>
              <w:spacing w:after="0"/>
              <w:rPr>
                <w:sz w:val="20"/>
                <w:szCs w:val="20"/>
                <w:color w:val="auto"/>
              </w:rPr>
            </w:pPr>
            <w:r>
              <w:rPr>
                <w:rFonts w:ascii="Arial" w:cs="Arial" w:eastAsia="Arial" w:hAnsi="Arial"/>
                <w:sz w:val="18"/>
                <w:szCs w:val="18"/>
                <w:color w:val="auto"/>
              </w:rPr>
              <w:t>May 10, 2016</w:t>
            </w:r>
          </w:p>
        </w:tc>
        <w:tc>
          <w:tcPr>
            <w:tcW w:w="2180" w:type="dxa"/>
            <w:vAlign w:val="bottom"/>
          </w:tcPr>
          <w:p>
            <w:pPr>
              <w:ind w:left="168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ROBERT P. LOCASCIO</w:t>
            </w:r>
          </w:p>
        </w:tc>
      </w:tr>
      <w:tr>
        <w:trPr>
          <w:trHeight w:val="27"/>
        </w:trPr>
        <w:tc>
          <w:tcPr>
            <w:tcW w:w="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180" w:type="dxa"/>
            <w:vAlign w:val="bottom"/>
          </w:tcPr>
          <w:p>
            <w:pPr>
              <w:ind w:left="168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Robert P. LoCascio</w:t>
            </w:r>
          </w:p>
        </w:tc>
      </w:tr>
      <w:tr>
        <w:trPr>
          <w:trHeight w:val="270"/>
        </w:trPr>
        <w:tc>
          <w:tcPr>
            <w:tcW w:w="5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180" w:type="dxa"/>
            <w:vAlign w:val="bottom"/>
          </w:tcPr>
          <w:p>
            <w:pPr>
              <w:ind w:left="168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40" w:type="dxa"/>
            <w:vAlign w:val="bottom"/>
          </w:tcPr>
          <w:p>
            <w:pPr>
              <w:ind w:left="160"/>
              <w:spacing w:after="0"/>
              <w:rPr>
                <w:sz w:val="20"/>
                <w:szCs w:val="20"/>
                <w:color w:val="auto"/>
              </w:rPr>
            </w:pPr>
            <w:r>
              <w:rPr>
                <w:rFonts w:ascii="Arial" w:cs="Arial" w:eastAsia="Arial" w:hAnsi="Arial"/>
                <w:sz w:val="18"/>
                <w:szCs w:val="18"/>
                <w:color w:val="auto"/>
              </w:rPr>
              <w:t>May 10, 2016</w:t>
            </w:r>
          </w:p>
        </w:tc>
        <w:tc>
          <w:tcPr>
            <w:tcW w:w="2180" w:type="dxa"/>
            <w:vAlign w:val="bottom"/>
          </w:tcPr>
          <w:p>
            <w:pPr>
              <w:ind w:left="168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DANIEL R. MURPHY</w:t>
            </w:r>
          </w:p>
        </w:tc>
      </w:tr>
      <w:tr>
        <w:trPr>
          <w:trHeight w:val="27"/>
        </w:trPr>
        <w:tc>
          <w:tcPr>
            <w:tcW w:w="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180" w:type="dxa"/>
            <w:vAlign w:val="bottom"/>
          </w:tcPr>
          <w:p>
            <w:pPr>
              <w:ind w:left="168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Daniel R. Murphy</w:t>
            </w:r>
          </w:p>
        </w:tc>
      </w:tr>
      <w:tr>
        <w:trPr>
          <w:trHeight w:val="270"/>
        </w:trPr>
        <w:tc>
          <w:tcPr>
            <w:tcW w:w="5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180" w:type="dxa"/>
            <w:vAlign w:val="bottom"/>
          </w:tcPr>
          <w:p>
            <w:pPr>
              <w:ind w:left="168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594"/>
        </w:trPr>
        <w:tc>
          <w:tcPr>
            <w:tcW w:w="5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9"/>
              </w:rPr>
              <w:t>39</w:t>
            </w:r>
          </w:p>
        </w:tc>
        <w:tc>
          <w:tcPr>
            <w:tcW w:w="5260" w:type="dxa"/>
            <w:vAlign w:val="bottom"/>
          </w:tcPr>
          <w:p>
            <w:pPr>
              <w:spacing w:after="0"/>
              <w:rPr>
                <w:sz w:val="24"/>
                <w:szCs w:val="24"/>
                <w:color w:val="auto"/>
              </w:rPr>
            </w:pPr>
          </w:p>
        </w:tc>
      </w:tr>
    </w:tbl>
    <w:p>
      <w:pPr>
        <w:sectPr>
          <w:pgSz w:w="11900" w:h="16838" w:orient="portrait"/>
          <w:cols w:equalWidth="0" w:num="1">
            <w:col w:w="11380"/>
          </w:cols>
          <w:pgMar w:left="240" w:top="580" w:right="27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486"/>
        </w:trPr>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992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1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546"/>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Certification by Chief Executive Officer pursuant to Exchange Act Rule 13a-14(a), as adopted pursuant to Section 302 of the Sarbanes-</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Oxley Act of 2002</w:t>
            </w:r>
          </w:p>
        </w:tc>
      </w:tr>
      <w:tr>
        <w:trPr>
          <w:trHeight w:val="553"/>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by Chief Financial Officer pursuant to Exchange Act Rule 13a-14(a), as adopted pursuant to Section 302 of the Sarbanes-</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Oxley Act of 2002</w:t>
            </w:r>
          </w:p>
        </w:tc>
      </w:tr>
      <w:tr>
        <w:trPr>
          <w:trHeight w:val="553"/>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by Chief Executive Officer pursuant to 18 U.S.C. Section 1350, as adopted pursuant to Section 906 of the Sarbanes-Oxley</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553"/>
        </w:trPr>
        <w:tc>
          <w:tcPr>
            <w:tcW w:w="1160" w:type="dxa"/>
            <w:vAlign w:val="bottom"/>
          </w:tcPr>
          <w:p>
            <w:pPr>
              <w:ind w:left="4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by Chief Financial Officer pursuant to 18 U.S.C. Section 1350, as adopted pursuant to Section 906 of the Sarbanes-Oxley</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92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21" w:lineRule="exact"/>
        <w:rPr>
          <w:sz w:val="20"/>
          <w:szCs w:val="20"/>
          <w:color w:val="auto"/>
        </w:rPr>
      </w:pPr>
    </w:p>
    <w:p>
      <w:pPr>
        <w:ind w:right="400" w:firstLine="8"/>
        <w:spacing w:after="0" w:line="342" w:lineRule="auto"/>
        <w:tabs>
          <w:tab w:leader="none" w:pos="357"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6" w:lineRule="exact"/>
        <w:rPr>
          <w:sz w:val="20"/>
          <w:szCs w:val="20"/>
          <w:color w:val="auto"/>
        </w:rPr>
      </w:pPr>
    </w:p>
    <w:p>
      <w:pPr>
        <w:jc w:val="both"/>
        <w:ind w:right="100" w:firstLine="8"/>
        <w:spacing w:after="0" w:line="264" w:lineRule="auto"/>
        <w:tabs>
          <w:tab w:leader="none" w:pos="2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accordance with Rule 406T of Regulation S-T, these XBRL (eXtensible Business Reporting Language) documents are furnished and not filed or a part of a registration statement or prospectus for purposes of Sections 11 or 12 of the Securities Act of 1933 or Section 18 of the Securities Exchange Act of 1934 and otherwise are not subject to liability under these sections.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17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260"/>
              <w:spacing w:after="0"/>
              <w:rPr>
                <w:sz w:val="20"/>
                <w:szCs w:val="20"/>
                <w:color w:val="auto"/>
              </w:rPr>
            </w:pPr>
            <w:r>
              <w:rPr>
                <w:rFonts w:ascii="Arial" w:cs="Arial" w:eastAsia="Arial" w:hAnsi="Arial"/>
                <w:sz w:val="18"/>
                <w:szCs w:val="18"/>
                <w:color w:val="auto"/>
              </w:rPr>
              <w:t>May 10, 2016</w:t>
            </w:r>
          </w:p>
        </w:tc>
        <w:tc>
          <w:tcPr>
            <w:tcW w:w="2520" w:type="dxa"/>
            <w:vAlign w:val="bottom"/>
          </w:tcPr>
          <w:p>
            <w:pPr>
              <w:ind w:left="1760"/>
              <w:spacing w:after="0"/>
              <w:rPr>
                <w:sz w:val="20"/>
                <w:szCs w:val="20"/>
                <w:color w:val="auto"/>
              </w:rPr>
            </w:pPr>
            <w:r>
              <w:rPr>
                <w:rFonts w:ascii="Arial" w:cs="Arial" w:eastAsia="Arial" w:hAnsi="Arial"/>
                <w:sz w:val="18"/>
                <w:szCs w:val="18"/>
                <w:color w:val="auto"/>
              </w:rPr>
              <w:t>By:</w:t>
            </w:r>
          </w:p>
        </w:tc>
        <w:tc>
          <w:tcPr>
            <w:tcW w:w="508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520" w:type="dxa"/>
            <w:vAlign w:val="bottom"/>
            <w:vMerge w:val="restart"/>
          </w:tcPr>
          <w:p>
            <w:pPr>
              <w:ind w:left="1760"/>
              <w:spacing w:after="0"/>
              <w:rPr>
                <w:sz w:val="20"/>
                <w:szCs w:val="20"/>
                <w:color w:val="auto"/>
              </w:rPr>
            </w:pPr>
            <w:r>
              <w:rPr>
                <w:rFonts w:ascii="Arial" w:cs="Arial" w:eastAsia="Arial" w:hAnsi="Arial"/>
                <w:sz w:val="18"/>
                <w:szCs w:val="18"/>
                <w:color w:val="auto"/>
              </w:rPr>
              <w:t>Name:</w:t>
            </w: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520" w:type="dxa"/>
            <w:vAlign w:val="bottom"/>
            <w:vMerge w:val="continue"/>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520" w:type="dxa"/>
            <w:vAlign w:val="bottom"/>
          </w:tcPr>
          <w:p>
            <w:pPr>
              <w:ind w:left="1760"/>
              <w:spacing w:after="0"/>
              <w:rPr>
                <w:sz w:val="20"/>
                <w:szCs w:val="20"/>
                <w:color w:val="auto"/>
              </w:rPr>
            </w:pPr>
            <w:r>
              <w:rPr>
                <w:rFonts w:ascii="Arial" w:cs="Arial" w:eastAsia="Arial" w:hAnsi="Arial"/>
                <w:sz w:val="18"/>
                <w:szCs w:val="18"/>
                <w:color w:val="auto"/>
              </w:rPr>
              <w:t>Title:</w:t>
            </w:r>
          </w:p>
        </w:tc>
        <w:tc>
          <w:tcPr>
            <w:tcW w:w="50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Daniel R. Murphy, certify that:</w:t>
      </w:r>
    </w:p>
    <w:p>
      <w:pPr>
        <w:spacing w:after="0" w:line="171"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tcPr>
          <w:p>
            <w:pPr>
              <w:ind w:left="260"/>
              <w:spacing w:after="0"/>
              <w:rPr>
                <w:sz w:val="20"/>
                <w:szCs w:val="20"/>
                <w:color w:val="auto"/>
              </w:rPr>
            </w:pPr>
            <w:r>
              <w:rPr>
                <w:rFonts w:ascii="Arial" w:cs="Arial" w:eastAsia="Arial" w:hAnsi="Arial"/>
                <w:sz w:val="18"/>
                <w:szCs w:val="18"/>
                <w:color w:val="auto"/>
              </w:rPr>
              <w:t>May 10, 2016</w:t>
            </w:r>
          </w:p>
        </w:tc>
        <w:tc>
          <w:tcPr>
            <w:tcW w:w="2400" w:type="dxa"/>
            <w:vAlign w:val="bottom"/>
          </w:tcPr>
          <w:p>
            <w:pPr>
              <w:ind w:left="1640"/>
              <w:spacing w:after="0"/>
              <w:rPr>
                <w:sz w:val="20"/>
                <w:szCs w:val="20"/>
                <w:color w:val="auto"/>
              </w:rPr>
            </w:pPr>
            <w:r>
              <w:rPr>
                <w:rFonts w:ascii="Arial" w:cs="Arial" w:eastAsia="Arial" w:hAnsi="Arial"/>
                <w:sz w:val="18"/>
                <w:szCs w:val="18"/>
                <w:color w:val="auto"/>
              </w:rPr>
              <w:t>By:</w:t>
            </w:r>
          </w:p>
        </w:tc>
        <w:tc>
          <w:tcPr>
            <w:tcW w:w="5300" w:type="dxa"/>
            <w:vAlign w:val="bottom"/>
          </w:tcPr>
          <w:p>
            <w:pPr>
              <w:ind w:left="20"/>
              <w:spacing w:after="0"/>
              <w:rPr>
                <w:sz w:val="20"/>
                <w:szCs w:val="20"/>
                <w:color w:val="auto"/>
              </w:rPr>
            </w:pPr>
            <w:r>
              <w:rPr>
                <w:rFonts w:ascii="Arial" w:cs="Arial" w:eastAsia="Arial" w:hAnsi="Arial"/>
                <w:sz w:val="18"/>
                <w:szCs w:val="18"/>
                <w:color w:val="auto"/>
              </w:rPr>
              <w:t>/s/ DANIEL R. MURPHY</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400" w:type="dxa"/>
            <w:vAlign w:val="bottom"/>
            <w:vMerge w:val="restart"/>
          </w:tcPr>
          <w:p>
            <w:pPr>
              <w:ind w:left="1640"/>
              <w:spacing w:after="0"/>
              <w:rPr>
                <w:sz w:val="20"/>
                <w:szCs w:val="20"/>
                <w:color w:val="auto"/>
              </w:rPr>
            </w:pPr>
            <w:r>
              <w:rPr>
                <w:rFonts w:ascii="Arial" w:cs="Arial" w:eastAsia="Arial" w:hAnsi="Arial"/>
                <w:sz w:val="18"/>
                <w:szCs w:val="18"/>
                <w:color w:val="auto"/>
              </w:rPr>
              <w:t>Name:</w:t>
            </w: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400" w:type="dxa"/>
            <w:vAlign w:val="bottom"/>
            <w:vMerge w:val="continue"/>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Daniel R. Murphy</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2400" w:type="dxa"/>
            <w:vAlign w:val="bottom"/>
          </w:tcPr>
          <w:p>
            <w:pPr>
              <w:ind w:left="1640"/>
              <w:spacing w:after="0"/>
              <w:rPr>
                <w:sz w:val="20"/>
                <w:szCs w:val="20"/>
                <w:color w:val="auto"/>
              </w:rPr>
            </w:pPr>
            <w:r>
              <w:rPr>
                <w:rFonts w:ascii="Arial" w:cs="Arial" w:eastAsia="Arial" w:hAnsi="Arial"/>
                <w:sz w:val="18"/>
                <w:szCs w:val="18"/>
                <w:color w:val="auto"/>
              </w:rPr>
              <w:t>Title:</w:t>
            </w:r>
          </w:p>
        </w:tc>
        <w:tc>
          <w:tcPr>
            <w:tcW w:w="53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 Robert P. LoCascio, Chief Executive Officer of LivePerson, Inc. (the “Company”),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ind w:left="660" w:right="30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March 31, 2016, as filed with the Securities and Exchange Commission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ind w:left="200"/>
              <w:spacing w:after="0"/>
              <w:rPr>
                <w:sz w:val="20"/>
                <w:szCs w:val="20"/>
                <w:color w:val="auto"/>
              </w:rPr>
            </w:pPr>
            <w:r>
              <w:rPr>
                <w:rFonts w:ascii="Arial" w:cs="Arial" w:eastAsia="Arial" w:hAnsi="Arial"/>
                <w:sz w:val="18"/>
                <w:szCs w:val="18"/>
                <w:color w:val="auto"/>
              </w:rPr>
              <w:t>May 10, 2016</w:t>
            </w:r>
          </w:p>
        </w:tc>
        <w:tc>
          <w:tcPr>
            <w:tcW w:w="2540" w:type="dxa"/>
            <w:vAlign w:val="bottom"/>
          </w:tcPr>
          <w:p>
            <w:pPr>
              <w:ind w:left="180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540" w:type="dxa"/>
            <w:vAlign w:val="bottom"/>
            <w:vMerge w:val="restart"/>
          </w:tcPr>
          <w:p>
            <w:pPr>
              <w:ind w:left="1800"/>
              <w:spacing w:after="0"/>
              <w:rPr>
                <w:sz w:val="20"/>
                <w:szCs w:val="20"/>
                <w:color w:val="auto"/>
              </w:rPr>
            </w:pPr>
            <w:r>
              <w:rPr>
                <w:rFonts w:ascii="Arial" w:cs="Arial" w:eastAsia="Arial" w:hAnsi="Arial"/>
                <w:sz w:val="18"/>
                <w:szCs w:val="18"/>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540" w:type="dxa"/>
            <w:vAlign w:val="bottom"/>
            <w:vMerge w:val="continue"/>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540" w:type="dxa"/>
            <w:vAlign w:val="bottom"/>
          </w:tcPr>
          <w:p>
            <w:pPr>
              <w:ind w:left="1800"/>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Daniel R. Murphy, Chief Financial Officer of LivePerson, Inc. (the “Company”), certify, pursuant to 18 U.S.C. Section 1350, as adopted pursuant to Section 906 of the Sarbanes-Oxley Act of 2002, that:</w:t>
      </w:r>
    </w:p>
    <w:p>
      <w:pPr>
        <w:spacing w:after="0" w:line="116" w:lineRule="exact"/>
        <w:rPr>
          <w:sz w:val="20"/>
          <w:szCs w:val="20"/>
          <w:color w:val="auto"/>
        </w:rPr>
      </w:pPr>
    </w:p>
    <w:p>
      <w:pPr>
        <w:ind w:left="660" w:right="30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March 31, 2016, as filed with the Securities and Exchange Commission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ind w:left="300"/>
              <w:spacing w:after="0"/>
              <w:rPr>
                <w:sz w:val="20"/>
                <w:szCs w:val="20"/>
                <w:color w:val="auto"/>
              </w:rPr>
            </w:pPr>
            <w:r>
              <w:rPr>
                <w:rFonts w:ascii="Arial" w:cs="Arial" w:eastAsia="Arial" w:hAnsi="Arial"/>
                <w:sz w:val="18"/>
                <w:szCs w:val="18"/>
                <w:color w:val="auto"/>
              </w:rPr>
              <w:t>May 10, 2016</w:t>
            </w:r>
          </w:p>
        </w:tc>
        <w:tc>
          <w:tcPr>
            <w:tcW w:w="2560" w:type="dxa"/>
            <w:vAlign w:val="bottom"/>
          </w:tcPr>
          <w:p>
            <w:pPr>
              <w:ind w:left="180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DANIEL R. MURPHY</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560" w:type="dxa"/>
            <w:vAlign w:val="bottom"/>
            <w:vMerge w:val="restart"/>
          </w:tcPr>
          <w:p>
            <w:pPr>
              <w:ind w:left="180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560" w:type="dxa"/>
            <w:vAlign w:val="bottom"/>
            <w:vMerge w:val="continue"/>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Daniel R. Murphy</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560" w:type="dxa"/>
            <w:vAlign w:val="bottom"/>
          </w:tcPr>
          <w:p>
            <w:pPr>
              <w:ind w:left="180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decimal"/>
      <w:start w:val="3"/>
    </w:lvl>
  </w:abstractNum>
  <w:abstractNum w:abstractNumId="5">
    <w:nsid w:val="721DA317"/>
    <w:multiLevelType w:val="hybridMultilevel"/>
    <w:lvl w:ilvl="0">
      <w:lvlJc w:val="left"/>
      <w:lvlText w:val="%1."/>
      <w:numFmt w:val="decimal"/>
      <w:start w:val="4"/>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5"/>
    </w:lvl>
  </w:abstractNum>
  <w:abstractNum w:abstractNumId="9">
    <w:nsid w:val="75A2A8D4"/>
    <w:multiLevelType w:val="hybridMultilevel"/>
    <w:lvl w:ilvl="0">
      <w:lvlJc w:val="left"/>
      <w:lvlText w:val="%1."/>
      <w:numFmt w:val="decimal"/>
      <w:start w:val="6"/>
    </w:lvl>
  </w:abstractNum>
  <w:abstractNum w:abstractNumId="10">
    <w:nsid w:val="8EDBDAB"/>
    <w:multiLevelType w:val="hybridMultilevel"/>
    <w:lvl w:ilvl="0">
      <w:lvlJc w:val="left"/>
      <w:lvlText w:val="%1."/>
      <w:numFmt w:val="decimal"/>
      <w:start w:val="7"/>
    </w:lvl>
  </w:abstractNum>
  <w:abstractNum w:abstractNumId="11">
    <w:nsid w:val="79838CB2"/>
    <w:multiLevelType w:val="hybridMultilevel"/>
    <w:lvl w:ilvl="0">
      <w:lvlJc w:val="left"/>
      <w:lvlText w:val="%1."/>
      <w:numFmt w:val="decimal"/>
      <w:start w:val="8"/>
    </w:lvl>
  </w:abstractNum>
  <w:abstractNum w:abstractNumId="12">
    <w:nsid w:val="4353D0CD"/>
    <w:multiLevelType w:val="hybridMultilevel"/>
    <w:lvl w:ilvl="0">
      <w:lvlJc w:val="left"/>
      <w:lvlText w:val="%1."/>
      <w:numFmt w:val="decimal"/>
      <w:start w:val="9"/>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decimal"/>
      <w:start w:val="450"/>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decimal"/>
      <w:start w:val="5"/>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5"/>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2019-12-29T11:49:53Z</dcterms:created>
  <dcterms:modified xsi:type="dcterms:W3CDTF">2019-12-29T11:49:53Z</dcterms:modified>
</cp:coreProperties>
</file>