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20"/>
        <w:spacing w:after="0"/>
        <w:rPr>
          <w:sz w:val="20"/>
          <w:szCs w:val="20"/>
          <w:color w:val="auto"/>
        </w:rPr>
      </w:pPr>
      <w:r>
        <w:rPr>
          <w:rFonts w:ascii="Arial" w:cs="Arial" w:eastAsia="Arial" w:hAnsi="Arial"/>
          <w:sz w:val="20"/>
          <w:szCs w:val="20"/>
          <w:b w:val="1"/>
          <w:bCs w:val="1"/>
          <w:color w:val="auto"/>
        </w:rPr>
        <w:t>UNITED STATES</w:t>
      </w:r>
    </w:p>
    <w:p>
      <w:pPr>
        <w:spacing w:after="0" w:line="25" w:lineRule="exact"/>
        <w:rPr>
          <w:sz w:val="24"/>
          <w:szCs w:val="24"/>
          <w:color w:val="auto"/>
        </w:rPr>
      </w:pPr>
    </w:p>
    <w:p>
      <w:pPr>
        <w:jc w:val="center"/>
        <w:ind w:left="320"/>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WASHINGTON, D.C. 20549</w:t>
      </w:r>
    </w:p>
    <w:p>
      <w:pPr>
        <w:spacing w:after="0" w:line="116" w:lineRule="exact"/>
        <w:rPr>
          <w:sz w:val="24"/>
          <w:szCs w:val="24"/>
          <w:color w:val="auto"/>
        </w:rPr>
      </w:pPr>
    </w:p>
    <w:p>
      <w:pPr>
        <w:jc w:val="center"/>
        <w:ind w:left="320"/>
        <w:spacing w:after="0"/>
        <w:rPr>
          <w:sz w:val="20"/>
          <w:szCs w:val="20"/>
          <w:color w:val="auto"/>
        </w:rPr>
      </w:pPr>
      <w:r>
        <w:rPr>
          <w:rFonts w:ascii="Arial" w:cs="Arial" w:eastAsia="Arial" w:hAnsi="Arial"/>
          <w:sz w:val="23"/>
          <w:szCs w:val="23"/>
          <w:b w:val="1"/>
          <w:bCs w:val="1"/>
          <w:color w:val="auto"/>
        </w:rPr>
        <w:t>FORM 10-Q</w:t>
      </w:r>
    </w:p>
    <w:p>
      <w:pPr>
        <w:spacing w:after="0" w:line="3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2" w:lineRule="exact"/>
        <w:rPr>
          <w:sz w:val="24"/>
          <w:szCs w:val="24"/>
          <w:color w:val="auto"/>
        </w:rPr>
      </w:pPr>
    </w:p>
    <w:p>
      <w:pPr>
        <w:ind w:left="2320" w:hanging="172"/>
        <w:spacing w:after="0"/>
        <w:tabs>
          <w:tab w:leader="none" w:pos="2320" w:val="left"/>
        </w:tabs>
        <w:numPr>
          <w:ilvl w:val="0"/>
          <w:numId w:val="1"/>
        </w:numPr>
        <w:rPr>
          <w:rFonts w:ascii="MS PGothic" w:cs="MS PGothic" w:eastAsia="MS PGothic" w:hAnsi="MS PGothic"/>
          <w:sz w:val="14"/>
          <w:szCs w:val="14"/>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137"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94" w:lineRule="exact"/>
        <w:rPr>
          <w:sz w:val="24"/>
          <w:szCs w:val="24"/>
          <w:color w:val="auto"/>
        </w:rPr>
      </w:pPr>
    </w:p>
    <w:p>
      <w:pPr>
        <w:jc w:val="center"/>
        <w:ind w:left="320"/>
        <w:spacing w:after="0"/>
        <w:rPr>
          <w:sz w:val="20"/>
          <w:szCs w:val="20"/>
          <w:color w:val="auto"/>
        </w:rPr>
      </w:pPr>
      <w:r>
        <w:rPr>
          <w:rFonts w:ascii="Arial" w:cs="Arial" w:eastAsia="Arial" w:hAnsi="Arial"/>
          <w:sz w:val="14"/>
          <w:szCs w:val="14"/>
          <w:b w:val="1"/>
          <w:bCs w:val="1"/>
          <w:color w:val="auto"/>
        </w:rPr>
        <w:t>or</w:t>
      </w:r>
    </w:p>
    <w:p>
      <w:pPr>
        <w:spacing w:after="0" w:line="91" w:lineRule="exact"/>
        <w:rPr>
          <w:sz w:val="24"/>
          <w:szCs w:val="24"/>
          <w:color w:val="auto"/>
        </w:rPr>
      </w:pPr>
    </w:p>
    <w:p>
      <w:pPr>
        <w:jc w:val="center"/>
        <w:ind w:left="4060" w:right="2140" w:hanging="1916"/>
        <w:spacing w:after="0" w:line="418" w:lineRule="auto"/>
        <w:tabs>
          <w:tab w:leader="none" w:pos="2305"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4"/>
          <w:szCs w:val="14"/>
          <w:b w:val="1"/>
          <w:bCs w:val="1"/>
          <w:color w:val="auto"/>
        </w:rPr>
        <w:t>For the transition period from __________ to __________.</w:t>
      </w:r>
    </w:p>
    <w:p>
      <w:pPr>
        <w:spacing w:after="0" w:line="2" w:lineRule="exact"/>
        <w:rPr>
          <w:rFonts w:ascii="MS PGothic" w:cs="MS PGothic" w:eastAsia="MS PGothic" w:hAnsi="MS PGothic"/>
          <w:sz w:val="13"/>
          <w:szCs w:val="13"/>
          <w:color w:val="auto"/>
        </w:rPr>
      </w:pPr>
    </w:p>
    <w:p>
      <w:pPr>
        <w:ind w:left="470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Commission File Number: 000-30141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75565</wp:posOffset>
            </wp:positionV>
            <wp:extent cx="15697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9720" cy="6985"/>
                    </a:xfrm>
                    <a:prstGeom prst="rect">
                      <a:avLst/>
                    </a:prstGeom>
                    <a:noFill/>
                  </pic:spPr>
                </pic:pic>
              </a:graphicData>
            </a:graphic>
          </wp:anchor>
        </w:drawing>
      </w:r>
    </w:p>
    <w:p>
      <w:pPr>
        <w:spacing w:after="0" w:line="157" w:lineRule="exact"/>
        <w:rPr>
          <w:sz w:val="24"/>
          <w:szCs w:val="24"/>
          <w:color w:val="auto"/>
        </w:rPr>
      </w:pPr>
    </w:p>
    <w:tbl>
      <w:tblPr>
        <w:tblLayout w:type="fixed"/>
        <w:tblInd w:w="820" w:type="dxa"/>
        <w:tblCellMar>
          <w:top w:w="0" w:type="dxa"/>
          <w:left w:w="0" w:type="dxa"/>
          <w:bottom w:w="0" w:type="dxa"/>
          <w:right w:w="0" w:type="dxa"/>
        </w:tblCellMar>
      </w:tblPr>
      <w:tr>
        <w:trPr>
          <w:trHeight w:val="264"/>
        </w:trPr>
        <w:tc>
          <w:tcPr>
            <w:tcW w:w="3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20" w:type="dxa"/>
            <w:vAlign w:val="bottom"/>
            <w:gridSpan w:val="4"/>
          </w:tcPr>
          <w:p>
            <w:pPr>
              <w:jc w:val="center"/>
              <w:ind w:right="160"/>
              <w:spacing w:after="0"/>
              <w:rPr>
                <w:sz w:val="20"/>
                <w:szCs w:val="20"/>
                <w:color w:val="auto"/>
              </w:rPr>
            </w:pPr>
            <w:r>
              <w:rPr>
                <w:rFonts w:ascii="Arial" w:cs="Arial" w:eastAsia="Arial" w:hAnsi="Arial"/>
                <w:sz w:val="23"/>
                <w:szCs w:val="23"/>
                <w:b w:val="1"/>
                <w:bCs w:val="1"/>
                <w:color w:val="auto"/>
                <w:w w:val="99"/>
              </w:rPr>
              <w:t>LIVEPERSON, INC.</w:t>
            </w: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2920" w:type="dxa"/>
            <w:vAlign w:val="bottom"/>
            <w:gridSpan w:val="6"/>
          </w:tcPr>
          <w:p>
            <w:pPr>
              <w:jc w:val="center"/>
              <w:ind w:left="74"/>
              <w:spacing w:after="0"/>
              <w:rPr>
                <w:sz w:val="20"/>
                <w:szCs w:val="20"/>
                <w:color w:val="auto"/>
              </w:rPr>
            </w:pPr>
            <w:r>
              <w:rPr>
                <w:rFonts w:ascii="Arial" w:cs="Arial" w:eastAsia="Arial" w:hAnsi="Arial"/>
                <w:sz w:val="13"/>
                <w:szCs w:val="13"/>
                <w:color w:val="auto"/>
                <w:w w:val="88"/>
              </w:rPr>
              <w:t>(Exact name of registrant as specified in its charter)</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3460" w:type="dxa"/>
            <w:vAlign w:val="bottom"/>
            <w:vMerge w:val="restart"/>
          </w:tcPr>
          <w:p>
            <w:pPr>
              <w:jc w:val="center"/>
              <w:ind w:left="1776"/>
              <w:spacing w:after="0"/>
              <w:rPr>
                <w:sz w:val="20"/>
                <w:szCs w:val="20"/>
                <w:color w:val="auto"/>
              </w:rPr>
            </w:pPr>
            <w:r>
              <w:rPr>
                <w:rFonts w:ascii="Arial" w:cs="Arial" w:eastAsia="Arial" w:hAnsi="Arial"/>
                <w:sz w:val="13"/>
                <w:szCs w:val="13"/>
                <w:b w:val="1"/>
                <w:bCs w:val="1"/>
                <w:color w:val="auto"/>
                <w:w w:val="87"/>
              </w:rPr>
              <w:t>Delaware</w:t>
            </w: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3280" w:type="dxa"/>
            <w:vAlign w:val="bottom"/>
            <w:vMerge w:val="restart"/>
          </w:tcPr>
          <w:p>
            <w:pPr>
              <w:jc w:val="right"/>
              <w:ind w:right="1956"/>
              <w:spacing w:after="0"/>
              <w:rPr>
                <w:sz w:val="20"/>
                <w:szCs w:val="20"/>
                <w:color w:val="auto"/>
              </w:rPr>
            </w:pPr>
            <w:r>
              <w:rPr>
                <w:rFonts w:ascii="Arial" w:cs="Arial" w:eastAsia="Arial" w:hAnsi="Arial"/>
                <w:sz w:val="13"/>
                <w:szCs w:val="13"/>
                <w:b w:val="1"/>
                <w:bCs w:val="1"/>
                <w:color w:val="auto"/>
              </w:rPr>
              <w:t>13-3861628</w:t>
            </w:r>
          </w:p>
        </w:tc>
        <w:tc>
          <w:tcPr>
            <w:tcW w:w="0" w:type="dxa"/>
            <w:vAlign w:val="bottom"/>
          </w:tcPr>
          <w:p>
            <w:pPr>
              <w:spacing w:after="0"/>
              <w:rPr>
                <w:sz w:val="1"/>
                <w:szCs w:val="1"/>
                <w:color w:val="auto"/>
              </w:rPr>
            </w:pPr>
          </w:p>
        </w:tc>
      </w:tr>
      <w:tr>
        <w:trPr>
          <w:trHeight w:val="283"/>
        </w:trPr>
        <w:tc>
          <w:tcPr>
            <w:tcW w:w="3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460" w:type="dxa"/>
            <w:vAlign w:val="bottom"/>
          </w:tcPr>
          <w:p>
            <w:pPr>
              <w:jc w:val="center"/>
              <w:ind w:left="1776"/>
              <w:spacing w:after="0"/>
              <w:rPr>
                <w:sz w:val="20"/>
                <w:szCs w:val="20"/>
                <w:color w:val="auto"/>
              </w:rPr>
            </w:pPr>
            <w:r>
              <w:rPr>
                <w:rFonts w:ascii="Arial" w:cs="Arial" w:eastAsia="Arial" w:hAnsi="Arial"/>
                <w:sz w:val="13"/>
                <w:szCs w:val="13"/>
                <w:color w:val="auto"/>
                <w:w w:val="89"/>
              </w:rPr>
              <w:t>(State or other jurisdiction of</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80" w:type="dxa"/>
            <w:vAlign w:val="bottom"/>
          </w:tcPr>
          <w:p>
            <w:pPr>
              <w:jc w:val="center"/>
              <w:ind w:right="1316"/>
              <w:spacing w:after="0"/>
              <w:rPr>
                <w:sz w:val="20"/>
                <w:szCs w:val="20"/>
                <w:color w:val="auto"/>
              </w:rPr>
            </w:pPr>
            <w:r>
              <w:rPr>
                <w:rFonts w:ascii="Arial" w:cs="Arial" w:eastAsia="Arial" w:hAnsi="Arial"/>
                <w:sz w:val="13"/>
                <w:szCs w:val="13"/>
                <w:color w:val="auto"/>
                <w:w w:val="91"/>
              </w:rPr>
              <w:t>(IRS Employer Identification No.)</w:t>
            </w:r>
          </w:p>
        </w:tc>
        <w:tc>
          <w:tcPr>
            <w:tcW w:w="0" w:type="dxa"/>
            <w:vAlign w:val="bottom"/>
          </w:tcPr>
          <w:p>
            <w:pPr>
              <w:spacing w:after="0"/>
              <w:rPr>
                <w:sz w:val="1"/>
                <w:szCs w:val="1"/>
                <w:color w:val="auto"/>
              </w:rPr>
            </w:pPr>
          </w:p>
        </w:tc>
      </w:tr>
      <w:tr>
        <w:trPr>
          <w:trHeight w:val="161"/>
        </w:trPr>
        <w:tc>
          <w:tcPr>
            <w:tcW w:w="3460" w:type="dxa"/>
            <w:vAlign w:val="bottom"/>
          </w:tcPr>
          <w:p>
            <w:pPr>
              <w:jc w:val="center"/>
              <w:ind w:left="1776"/>
              <w:spacing w:after="0"/>
              <w:rPr>
                <w:sz w:val="20"/>
                <w:szCs w:val="20"/>
                <w:color w:val="auto"/>
              </w:rPr>
            </w:pPr>
            <w:r>
              <w:rPr>
                <w:rFonts w:ascii="Arial" w:cs="Arial" w:eastAsia="Arial" w:hAnsi="Arial"/>
                <w:sz w:val="13"/>
                <w:szCs w:val="13"/>
                <w:color w:val="auto"/>
                <w:w w:val="91"/>
              </w:rPr>
              <w:t>incorporation or organization)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6"/>
        </w:trPr>
        <w:tc>
          <w:tcPr>
            <w:tcW w:w="3460" w:type="dxa"/>
            <w:vAlign w:val="bottom"/>
          </w:tcPr>
          <w:p>
            <w:pPr>
              <w:jc w:val="center"/>
              <w:ind w:left="1776"/>
              <w:spacing w:after="0"/>
              <w:rPr>
                <w:sz w:val="20"/>
                <w:szCs w:val="20"/>
                <w:color w:val="auto"/>
              </w:rPr>
            </w:pPr>
            <w:r>
              <w:rPr>
                <w:rFonts w:ascii="Arial" w:cs="Arial" w:eastAsia="Arial" w:hAnsi="Arial"/>
                <w:sz w:val="13"/>
                <w:szCs w:val="13"/>
                <w:b w:val="1"/>
                <w:bCs w:val="1"/>
                <w:color w:val="auto"/>
                <w:w w:val="91"/>
              </w:rPr>
              <w:t>530 7th Ave, Floor M1</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460" w:type="dxa"/>
            <w:vAlign w:val="bottom"/>
          </w:tcPr>
          <w:p>
            <w:pPr>
              <w:jc w:val="center"/>
              <w:ind w:left="1776"/>
              <w:spacing w:after="0"/>
              <w:rPr>
                <w:sz w:val="20"/>
                <w:szCs w:val="20"/>
                <w:color w:val="auto"/>
              </w:rPr>
            </w:pPr>
            <w:r>
              <w:rPr>
                <w:rFonts w:ascii="Arial" w:cs="Arial" w:eastAsia="Arial" w:hAnsi="Arial"/>
                <w:sz w:val="13"/>
                <w:szCs w:val="13"/>
                <w:b w:val="1"/>
                <w:bCs w:val="1"/>
                <w:color w:val="auto"/>
                <w:w w:val="90"/>
              </w:rPr>
              <w:t>New York, New York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tcPr>
          <w:p>
            <w:pPr>
              <w:jc w:val="right"/>
              <w:ind w:right="2116"/>
              <w:spacing w:after="0"/>
              <w:rPr>
                <w:sz w:val="20"/>
                <w:szCs w:val="20"/>
                <w:color w:val="auto"/>
              </w:rPr>
            </w:pPr>
            <w:r>
              <w:rPr>
                <w:rFonts w:ascii="Arial" w:cs="Arial" w:eastAsia="Arial" w:hAnsi="Arial"/>
                <w:sz w:val="13"/>
                <w:szCs w:val="13"/>
                <w:b w:val="1"/>
                <w:bCs w:val="1"/>
                <w:color w:val="auto"/>
              </w:rPr>
              <w:t>10018</w:t>
            </w:r>
          </w:p>
        </w:tc>
        <w:tc>
          <w:tcPr>
            <w:tcW w:w="0" w:type="dxa"/>
            <w:vAlign w:val="bottom"/>
          </w:tcPr>
          <w:p>
            <w:pPr>
              <w:spacing w:after="0"/>
              <w:rPr>
                <w:sz w:val="1"/>
                <w:szCs w:val="1"/>
                <w:color w:val="auto"/>
              </w:rPr>
            </w:pPr>
          </w:p>
        </w:tc>
      </w:tr>
      <w:tr>
        <w:trPr>
          <w:trHeight w:val="180"/>
        </w:trPr>
        <w:tc>
          <w:tcPr>
            <w:tcW w:w="6380" w:type="dxa"/>
            <w:vAlign w:val="bottom"/>
            <w:gridSpan w:val="7"/>
          </w:tcPr>
          <w:p>
            <w:pPr>
              <w:jc w:val="center"/>
              <w:ind w:right="1080"/>
              <w:spacing w:after="0"/>
              <w:rPr>
                <w:sz w:val="20"/>
                <w:szCs w:val="20"/>
                <w:color w:val="auto"/>
              </w:rPr>
            </w:pPr>
            <w:r>
              <w:rPr>
                <w:rFonts w:ascii="Arial" w:cs="Arial" w:eastAsia="Arial" w:hAnsi="Arial"/>
                <w:sz w:val="13"/>
                <w:szCs w:val="13"/>
                <w:color w:val="auto"/>
                <w:w w:val="90"/>
              </w:rPr>
              <w:t>(Address of principal executive offices)</w:t>
            </w:r>
          </w:p>
        </w:tc>
        <w:tc>
          <w:tcPr>
            <w:tcW w:w="3280" w:type="dxa"/>
            <w:vAlign w:val="bottom"/>
          </w:tcPr>
          <w:p>
            <w:pPr>
              <w:jc w:val="center"/>
              <w:ind w:right="1336"/>
              <w:spacing w:after="0"/>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63"/>
        </w:trPr>
        <w:tc>
          <w:tcPr>
            <w:tcW w:w="3460" w:type="dxa"/>
            <w:vAlign w:val="bottom"/>
          </w:tcPr>
          <w:p>
            <w:pPr>
              <w:spacing w:after="0"/>
              <w:rPr>
                <w:sz w:val="22"/>
                <w:szCs w:val="22"/>
                <w:color w:val="auto"/>
              </w:rPr>
            </w:pPr>
          </w:p>
        </w:tc>
        <w:tc>
          <w:tcPr>
            <w:tcW w:w="2180" w:type="dxa"/>
            <w:vAlign w:val="bottom"/>
            <w:gridSpan w:val="3"/>
          </w:tcPr>
          <w:p>
            <w:pPr>
              <w:jc w:val="center"/>
              <w:ind w:left="834"/>
              <w:spacing w:after="0"/>
              <w:rPr>
                <w:sz w:val="20"/>
                <w:szCs w:val="20"/>
                <w:color w:val="auto"/>
              </w:rPr>
            </w:pPr>
            <w:r>
              <w:rPr>
                <w:rFonts w:ascii="Arial" w:cs="Arial" w:eastAsia="Arial" w:hAnsi="Arial"/>
                <w:sz w:val="14"/>
                <w:szCs w:val="14"/>
                <w:b w:val="1"/>
                <w:bCs w:val="1"/>
                <w:color w:val="auto"/>
                <w:w w:val="91"/>
              </w:rPr>
              <w:t>(212) 609-4200</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2920" w:type="dxa"/>
            <w:vAlign w:val="bottom"/>
            <w:gridSpan w:val="6"/>
          </w:tcPr>
          <w:p>
            <w:pPr>
              <w:jc w:val="center"/>
              <w:ind w:right="180"/>
              <w:spacing w:after="0"/>
              <w:rPr>
                <w:sz w:val="20"/>
                <w:szCs w:val="20"/>
                <w:color w:val="auto"/>
              </w:rPr>
            </w:pPr>
            <w:r>
              <w:rPr>
                <w:rFonts w:ascii="Arial" w:cs="Arial" w:eastAsia="Arial" w:hAnsi="Arial"/>
                <w:sz w:val="13"/>
                <w:szCs w:val="13"/>
                <w:color w:val="auto"/>
                <w:w w:val="88"/>
              </w:rPr>
              <w:t>(Registrant’s telephone number, including area code)</w:t>
            </w:r>
          </w:p>
        </w:tc>
        <w:tc>
          <w:tcPr>
            <w:tcW w:w="3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6380" w:type="dxa"/>
            <w:vAlign w:val="bottom"/>
            <w:gridSpan w:val="7"/>
          </w:tcPr>
          <w:p>
            <w:pPr>
              <w:jc w:val="center"/>
              <w:ind w:left="321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Trading Symbol(s)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14"/>
                <w:szCs w:val="14"/>
                <w:color w:val="auto"/>
              </w:rPr>
            </w:pPr>
          </w:p>
        </w:tc>
        <w:tc>
          <w:tcPr>
            <w:tcW w:w="3280" w:type="dxa"/>
            <w:vAlign w:val="bottom"/>
            <w:tcBorders>
              <w:bottom w:val="single" w:sz="8" w:color="auto"/>
            </w:tcBorders>
          </w:tcPr>
          <w:p>
            <w:pPr>
              <w:jc w:val="center"/>
              <w:ind w:right="456"/>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0" w:type="dxa"/>
            <w:vAlign w:val="bottom"/>
          </w:tcPr>
          <w:p>
            <w:pPr>
              <w:spacing w:after="0"/>
              <w:rPr>
                <w:sz w:val="1"/>
                <w:szCs w:val="1"/>
                <w:color w:val="auto"/>
              </w:rPr>
            </w:pPr>
          </w:p>
        </w:tc>
      </w:tr>
      <w:tr>
        <w:trPr>
          <w:trHeight w:val="158"/>
        </w:trPr>
        <w:tc>
          <w:tcPr>
            <w:tcW w:w="3460" w:type="dxa"/>
            <w:vAlign w:val="bottom"/>
          </w:tcPr>
          <w:p>
            <w:pPr>
              <w:jc w:val="center"/>
              <w:spacing w:after="0"/>
              <w:rPr>
                <w:sz w:val="20"/>
                <w:szCs w:val="20"/>
                <w:color w:val="auto"/>
              </w:rPr>
            </w:pPr>
            <w:r>
              <w:rPr>
                <w:rFonts w:ascii="Arial" w:cs="Arial" w:eastAsia="Arial" w:hAnsi="Arial"/>
                <w:sz w:val="13"/>
                <w:szCs w:val="13"/>
                <w:color w:val="auto"/>
                <w:w w:val="87"/>
              </w:rPr>
              <w:t>Common Stock, par value $0.001 per share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4"/>
          </w:tcPr>
          <w:p>
            <w:pPr>
              <w:jc w:val="center"/>
              <w:ind w:right="820"/>
              <w:spacing w:after="0"/>
              <w:rPr>
                <w:sz w:val="20"/>
                <w:szCs w:val="20"/>
                <w:color w:val="auto"/>
              </w:rPr>
            </w:pPr>
            <w:r>
              <w:rPr>
                <w:rFonts w:ascii="Arial" w:cs="Arial" w:eastAsia="Arial" w:hAnsi="Arial"/>
                <w:sz w:val="13"/>
                <w:szCs w:val="13"/>
                <w:color w:val="auto"/>
                <w:w w:val="94"/>
              </w:rPr>
              <w:t>LPSN</w:t>
            </w:r>
          </w:p>
        </w:tc>
        <w:tc>
          <w:tcPr>
            <w:tcW w:w="3280" w:type="dxa"/>
            <w:vAlign w:val="bottom"/>
          </w:tcPr>
          <w:p>
            <w:pPr>
              <w:jc w:val="center"/>
              <w:ind w:right="456"/>
              <w:spacing w:after="0"/>
              <w:rPr>
                <w:sz w:val="20"/>
                <w:szCs w:val="20"/>
                <w:color w:val="auto"/>
              </w:rPr>
            </w:pPr>
            <w:r>
              <w:rPr>
                <w:rFonts w:ascii="Arial" w:cs="Arial" w:eastAsia="Arial" w:hAnsi="Arial"/>
                <w:sz w:val="13"/>
                <w:szCs w:val="13"/>
                <w:color w:val="auto"/>
                <w:w w:val="89"/>
              </w:rPr>
              <w:t>The Nasdaq Stock Market LLC</w:t>
            </w:r>
          </w:p>
        </w:tc>
        <w:tc>
          <w:tcPr>
            <w:tcW w:w="0" w:type="dxa"/>
            <w:vAlign w:val="bottom"/>
          </w:tcPr>
          <w:p>
            <w:pPr>
              <w:spacing w:after="0"/>
              <w:rPr>
                <w:sz w:val="1"/>
                <w:szCs w:val="1"/>
                <w:color w:val="auto"/>
              </w:rPr>
            </w:pPr>
          </w:p>
        </w:tc>
      </w:tr>
    </w:tbl>
    <w:p>
      <w:pPr>
        <w:spacing w:after="0" w:line="15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3" w:lineRule="exact"/>
        <w:rPr>
          <w:sz w:val="24"/>
          <w:szCs w:val="24"/>
          <w:color w:val="auto"/>
        </w:rPr>
      </w:pPr>
    </w:p>
    <w:p>
      <w:pPr>
        <w:spacing w:after="0" w:line="28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2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ind w:left="1300"/>
              <w:spacing w:after="0"/>
              <w:rPr>
                <w:sz w:val="20"/>
                <w:szCs w:val="20"/>
                <w:color w:val="auto"/>
              </w:rPr>
            </w:pPr>
            <w:r>
              <w:rPr>
                <w:rFonts w:ascii="Arial" w:cs="Arial" w:eastAsia="Arial" w:hAnsi="Arial"/>
                <w:sz w:val="13"/>
                <w:szCs w:val="13"/>
                <w:color w:val="auto"/>
              </w:rPr>
              <w:t>Accelerated Filer</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00" w:type="dxa"/>
            <w:vAlign w:val="bottom"/>
          </w:tcPr>
          <w:p>
            <w:pPr>
              <w:spacing w:after="0"/>
              <w:rPr>
                <w:sz w:val="20"/>
                <w:szCs w:val="20"/>
                <w:color w:val="auto"/>
              </w:rPr>
            </w:pPr>
            <w:r>
              <w:rPr>
                <w:rFonts w:ascii="Arial" w:cs="Arial" w:eastAsia="Arial" w:hAnsi="Arial"/>
                <w:sz w:val="13"/>
                <w:szCs w:val="13"/>
                <w:color w:val="auto"/>
              </w:rPr>
              <w:t>Non-accelerated Filer</w:t>
            </w:r>
          </w:p>
        </w:tc>
        <w:tc>
          <w:tcPr>
            <w:tcW w:w="22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3420" w:type="dxa"/>
            <w:vAlign w:val="bottom"/>
          </w:tcPr>
          <w:p>
            <w:pPr>
              <w:ind w:left="1300"/>
              <w:spacing w:after="0"/>
              <w:rPr>
                <w:sz w:val="20"/>
                <w:szCs w:val="20"/>
                <w:color w:val="auto"/>
              </w:rPr>
            </w:pPr>
            <w:r>
              <w:rPr>
                <w:rFonts w:ascii="Arial" w:cs="Arial" w:eastAsia="Arial" w:hAnsi="Arial"/>
                <w:sz w:val="13"/>
                <w:szCs w:val="13"/>
                <w:color w:val="auto"/>
              </w:rPr>
              <w:t>Smaller Reporting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420" w:type="dxa"/>
            <w:vAlign w:val="bottom"/>
          </w:tcPr>
          <w:p>
            <w:pPr>
              <w:ind w:left="1300"/>
              <w:spacing w:after="0"/>
              <w:rPr>
                <w:sz w:val="20"/>
                <w:szCs w:val="20"/>
                <w:color w:val="auto"/>
              </w:rPr>
            </w:pPr>
            <w:r>
              <w:rPr>
                <w:rFonts w:ascii="Arial" w:cs="Arial" w:eastAsia="Arial" w:hAnsi="Arial"/>
                <w:sz w:val="13"/>
                <w:szCs w:val="13"/>
                <w:color w:val="auto"/>
              </w:rPr>
              <w:t>Emerging Growth Company</w:t>
            </w:r>
          </w:p>
        </w:tc>
        <w:tc>
          <w:tcPr>
            <w:tcW w:w="760" w:type="dxa"/>
            <w:vAlign w:val="bottom"/>
          </w:tcPr>
          <w:p>
            <w:pPr>
              <w:ind w:left="64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33" w:lineRule="exact"/>
        <w:rPr>
          <w:sz w:val="24"/>
          <w:szCs w:val="24"/>
          <w:color w:val="auto"/>
        </w:rPr>
      </w:pPr>
    </w:p>
    <w:p>
      <w:pPr>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4080"/>
        <w:spacing w:after="0" w:line="23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On November 3, 2023, 80,842,202 shares of the registrant’s common stock were outstanding.</w:t>
      </w:r>
    </w:p>
    <w:p>
      <w:pPr>
        <w:spacing w:after="0" w:line="200" w:lineRule="exact"/>
        <w:rPr>
          <w:sz w:val="24"/>
          <w:szCs w:val="24"/>
          <w:color w:val="auto"/>
        </w:rPr>
      </w:pPr>
    </w:p>
    <w:p>
      <w:pPr>
        <w:spacing w:after="0" w:line="257" w:lineRule="exact"/>
        <w:rPr>
          <w:sz w:val="24"/>
          <w:szCs w:val="24"/>
          <w:color w:val="auto"/>
        </w:rPr>
      </w:pPr>
    </w:p>
    <w:p>
      <w:pPr>
        <w:jc w:val="center"/>
        <w:ind w:left="3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70" w:right="319" w:bottom="1440" w:gutter="0" w:footer="0" w:header="0"/>
        </w:sectPr>
      </w:pPr>
    </w:p>
    <w:bookmarkStart w:id="1" w:name="page2"/>
    <w:bookmarkEnd w:id="1"/>
    <w:p>
      <w:pPr>
        <w:jc w:val="center"/>
        <w:ind w:left="320"/>
        <w:spacing w:after="0"/>
        <w:rPr>
          <w:sz w:val="20"/>
          <w:szCs w:val="20"/>
          <w:color w:val="auto"/>
        </w:rPr>
      </w:pPr>
      <w:r>
        <w:rPr>
          <w:rFonts w:ascii="Arial" w:cs="Arial" w:eastAsia="Arial" w:hAnsi="Arial"/>
          <w:sz w:val="14"/>
          <w:szCs w:val="14"/>
          <w:b w:val="1"/>
          <w:bCs w:val="1"/>
          <w:color w:val="auto"/>
        </w:rPr>
        <w:t>LIVEPERSON, INC.</w:t>
      </w:r>
    </w:p>
    <w:p>
      <w:pPr>
        <w:spacing w:after="0" w:line="2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FORM 10-Q</w:t>
      </w:r>
    </w:p>
    <w:p>
      <w:pPr>
        <w:spacing w:after="0" w:line="9"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FOR THE QUARTERLY PERIOD ENDED SEPTEMBER 30, 2023</w:t>
      </w:r>
    </w:p>
    <w:p>
      <w:pPr>
        <w:spacing w:after="0" w:line="376"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INDEX</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2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0000FF"/>
              </w:rPr>
              <w:t>PART I. FINANCIAL INFORMATION</w:t>
            </w:r>
          </w:p>
        </w:tc>
        <w:tc>
          <w:tcPr>
            <w:tcW w:w="3500" w:type="dxa"/>
            <w:vAlign w:val="bottom"/>
            <w:gridSpan w:val="5"/>
            <w:vMerge w:val="restart"/>
          </w:tcPr>
          <w:p>
            <w:pPr>
              <w:spacing w:after="0"/>
              <w:rPr>
                <w:sz w:val="16"/>
                <w:szCs w:val="16"/>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34"/>
        </w:trPr>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20" w:type="dxa"/>
            <w:vAlign w:val="bottom"/>
            <w:tcBorders>
              <w:bottom w:val="single" w:sz="8" w:color="0000FF"/>
            </w:tcBorders>
            <w:gridSpan w:val="5"/>
            <w:vMerge w:val="continue"/>
          </w:tcPr>
          <w:p>
            <w:pPr>
              <w:spacing w:after="0"/>
              <w:rPr>
                <w:sz w:val="11"/>
                <w:szCs w:val="11"/>
                <w:color w:val="auto"/>
              </w:rPr>
            </w:pPr>
          </w:p>
        </w:tc>
        <w:tc>
          <w:tcPr>
            <w:tcW w:w="3500" w:type="dxa"/>
            <w:vAlign w:val="bottom"/>
            <w:gridSpan w:val="5"/>
            <w:vMerge w:val="continue"/>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1"/>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1.</w:t>
            </w:r>
          </w:p>
        </w:tc>
        <w:tc>
          <w:tcPr>
            <w:tcW w:w="194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0"/>
              </w:rPr>
              <w:t>Financial Statements (Unaudited):</w:t>
            </w:r>
          </w:p>
        </w:tc>
        <w:tc>
          <w:tcPr>
            <w:tcW w:w="7460" w:type="dxa"/>
            <w:vAlign w:val="bottom"/>
            <w:gridSpan w:val="14"/>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1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89"/>
              </w:rPr>
              <w:t>Condensed Consolidated Balance Sheets as of September 30, 2023 and December 31, 2022</w:t>
            </w:r>
          </w:p>
        </w:tc>
        <w:tc>
          <w:tcPr>
            <w:tcW w:w="4060" w:type="dxa"/>
            <w:vAlign w:val="bottom"/>
            <w:gridSpan w:val="7"/>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0" w:type="dxa"/>
            <w:vAlign w:val="bottom"/>
            <w:tcBorders>
              <w:bottom w:val="single" w:sz="8" w:color="0000FF"/>
            </w:tcBorders>
            <w:gridSpan w:val="18"/>
          </w:tcPr>
          <w:p>
            <w:pPr>
              <w:spacing w:after="0" w:line="150" w:lineRule="exact"/>
              <w:rPr>
                <w:sz w:val="20"/>
                <w:szCs w:val="20"/>
                <w:color w:val="auto"/>
              </w:rPr>
            </w:pPr>
            <w:r>
              <w:rPr>
                <w:rFonts w:ascii="Arial" w:cs="Arial" w:eastAsia="Arial" w:hAnsi="Arial"/>
                <w:sz w:val="14"/>
                <w:szCs w:val="14"/>
                <w:color w:val="0000FF"/>
                <w:w w:val="90"/>
              </w:rPr>
              <w:t>Condensed Consolidated Statements of Operations for the Three and Nine Months Ended September 30, 2023 and 2022</w:t>
            </w:r>
          </w:p>
        </w:tc>
        <w:tc>
          <w:tcPr>
            <w:tcW w:w="2440" w:type="dxa"/>
            <w:vAlign w:val="bottom"/>
            <w:gridSpan w:val="3"/>
          </w:tcPr>
          <w:p>
            <w:pPr>
              <w:spacing w:after="0"/>
              <w:rPr>
                <w:sz w:val="13"/>
                <w:szCs w:val="13"/>
                <w:color w:val="auto"/>
              </w:rPr>
            </w:pPr>
          </w:p>
        </w:tc>
        <w:tc>
          <w:tcPr>
            <w:tcW w:w="720" w:type="dxa"/>
            <w:vAlign w:val="bottom"/>
          </w:tcPr>
          <w:p>
            <w:pPr>
              <w:jc w:val="center"/>
              <w:spacing w:after="0" w:line="150" w:lineRule="exact"/>
              <w:rPr>
                <w:sz w:val="20"/>
                <w:szCs w:val="20"/>
                <w:color w:val="auto"/>
              </w:rPr>
            </w:pPr>
            <w:r>
              <w:rPr>
                <w:rFonts w:ascii="Arial" w:cs="Arial" w:eastAsia="Arial" w:hAnsi="Arial"/>
                <w:sz w:val="14"/>
                <w:szCs w:val="14"/>
                <w:color w:val="0000FF"/>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40" w:type="dxa"/>
            <w:vAlign w:val="bottom"/>
            <w:gridSpan w:val="21"/>
          </w:tcPr>
          <w:p>
            <w:pPr>
              <w:spacing w:after="0"/>
              <w:rPr>
                <w:sz w:val="20"/>
                <w:szCs w:val="20"/>
                <w:color w:val="auto"/>
              </w:rPr>
            </w:pPr>
            <w:r>
              <w:rPr>
                <w:rFonts w:ascii="Arial" w:cs="Arial" w:eastAsia="Arial" w:hAnsi="Arial"/>
                <w:sz w:val="14"/>
                <w:szCs w:val="14"/>
                <w:color w:val="0000FF"/>
              </w:rPr>
              <w:t>Condensed Consolidated Statements of Comprehensive Loss for the Three and Nine Months Ended September 30, 2023 and 2022</w:t>
            </w:r>
          </w:p>
        </w:tc>
        <w:tc>
          <w:tcPr>
            <w:tcW w:w="720" w:type="dxa"/>
            <w:vAlign w:val="bottom"/>
          </w:tcPr>
          <w:p>
            <w:pPr>
              <w:jc w:val="center"/>
              <w:spacing w:after="0"/>
              <w:rPr>
                <w:sz w:val="20"/>
                <w:szCs w:val="20"/>
                <w:color w:val="auto"/>
              </w:rPr>
            </w:pPr>
            <w:r>
              <w:rPr>
                <w:rFonts w:ascii="Arial" w:cs="Arial" w:eastAsia="Arial" w:hAnsi="Arial"/>
                <w:sz w:val="14"/>
                <w:szCs w:val="14"/>
                <w:color w:val="0000FF"/>
              </w:rPr>
              <w:t>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380" w:type="dxa"/>
            <w:vAlign w:val="bottom"/>
            <w:tcBorders>
              <w:bottom w:val="single" w:sz="8" w:color="0000FF"/>
            </w:tcBorders>
            <w:gridSpan w:val="20"/>
          </w:tcPr>
          <w:p>
            <w:pPr>
              <w:spacing w:after="0"/>
              <w:rPr>
                <w:sz w:val="20"/>
                <w:szCs w:val="20"/>
                <w:color w:val="auto"/>
              </w:rPr>
            </w:pPr>
            <w:r>
              <w:rPr>
                <w:rFonts w:ascii="Arial" w:cs="Arial" w:eastAsia="Arial" w:hAnsi="Arial"/>
                <w:sz w:val="14"/>
                <w:szCs w:val="14"/>
                <w:color w:val="0000FF"/>
                <w:w w:val="90"/>
              </w:rPr>
              <w:t>Condensed Consolidated Statements of Stockholders’ Equity for the Three and Nine Months Ended September 30, 2023 and 2022</w:t>
            </w:r>
          </w:p>
        </w:tc>
        <w:tc>
          <w:tcPr>
            <w:tcW w:w="18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40" w:type="dxa"/>
            <w:vAlign w:val="bottom"/>
            <w:tcBorders>
              <w:bottom w:val="single" w:sz="8" w:color="0000FF"/>
            </w:tcBorders>
            <w:gridSpan w:val="17"/>
          </w:tcPr>
          <w:p>
            <w:pPr>
              <w:spacing w:after="0"/>
              <w:rPr>
                <w:sz w:val="20"/>
                <w:szCs w:val="20"/>
                <w:color w:val="auto"/>
              </w:rPr>
            </w:pPr>
            <w:r>
              <w:rPr>
                <w:rFonts w:ascii="Arial" w:cs="Arial" w:eastAsia="Arial" w:hAnsi="Arial"/>
                <w:sz w:val="14"/>
                <w:szCs w:val="14"/>
                <w:color w:val="0000FF"/>
                <w:w w:val="90"/>
              </w:rPr>
              <w:t>Condensed Consolidated Statements of Cash Flows for the Nine Months Ended September 30, 2023 and 2022</w:t>
            </w:r>
          </w:p>
        </w:tc>
        <w:tc>
          <w:tcPr>
            <w:tcW w:w="3000" w:type="dxa"/>
            <w:vAlign w:val="bottom"/>
            <w:gridSpan w:val="4"/>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40" w:type="dxa"/>
            <w:vAlign w:val="bottom"/>
            <w:gridSpan w:val="21"/>
          </w:tcPr>
          <w:p>
            <w:pPr>
              <w:spacing w:after="0"/>
              <w:rPr>
                <w:sz w:val="20"/>
                <w:szCs w:val="20"/>
                <w:color w:val="auto"/>
              </w:rPr>
            </w:pPr>
            <w:r>
              <w:rPr>
                <w:rFonts w:ascii="Arial" w:cs="Arial" w:eastAsia="Arial" w:hAnsi="Arial"/>
                <w:sz w:val="14"/>
                <w:szCs w:val="14"/>
                <w:color w:val="0000FF"/>
              </w:rPr>
              <w:t>Notes to Condensed Consolidated Financial Statements</w:t>
            </w:r>
          </w:p>
        </w:tc>
        <w:tc>
          <w:tcPr>
            <w:tcW w:w="720" w:type="dxa"/>
            <w:vAlign w:val="bottom"/>
          </w:tcPr>
          <w:p>
            <w:pPr>
              <w:jc w:val="center"/>
              <w:spacing w:after="0"/>
              <w:rPr>
                <w:sz w:val="20"/>
                <w:szCs w:val="20"/>
                <w:color w:val="auto"/>
              </w:rPr>
            </w:pPr>
            <w:r>
              <w:rPr>
                <w:rFonts w:ascii="Arial" w:cs="Arial" w:eastAsia="Arial" w:hAnsi="Arial"/>
                <w:sz w:val="14"/>
                <w:szCs w:val="14"/>
                <w:color w:val="0000FF"/>
                <w:w w:val="76"/>
              </w:rPr>
              <w:t>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2.</w:t>
            </w:r>
          </w:p>
        </w:tc>
        <w:tc>
          <w:tcPr>
            <w:tcW w:w="5080" w:type="dxa"/>
            <w:vAlign w:val="bottom"/>
            <w:tcBorders>
              <w:bottom w:val="single" w:sz="8" w:color="0000FF"/>
            </w:tcBorders>
            <w:gridSpan w:val="14"/>
          </w:tcPr>
          <w:p>
            <w:pPr>
              <w:spacing w:after="0"/>
              <w:rPr>
                <w:sz w:val="20"/>
                <w:szCs w:val="20"/>
                <w:color w:val="auto"/>
              </w:rPr>
            </w:pPr>
            <w:r>
              <w:rPr>
                <w:rFonts w:ascii="Arial" w:cs="Arial" w:eastAsia="Arial" w:hAnsi="Arial"/>
                <w:sz w:val="14"/>
                <w:szCs w:val="14"/>
                <w:color w:val="0000FF"/>
                <w:w w:val="91"/>
              </w:rPr>
              <w:t>Management’s Discussion and Analysis of Financial Condition and Results of Operations</w:t>
            </w:r>
          </w:p>
        </w:tc>
        <w:tc>
          <w:tcPr>
            <w:tcW w:w="4320" w:type="dxa"/>
            <w:vAlign w:val="bottom"/>
            <w:gridSpan w:val="8"/>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38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3.</w:t>
            </w:r>
          </w:p>
        </w:tc>
        <w:tc>
          <w:tcPr>
            <w:tcW w:w="9400" w:type="dxa"/>
            <w:vAlign w:val="bottom"/>
            <w:gridSpan w:val="22"/>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720" w:type="dxa"/>
            <w:vAlign w:val="bottom"/>
          </w:tcPr>
          <w:p>
            <w:pPr>
              <w:jc w:val="center"/>
              <w:spacing w:after="0"/>
              <w:rPr>
                <w:sz w:val="20"/>
                <w:szCs w:val="20"/>
                <w:color w:val="auto"/>
              </w:rPr>
            </w:pPr>
            <w:r>
              <w:rPr>
                <w:rFonts w:ascii="Arial" w:cs="Arial" w:eastAsia="Arial" w:hAnsi="Arial"/>
                <w:sz w:val="14"/>
                <w:szCs w:val="14"/>
                <w:color w:val="0000FF"/>
              </w:rPr>
              <w:t>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4.</w:t>
            </w:r>
          </w:p>
        </w:tc>
        <w:tc>
          <w:tcPr>
            <w:tcW w:w="3380" w:type="dxa"/>
            <w:vAlign w:val="bottom"/>
            <w:tcBorders>
              <w:top w:val="single" w:sz="8" w:color="0000FF"/>
            </w:tcBorders>
            <w:gridSpan w:val="10"/>
          </w:tcPr>
          <w:p>
            <w:pPr>
              <w:spacing w:after="0"/>
              <w:rPr>
                <w:sz w:val="20"/>
                <w:szCs w:val="20"/>
                <w:color w:val="auto"/>
              </w:rPr>
            </w:pPr>
            <w:r>
              <w:rPr>
                <w:rFonts w:ascii="Arial" w:cs="Arial" w:eastAsia="Arial" w:hAnsi="Arial"/>
                <w:sz w:val="14"/>
                <w:szCs w:val="14"/>
                <w:color w:val="0000FF"/>
              </w:rPr>
              <w:t>Controls and Procedures</w:t>
            </w:r>
          </w:p>
        </w:tc>
        <w:tc>
          <w:tcPr>
            <w:tcW w:w="6020" w:type="dxa"/>
            <w:vAlign w:val="bottom"/>
            <w:gridSpan w:val="12"/>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4"/>
                <w:szCs w:val="14"/>
                <w:b w:val="1"/>
                <w:bCs w:val="1"/>
                <w:color w:val="0000FF"/>
              </w:rPr>
              <w:t>PART II. OTHER INFORMATION</w:t>
            </w:r>
          </w:p>
        </w:tc>
        <w:tc>
          <w:tcPr>
            <w:tcW w:w="362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1.</w:t>
            </w:r>
          </w:p>
        </w:tc>
        <w:tc>
          <w:tcPr>
            <w:tcW w:w="1060" w:type="dxa"/>
            <w:vAlign w:val="bottom"/>
            <w:tcBorders>
              <w:bottom w:val="single" w:sz="8" w:color="0000FF"/>
            </w:tcBorders>
            <w:gridSpan w:val="5"/>
          </w:tcPr>
          <w:p>
            <w:pPr>
              <w:spacing w:after="0"/>
              <w:rPr>
                <w:sz w:val="20"/>
                <w:szCs w:val="20"/>
                <w:color w:val="auto"/>
              </w:rPr>
            </w:pPr>
            <w:r>
              <w:rPr>
                <w:rFonts w:ascii="Arial" w:cs="Arial" w:eastAsia="Arial" w:hAnsi="Arial"/>
                <w:sz w:val="14"/>
                <w:szCs w:val="14"/>
                <w:color w:val="0000FF"/>
                <w:w w:val="89"/>
              </w:rPr>
              <w:t>Legal Proceedings</w:t>
            </w:r>
          </w:p>
        </w:tc>
        <w:tc>
          <w:tcPr>
            <w:tcW w:w="8340" w:type="dxa"/>
            <w:vAlign w:val="bottom"/>
            <w:gridSpan w:val="17"/>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51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1A.</w:t>
            </w:r>
          </w:p>
        </w:tc>
        <w:tc>
          <w:tcPr>
            <w:tcW w:w="9400" w:type="dxa"/>
            <w:vAlign w:val="bottom"/>
            <w:gridSpan w:val="22"/>
          </w:tcPr>
          <w:p>
            <w:pPr>
              <w:spacing w:after="0"/>
              <w:rPr>
                <w:sz w:val="20"/>
                <w:szCs w:val="20"/>
                <w:color w:val="auto"/>
              </w:rPr>
            </w:pPr>
            <w:r>
              <w:rPr>
                <w:rFonts w:ascii="Arial" w:cs="Arial" w:eastAsia="Arial" w:hAnsi="Arial"/>
                <w:sz w:val="14"/>
                <w:szCs w:val="14"/>
                <w:color w:val="0000FF"/>
              </w:rPr>
              <w:t>Risk Factors</w:t>
            </w:r>
          </w:p>
        </w:tc>
        <w:tc>
          <w:tcPr>
            <w:tcW w:w="720" w:type="dxa"/>
            <w:vAlign w:val="bottom"/>
          </w:tcPr>
          <w:p>
            <w:pPr>
              <w:jc w:val="center"/>
              <w:spacing w:after="0"/>
              <w:rPr>
                <w:sz w:val="20"/>
                <w:szCs w:val="20"/>
                <w:color w:val="auto"/>
              </w:rPr>
            </w:pPr>
            <w:r>
              <w:rPr>
                <w:rFonts w:ascii="Arial" w:cs="Arial" w:eastAsia="Arial" w:hAnsi="Arial"/>
                <w:sz w:val="14"/>
                <w:szCs w:val="14"/>
                <w:color w:val="0000FF"/>
              </w:rPr>
              <w:t>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5980" w:type="dxa"/>
            <w:vAlign w:val="bottom"/>
            <w:gridSpan w:val="11"/>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2.</w:t>
            </w:r>
          </w:p>
        </w:tc>
        <w:tc>
          <w:tcPr>
            <w:tcW w:w="34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w w:val="90"/>
              </w:rPr>
              <w:t>Unregistered Sales of Equity Securities and Use of Proceeds</w:t>
            </w:r>
          </w:p>
        </w:tc>
        <w:tc>
          <w:tcPr>
            <w:tcW w:w="5980" w:type="dxa"/>
            <w:vAlign w:val="bottom"/>
            <w:gridSpan w:val="11"/>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52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3.</w:t>
            </w:r>
          </w:p>
        </w:tc>
        <w:tc>
          <w:tcPr>
            <w:tcW w:w="9400" w:type="dxa"/>
            <w:vAlign w:val="bottom"/>
            <w:gridSpan w:val="22"/>
          </w:tcPr>
          <w:p>
            <w:pPr>
              <w:spacing w:after="0"/>
              <w:rPr>
                <w:sz w:val="20"/>
                <w:szCs w:val="20"/>
                <w:color w:val="auto"/>
              </w:rPr>
            </w:pPr>
            <w:r>
              <w:rPr>
                <w:rFonts w:ascii="Arial" w:cs="Arial" w:eastAsia="Arial" w:hAnsi="Arial"/>
                <w:sz w:val="14"/>
                <w:szCs w:val="14"/>
                <w:color w:val="0000FF"/>
              </w:rPr>
              <w:t>Defaults Upon Senior Securities</w:t>
            </w:r>
          </w:p>
        </w:tc>
        <w:tc>
          <w:tcPr>
            <w:tcW w:w="720" w:type="dxa"/>
            <w:vAlign w:val="bottom"/>
          </w:tcPr>
          <w:p>
            <w:pPr>
              <w:jc w:val="center"/>
              <w:spacing w:after="0"/>
              <w:rPr>
                <w:sz w:val="20"/>
                <w:szCs w:val="20"/>
                <w:color w:val="auto"/>
              </w:rPr>
            </w:pPr>
            <w:r>
              <w:rPr>
                <w:rFonts w:ascii="Arial" w:cs="Arial" w:eastAsia="Arial" w:hAnsi="Arial"/>
                <w:sz w:val="14"/>
                <w:szCs w:val="14"/>
                <w:color w:val="0000FF"/>
              </w:rPr>
              <w:t>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4.</w:t>
            </w:r>
          </w:p>
        </w:tc>
        <w:tc>
          <w:tcPr>
            <w:tcW w:w="1820" w:type="dxa"/>
            <w:vAlign w:val="bottom"/>
            <w:tcBorders>
              <w:top w:val="single" w:sz="8" w:color="0000FF"/>
            </w:tcBorders>
            <w:gridSpan w:val="7"/>
          </w:tcPr>
          <w:p>
            <w:pPr>
              <w:spacing w:after="0"/>
              <w:rPr>
                <w:sz w:val="20"/>
                <w:szCs w:val="20"/>
                <w:color w:val="auto"/>
              </w:rPr>
            </w:pPr>
            <w:r>
              <w:rPr>
                <w:rFonts w:ascii="Arial" w:cs="Arial" w:eastAsia="Arial" w:hAnsi="Arial"/>
                <w:sz w:val="14"/>
                <w:szCs w:val="14"/>
                <w:color w:val="0000FF"/>
              </w:rPr>
              <w:t>Mine Safety Disclosures</w:t>
            </w:r>
          </w:p>
        </w:tc>
        <w:tc>
          <w:tcPr>
            <w:tcW w:w="7580" w:type="dxa"/>
            <w:vAlign w:val="bottom"/>
            <w:gridSpan w:val="15"/>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5.</w:t>
            </w:r>
          </w:p>
        </w:tc>
        <w:tc>
          <w:tcPr>
            <w:tcW w:w="10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4"/>
                <w:szCs w:val="14"/>
                <w:color w:val="0000FF"/>
                <w:w w:val="93"/>
              </w:rPr>
              <w:t>Other Information</w:t>
            </w:r>
          </w:p>
        </w:tc>
        <w:tc>
          <w:tcPr>
            <w:tcW w:w="340" w:type="dxa"/>
            <w:vAlign w:val="bottom"/>
            <w:tcBorders>
              <w:top w:val="single" w:sz="8" w:color="0000FF"/>
            </w:tcBorders>
            <w:gridSpan w:val="2"/>
          </w:tcPr>
          <w:p>
            <w:pPr>
              <w:spacing w:after="0"/>
              <w:rPr>
                <w:sz w:val="13"/>
                <w:szCs w:val="13"/>
                <w:color w:val="auto"/>
              </w:rPr>
            </w:pPr>
          </w:p>
        </w:tc>
        <w:tc>
          <w:tcPr>
            <w:tcW w:w="8020" w:type="dxa"/>
            <w:vAlign w:val="bottom"/>
            <w:gridSpan w:val="16"/>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53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auto"/>
              </w:rPr>
              <w:t>Item 6.</w:t>
            </w:r>
          </w:p>
        </w:tc>
        <w:tc>
          <w:tcPr>
            <w:tcW w:w="9400" w:type="dxa"/>
            <w:vAlign w:val="bottom"/>
            <w:gridSpan w:val="22"/>
          </w:tcPr>
          <w:p>
            <w:pPr>
              <w:spacing w:after="0"/>
              <w:rPr>
                <w:sz w:val="20"/>
                <w:szCs w:val="20"/>
                <w:color w:val="auto"/>
              </w:rPr>
            </w:pPr>
            <w:r>
              <w:rPr>
                <w:rFonts w:ascii="Arial" w:cs="Arial" w:eastAsia="Arial" w:hAnsi="Arial"/>
                <w:sz w:val="14"/>
                <w:szCs w:val="14"/>
                <w:color w:val="0000FF"/>
              </w:rPr>
              <w:t>Exhibits</w:t>
            </w:r>
          </w:p>
        </w:tc>
        <w:tc>
          <w:tcPr>
            <w:tcW w:w="720" w:type="dxa"/>
            <w:vAlign w:val="bottom"/>
          </w:tcPr>
          <w:p>
            <w:pPr>
              <w:jc w:val="center"/>
              <w:spacing w:after="0"/>
              <w:rPr>
                <w:sz w:val="20"/>
                <w:szCs w:val="20"/>
                <w:color w:val="auto"/>
              </w:rPr>
            </w:pPr>
            <w:r>
              <w:rPr>
                <w:rFonts w:ascii="Arial" w:cs="Arial" w:eastAsia="Arial" w:hAnsi="Arial"/>
                <w:sz w:val="14"/>
                <w:szCs w:val="14"/>
                <w:color w:val="0000FF"/>
              </w:rPr>
              <w:t>54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gridSpan w:val="3"/>
          </w:tcPr>
          <w:p>
            <w:pPr>
              <w:ind w:left="140"/>
              <w:spacing w:after="0"/>
              <w:rPr>
                <w:sz w:val="20"/>
                <w:szCs w:val="20"/>
                <w:color w:val="auto"/>
              </w:rPr>
            </w:pPr>
            <w:r>
              <w:rPr>
                <w:rFonts w:ascii="Arial" w:cs="Arial" w:eastAsia="Arial" w:hAnsi="Arial"/>
                <w:sz w:val="14"/>
                <w:szCs w:val="14"/>
                <w:color w:val="0000FF"/>
              </w:rPr>
              <w:t>Signatures</w:t>
            </w:r>
          </w:p>
        </w:tc>
        <w:tc>
          <w:tcPr>
            <w:tcW w:w="1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0000FF"/>
              </w:rPr>
              <w:t>55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2"/>
        </w:trPr>
        <w:tc>
          <w:tcPr>
            <w:tcW w:w="1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5080" w:type="dxa"/>
            <w:vAlign w:val="bottom"/>
            <w:gridSpan w:val="14"/>
          </w:tcPr>
          <w:p>
            <w:pPr>
              <w:ind w:left="474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Statements in this Quarterly Report on Form 10-Q about LivePerson, Inc. (“LivePerson”, the “Company,” “we,” “our” or “us”)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and management strategies. Many of these statements are found in the “Business” and “Management’s Discussion and Analysis of Financial Condition and Results of Operations” sections of this Quarterly Report on Form 10-Q. When used in this Quarterly Report on Form 10-Q, the words “anticipates,” “believes,” “estimates,” “expects,” “intends,” “plans,” “projects”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our Annual Report on Form 10-K filed with the Securities and Exchange Commission (the “SEC”) on March 16, 2023 (as amended on May 1, 2023) in the section entitled Part I, Item 1A.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Financial Statements</w:t>
      </w:r>
    </w:p>
    <w:p>
      <w:pPr>
        <w:spacing w:after="0" w:line="200" w:lineRule="exact"/>
        <w:rPr>
          <w:sz w:val="20"/>
          <w:szCs w:val="20"/>
          <w:color w:val="auto"/>
        </w:rPr>
      </w:pPr>
    </w:p>
    <w:p>
      <w:pPr>
        <w:spacing w:after="0" w:line="36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4"/>
          <w:szCs w:val="14"/>
          <w:b w:val="1"/>
          <w:bCs w:val="1"/>
          <w:color w:val="auto"/>
        </w:rPr>
        <w:t>LIVEPERSON,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CONDENSED CONSOLIDATED BALANCE SHEETS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4"/>
          <w:szCs w:val="14"/>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3"/>
                <w:szCs w:val="13"/>
                <w:b w:val="1"/>
                <w:bCs w:val="1"/>
                <w:color w:val="auto"/>
              </w:rPr>
              <w:t>September 30,</w:t>
            </w:r>
          </w:p>
        </w:tc>
        <w:tc>
          <w:tcPr>
            <w:tcW w:w="320" w:type="dxa"/>
            <w:vAlign w:val="bottom"/>
          </w:tcPr>
          <w:p>
            <w:pPr>
              <w:spacing w:after="0"/>
              <w:rPr>
                <w:sz w:val="13"/>
                <w:szCs w:val="13"/>
                <w:color w:val="auto"/>
              </w:rPr>
            </w:pPr>
          </w:p>
        </w:tc>
        <w:tc>
          <w:tcPr>
            <w:tcW w:w="1100" w:type="dxa"/>
            <w:vAlign w:val="bottom"/>
          </w:tcPr>
          <w:p>
            <w:pPr>
              <w:jc w:val="right"/>
              <w:ind w:right="273"/>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68"/>
        </w:trPr>
        <w:tc>
          <w:tcPr>
            <w:tcW w:w="7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900" w:type="dxa"/>
            <w:vAlign w:val="bottom"/>
            <w:shd w:val="clear" w:color="auto" w:fill="CCEEFF"/>
          </w:tcPr>
          <w:p>
            <w:pPr>
              <w:ind w:left="3700"/>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391,781</w:t>
            </w:r>
          </w:p>
        </w:tc>
        <w:tc>
          <w:tcPr>
            <w:tcW w:w="0" w:type="dxa"/>
            <w:vAlign w:val="bottom"/>
          </w:tcPr>
          <w:p>
            <w:pPr>
              <w:spacing w:after="0"/>
              <w:rPr>
                <w:sz w:val="1"/>
                <w:szCs w:val="1"/>
                <w:color w:val="auto"/>
              </w:rPr>
            </w:pPr>
          </w:p>
        </w:tc>
      </w:tr>
      <w:tr>
        <w:trPr>
          <w:trHeight w:val="181"/>
        </w:trPr>
        <w:tc>
          <w:tcPr>
            <w:tcW w:w="7900" w:type="dxa"/>
            <w:vAlign w:val="bottom"/>
          </w:tcPr>
          <w:p>
            <w:pPr>
              <w:ind w:left="120"/>
              <w:spacing w:after="0"/>
              <w:rPr>
                <w:sz w:val="20"/>
                <w:szCs w:val="20"/>
                <w:color w:val="auto"/>
              </w:rPr>
            </w:pPr>
            <w:r>
              <w:rPr>
                <w:rFonts w:ascii="Arial" w:cs="Arial" w:eastAsia="Arial" w:hAnsi="Arial"/>
                <w:sz w:val="13"/>
                <w:szCs w:val="13"/>
                <w:color w:val="auto"/>
              </w:rPr>
              <w:t>Restricted cash</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417</w:t>
            </w:r>
          </w:p>
        </w:tc>
        <w:tc>
          <w:tcPr>
            <w:tcW w:w="0" w:type="dxa"/>
            <w:vAlign w:val="bottom"/>
          </w:tcPr>
          <w:p>
            <w:pPr>
              <w:spacing w:after="0"/>
              <w:rPr>
                <w:sz w:val="1"/>
                <w:szCs w:val="1"/>
                <w:color w:val="auto"/>
              </w:rPr>
            </w:pPr>
          </w:p>
        </w:tc>
      </w:tr>
      <w:tr>
        <w:trPr>
          <w:trHeight w:val="190"/>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5"/>
              </w:rPr>
              <w:t>Accounts receivable, net of allowance for credit losses of $8,728 and $9,239 as of September 30, 2023 and December 31, 2022, respectively</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99,867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86,537</w:t>
            </w:r>
          </w:p>
        </w:tc>
        <w:tc>
          <w:tcPr>
            <w:tcW w:w="0" w:type="dxa"/>
            <w:vAlign w:val="bottom"/>
          </w:tcPr>
          <w:p>
            <w:pPr>
              <w:spacing w:after="0"/>
              <w:rPr>
                <w:sz w:val="1"/>
                <w:szCs w:val="1"/>
                <w:color w:val="auto"/>
              </w:rPr>
            </w:pPr>
          </w:p>
        </w:tc>
      </w:tr>
      <w:tr>
        <w:trPr>
          <w:trHeight w:val="176"/>
        </w:trPr>
        <w:tc>
          <w:tcPr>
            <w:tcW w:w="7900" w:type="dxa"/>
            <w:vAlign w:val="bottom"/>
          </w:tcPr>
          <w:p>
            <w:pPr>
              <w:ind w:left="10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41,201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23,747</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Assets held for sale</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30,984</w:t>
            </w:r>
          </w:p>
        </w:tc>
        <w:tc>
          <w:tcPr>
            <w:tcW w:w="0" w:type="dxa"/>
            <w:vAlign w:val="bottom"/>
          </w:tcPr>
          <w:p>
            <w:pPr>
              <w:spacing w:after="0"/>
              <w:rPr>
                <w:sz w:val="1"/>
                <w:szCs w:val="1"/>
                <w:color w:val="auto"/>
              </w:rPr>
            </w:pPr>
          </w:p>
        </w:tc>
      </w:tr>
      <w:tr>
        <w:trPr>
          <w:trHeight w:val="167"/>
        </w:trPr>
        <w:tc>
          <w:tcPr>
            <w:tcW w:w="7900" w:type="dxa"/>
            <w:vAlign w:val="bottom"/>
          </w:tcPr>
          <w:p>
            <w:pPr>
              <w:ind w:left="340"/>
              <w:spacing w:after="0"/>
              <w:rPr>
                <w:sz w:val="20"/>
                <w:szCs w:val="20"/>
                <w:color w:val="auto"/>
              </w:rPr>
            </w:pPr>
            <w:r>
              <w:rPr>
                <w:rFonts w:ascii="Arial" w:cs="Arial" w:eastAsia="Arial" w:hAnsi="Arial"/>
                <w:sz w:val="13"/>
                <w:szCs w:val="13"/>
                <w:color w:val="auto"/>
              </w:rPr>
              <w:t>Total current assets</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355,400</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533,466</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right of use assets (Note 10)</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Arial" w:cs="Arial" w:eastAsia="Arial" w:hAnsi="Arial"/>
                <w:sz w:val="13"/>
                <w:szCs w:val="13"/>
                <w:color w:val="auto"/>
              </w:rPr>
              <w:t>Property and equipment, net (Note 6)</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123,468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126,499</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Contract acquisition costs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35,953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43,804</w:t>
            </w: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Arial" w:cs="Arial" w:eastAsia="Arial" w:hAnsi="Arial"/>
                <w:sz w:val="13"/>
                <w:szCs w:val="13"/>
                <w:color w:val="auto"/>
              </w:rPr>
              <w:t>Intangible assets, net (Note 5)</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64,781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78,103</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Goodwill (Note 5)</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283,759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296,214</w:t>
            </w: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4,486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4,423</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Investment in joint venture (Note 17)</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2,264</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assets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2,563</w:t>
            </w:r>
          </w:p>
        </w:tc>
        <w:tc>
          <w:tcPr>
            <w:tcW w:w="0" w:type="dxa"/>
            <w:vAlign w:val="bottom"/>
          </w:tcPr>
          <w:p>
            <w:pPr>
              <w:spacing w:after="0"/>
              <w:rPr>
                <w:sz w:val="1"/>
                <w:szCs w:val="1"/>
                <w:color w:val="auto"/>
              </w:rPr>
            </w:pPr>
          </w:p>
        </w:tc>
      </w:tr>
      <w:tr>
        <w:trPr>
          <w:trHeight w:val="196"/>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873,445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1,088,940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2480"/>
              <w:spacing w:after="0"/>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90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14,098</w:t>
            </w:r>
          </w:p>
        </w:tc>
        <w:tc>
          <w:tcPr>
            <w:tcW w:w="100" w:type="dxa"/>
            <w:vAlign w:val="bottom"/>
          </w:tcPr>
          <w:p>
            <w:pPr>
              <w:spacing w:after="0"/>
              <w:rPr>
                <w:sz w:val="15"/>
                <w:szCs w:val="15"/>
                <w:color w:val="auto"/>
              </w:rPr>
            </w:pPr>
          </w:p>
        </w:tc>
        <w:tc>
          <w:tcPr>
            <w:tcW w:w="320" w:type="dxa"/>
            <w:vAlign w:val="bottom"/>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25,303</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Accrued expenses and other current liabilities (Note 7)</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123,132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129,244</w:t>
            </w:r>
          </w:p>
        </w:tc>
        <w:tc>
          <w:tcPr>
            <w:tcW w:w="0" w:type="dxa"/>
            <w:vAlign w:val="bottom"/>
          </w:tcPr>
          <w:p>
            <w:pPr>
              <w:spacing w:after="0"/>
              <w:rPr>
                <w:sz w:val="1"/>
                <w:szCs w:val="1"/>
                <w:color w:val="auto"/>
              </w:rPr>
            </w:pPr>
          </w:p>
        </w:tc>
      </w:tr>
      <w:tr>
        <w:trPr>
          <w:trHeight w:val="176"/>
        </w:trPr>
        <w:tc>
          <w:tcPr>
            <w:tcW w:w="7900" w:type="dxa"/>
            <w:vAlign w:val="bottom"/>
          </w:tcPr>
          <w:p>
            <w:pPr>
              <w:ind w:left="100"/>
              <w:spacing w:after="0"/>
              <w:rPr>
                <w:sz w:val="20"/>
                <w:szCs w:val="20"/>
                <w:color w:val="auto"/>
              </w:rPr>
            </w:pPr>
            <w:r>
              <w:rPr>
                <w:rFonts w:ascii="Arial" w:cs="Arial" w:eastAsia="Arial" w:hAnsi="Arial"/>
                <w:sz w:val="13"/>
                <w:szCs w:val="13"/>
                <w:color w:val="auto"/>
              </w:rPr>
              <w:t>Deferred revenue (Note 2)</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96,783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84,494</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Convertible senior notes (Note 8)</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7900" w:type="dxa"/>
            <w:vAlign w:val="bottom"/>
          </w:tcPr>
          <w:p>
            <w:pPr>
              <w:ind w:left="100"/>
              <w:spacing w:after="0"/>
              <w:rPr>
                <w:sz w:val="20"/>
                <w:szCs w:val="20"/>
                <w:color w:val="auto"/>
              </w:rPr>
            </w:pPr>
            <w:r>
              <w:rPr>
                <w:rFonts w:ascii="Arial" w:cs="Arial" w:eastAsia="Arial" w:hAnsi="Arial"/>
                <w:sz w:val="13"/>
                <w:szCs w:val="13"/>
                <w:color w:val="auto"/>
              </w:rPr>
              <w:t>Operating lease liabilities (Note 10)</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2,160</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Liabilities associated with assets held for sale</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10,357</w:t>
            </w:r>
          </w:p>
        </w:tc>
        <w:tc>
          <w:tcPr>
            <w:tcW w:w="0" w:type="dxa"/>
            <w:vAlign w:val="bottom"/>
          </w:tcPr>
          <w:p>
            <w:pPr>
              <w:spacing w:after="0"/>
              <w:rPr>
                <w:sz w:val="1"/>
                <w:szCs w:val="1"/>
                <w:color w:val="auto"/>
              </w:rPr>
            </w:pPr>
          </w:p>
        </w:tc>
      </w:tr>
      <w:tr>
        <w:trPr>
          <w:trHeight w:val="167"/>
        </w:trPr>
        <w:tc>
          <w:tcPr>
            <w:tcW w:w="7900" w:type="dxa"/>
            <w:vAlign w:val="bottom"/>
          </w:tcPr>
          <w:p>
            <w:pPr>
              <w:ind w:left="340"/>
              <w:spacing w:after="0"/>
              <w:rPr>
                <w:sz w:val="20"/>
                <w:szCs w:val="20"/>
                <w:color w:val="auto"/>
              </w:rPr>
            </w:pPr>
            <w:r>
              <w:rPr>
                <w:rFonts w:ascii="Arial" w:cs="Arial" w:eastAsia="Arial" w:hAnsi="Arial"/>
                <w:sz w:val="13"/>
                <w:szCs w:val="13"/>
                <w:color w:val="auto"/>
              </w:rPr>
              <w:t>Total current liabilities</w:t>
            </w: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308,452</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251,558</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Deferred revenue, net of current portion (Note 2)</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Arial" w:cs="Arial" w:eastAsia="Arial" w:hAnsi="Arial"/>
                <w:sz w:val="13"/>
                <w:szCs w:val="13"/>
                <w:color w:val="auto"/>
              </w:rPr>
              <w:t>Convertible senior notes, net of current portion (Note 8)</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511,055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737,423</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liabilities, net of current portion (Note 10)</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2,932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w:t>
            </w:r>
          </w:p>
        </w:tc>
        <w:tc>
          <w:tcPr>
            <w:tcW w:w="0" w:type="dxa"/>
            <w:vAlign w:val="bottom"/>
          </w:tcPr>
          <w:p>
            <w:pPr>
              <w:spacing w:after="0"/>
              <w:rPr>
                <w:sz w:val="1"/>
                <w:szCs w:val="1"/>
                <w:color w:val="auto"/>
              </w:rPr>
            </w:pPr>
          </w:p>
        </w:tc>
      </w:tr>
      <w:tr>
        <w:trPr>
          <w:trHeight w:val="176"/>
        </w:trPr>
        <w:tc>
          <w:tcPr>
            <w:tcW w:w="7900" w:type="dxa"/>
            <w:vAlign w:val="bottom"/>
          </w:tcPr>
          <w:p>
            <w:pPr>
              <w:ind w:left="20"/>
              <w:spacing w:after="0"/>
              <w:rPr>
                <w:sz w:val="20"/>
                <w:szCs w:val="20"/>
                <w:color w:val="auto"/>
              </w:rPr>
            </w:pPr>
            <w:r>
              <w:rPr>
                <w:rFonts w:ascii="Arial" w:cs="Arial" w:eastAsia="Arial" w:hAnsi="Arial"/>
                <w:sz w:val="13"/>
                <w:szCs w:val="13"/>
                <w:color w:val="auto"/>
              </w:rPr>
              <w:t>Deferred tax liabilities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2,550</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liabilities</w:t>
            </w: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2,770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28,465</w:t>
            </w:r>
          </w:p>
        </w:tc>
        <w:tc>
          <w:tcPr>
            <w:tcW w:w="0" w:type="dxa"/>
            <w:vAlign w:val="bottom"/>
          </w:tcPr>
          <w:p>
            <w:pPr>
              <w:spacing w:after="0"/>
              <w:rPr>
                <w:sz w:val="1"/>
                <w:szCs w:val="1"/>
                <w:color w:val="auto"/>
              </w:rPr>
            </w:pPr>
          </w:p>
        </w:tc>
      </w:tr>
      <w:tr>
        <w:trPr>
          <w:trHeight w:val="167"/>
        </w:trPr>
        <w:tc>
          <w:tcPr>
            <w:tcW w:w="7900" w:type="dxa"/>
            <w:vAlign w:val="bottom"/>
          </w:tcPr>
          <w:p>
            <w:pPr>
              <w:ind w:left="180"/>
              <w:spacing w:after="0"/>
              <w:rPr>
                <w:sz w:val="20"/>
                <w:szCs w:val="20"/>
                <w:color w:val="auto"/>
              </w:rPr>
            </w:pPr>
            <w:r>
              <w:rPr>
                <w:rFonts w:ascii="Arial" w:cs="Arial" w:eastAsia="Arial" w:hAnsi="Arial"/>
                <w:sz w:val="13"/>
                <w:szCs w:val="13"/>
                <w:color w:val="auto"/>
              </w:rPr>
              <w:t>Total liabilities</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828,364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1,020,852</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12)</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900" w:type="dxa"/>
            <w:vAlign w:val="bottom"/>
          </w:tcPr>
          <w:p>
            <w:pPr>
              <w:ind w:left="20"/>
              <w:spacing w:after="0"/>
              <w:rPr>
                <w:sz w:val="20"/>
                <w:szCs w:val="20"/>
                <w:color w:val="auto"/>
              </w:rPr>
            </w:pPr>
            <w:r>
              <w:rPr>
                <w:rFonts w:ascii="Arial" w:cs="Arial" w:eastAsia="Arial" w:hAnsi="Arial"/>
                <w:sz w:val="13"/>
                <w:szCs w:val="13"/>
                <w:color w:val="auto"/>
              </w:rPr>
              <w:t>Stockholders’ equity:</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Preferred stock, $0.001 par value - 5,000,000 shares authorized, none issued</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7900" w:type="dxa"/>
            <w:vAlign w:val="bottom"/>
          </w:tcPr>
          <w:p>
            <w:pPr>
              <w:ind w:left="100"/>
              <w:spacing w:after="0" w:line="144" w:lineRule="exact"/>
              <w:rPr>
                <w:sz w:val="20"/>
                <w:szCs w:val="20"/>
                <w:color w:val="auto"/>
              </w:rPr>
            </w:pPr>
            <w:r>
              <w:rPr>
                <w:rFonts w:ascii="Arial" w:cs="Arial" w:eastAsia="Arial" w:hAnsi="Arial"/>
                <w:sz w:val="13"/>
                <w:szCs w:val="13"/>
                <w:color w:val="auto"/>
                <w:w w:val="92"/>
              </w:rPr>
              <w:t>Common stock, $0.001 par value - 200,000,000 shares authorized, 81,190,772 and 78,350,984 shares issued, 78,424,699 and 75,584,911 shares</w:t>
            </w:r>
          </w:p>
        </w:tc>
        <w:tc>
          <w:tcPr>
            <w:tcW w:w="2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97"/>
        </w:trPr>
        <w:tc>
          <w:tcPr>
            <w:tcW w:w="7900" w:type="dxa"/>
            <w:vAlign w:val="bottom"/>
            <w:vMerge w:val="restart"/>
          </w:tcPr>
          <w:p>
            <w:pPr>
              <w:ind w:left="100"/>
              <w:spacing w:after="0"/>
              <w:rPr>
                <w:sz w:val="20"/>
                <w:szCs w:val="20"/>
                <w:color w:val="auto"/>
              </w:rPr>
            </w:pPr>
            <w:r>
              <w:rPr>
                <w:rFonts w:ascii="Arial" w:cs="Arial" w:eastAsia="Arial" w:hAnsi="Arial"/>
                <w:sz w:val="13"/>
                <w:szCs w:val="13"/>
                <w:color w:val="auto"/>
              </w:rPr>
              <w:t>outstanding as of September 30, 2023 and December 31, 2022, respectively</w:t>
            </w:r>
          </w:p>
        </w:tc>
        <w:tc>
          <w:tcPr>
            <w:tcW w:w="20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7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Additional paid-in capital</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872,958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771,052</w:t>
            </w:r>
          </w:p>
        </w:tc>
        <w:tc>
          <w:tcPr>
            <w:tcW w:w="0" w:type="dxa"/>
            <w:vAlign w:val="bottom"/>
          </w:tcPr>
          <w:p>
            <w:pPr>
              <w:spacing w:after="0"/>
              <w:rPr>
                <w:sz w:val="1"/>
                <w:szCs w:val="1"/>
                <w:color w:val="auto"/>
              </w:rPr>
            </w:pPr>
          </w:p>
        </w:tc>
      </w:tr>
      <w:tr>
        <w:trPr>
          <w:trHeight w:val="176"/>
        </w:trPr>
        <w:tc>
          <w:tcPr>
            <w:tcW w:w="7900" w:type="dxa"/>
            <w:vAlign w:val="bottom"/>
          </w:tcPr>
          <w:p>
            <w:pPr>
              <w:ind w:left="100"/>
              <w:spacing w:after="0"/>
              <w:rPr>
                <w:sz w:val="20"/>
                <w:szCs w:val="20"/>
                <w:color w:val="auto"/>
              </w:rPr>
            </w:pPr>
            <w:r>
              <w:rPr>
                <w:rFonts w:ascii="Arial" w:cs="Arial" w:eastAsia="Arial" w:hAnsi="Arial"/>
                <w:sz w:val="13"/>
                <w:szCs w:val="13"/>
                <w:color w:val="auto"/>
              </w:rPr>
              <w:t>Treasury stock - 2,766,073 shares at September 30, 2023 and December 31, 2022</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5"/>
        </w:trPr>
        <w:tc>
          <w:tcPr>
            <w:tcW w:w="79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Accumulated deficit</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(816,372)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(692,362)</w:t>
            </w:r>
          </w:p>
        </w:tc>
        <w:tc>
          <w:tcPr>
            <w:tcW w:w="0" w:type="dxa"/>
            <w:vAlign w:val="bottom"/>
          </w:tcPr>
          <w:p>
            <w:pPr>
              <w:spacing w:after="0"/>
              <w:rPr>
                <w:sz w:val="1"/>
                <w:szCs w:val="1"/>
                <w:color w:val="auto"/>
              </w:rPr>
            </w:pPr>
          </w:p>
        </w:tc>
      </w:tr>
      <w:tr>
        <w:trPr>
          <w:trHeight w:val="176"/>
        </w:trPr>
        <w:tc>
          <w:tcPr>
            <w:tcW w:w="79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Accumulated other comprehensive loss</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(11,583)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(10,677)</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stockholders’ equity</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45,081</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68,088</w:t>
            </w:r>
          </w:p>
        </w:tc>
        <w:tc>
          <w:tcPr>
            <w:tcW w:w="0" w:type="dxa"/>
            <w:vAlign w:val="bottom"/>
          </w:tcPr>
          <w:p>
            <w:pPr>
              <w:spacing w:after="0"/>
              <w:rPr>
                <w:sz w:val="1"/>
                <w:szCs w:val="1"/>
                <w:color w:val="auto"/>
              </w:rPr>
            </w:pPr>
          </w:p>
        </w:tc>
      </w:tr>
      <w:tr>
        <w:trPr>
          <w:trHeight w:val="170"/>
        </w:trPr>
        <w:tc>
          <w:tcPr>
            <w:tcW w:w="7900" w:type="dxa"/>
            <w:vAlign w:val="bottom"/>
          </w:tcPr>
          <w:p>
            <w:pPr>
              <w:ind w:left="20"/>
              <w:spacing w:after="0"/>
              <w:rPr>
                <w:sz w:val="20"/>
                <w:szCs w:val="20"/>
                <w:color w:val="auto"/>
              </w:rPr>
            </w:pPr>
            <w:r>
              <w:rPr>
                <w:rFonts w:ascii="Arial" w:cs="Arial" w:eastAsia="Arial" w:hAnsi="Arial"/>
                <w:sz w:val="13"/>
                <w:szCs w:val="13"/>
                <w:b w:val="1"/>
                <w:bCs w:val="1"/>
                <w:color w:val="auto"/>
              </w:rPr>
              <w:t>Total liabilities and stockholders’ equity</w:t>
            </w: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873,445</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1,088,940</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360"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40"/>
          </w:cols>
          <w:pgMar w:left="440" w:top="698" w:right="619" w:bottom="1440" w:gutter="0" w:footer="0" w:header="0"/>
        </w:sectPr>
      </w:pPr>
    </w:p>
    <w:bookmarkStart w:id="4" w:name="page5"/>
    <w:bookmarkEnd w:id="4"/>
    <w:p>
      <w:pPr>
        <w:ind w:left="5140"/>
        <w:spacing w:after="0"/>
        <w:rPr>
          <w:sz w:val="20"/>
          <w:szCs w:val="20"/>
          <w:color w:val="auto"/>
        </w:rPr>
      </w:pPr>
      <w:r>
        <w:rPr>
          <w:rFonts w:ascii="Arial" w:cs="Arial" w:eastAsia="Arial" w:hAnsi="Arial"/>
          <w:sz w:val="14"/>
          <w:szCs w:val="14"/>
          <w:b w:val="1"/>
          <w:bCs w:val="1"/>
          <w:color w:val="auto"/>
        </w:rPr>
        <w:t>LIVEPERSON, INC.</w:t>
      </w:r>
    </w:p>
    <w:p>
      <w:pPr>
        <w:spacing w:after="0" w:line="51"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CONDENSED CONSOLIDATED STATEMENTS OF OPERATIONS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5"/>
          </w:tcPr>
          <w:p>
            <w:pPr>
              <w:ind w:left="120"/>
              <w:spacing w:after="0"/>
              <w:rPr>
                <w:sz w:val="20"/>
                <w:szCs w:val="20"/>
                <w:color w:val="auto"/>
              </w:rPr>
            </w:pPr>
            <w:r>
              <w:rPr>
                <w:rFonts w:ascii="Arial" w:cs="Arial" w:eastAsia="Arial" w:hAnsi="Arial"/>
                <w:sz w:val="13"/>
                <w:szCs w:val="13"/>
                <w:b w:val="1"/>
                <w:bCs w:val="1"/>
                <w:color w:val="auto"/>
              </w:rPr>
              <w:t>Three Months Ended September 30,</w:t>
            </w:r>
          </w:p>
        </w:tc>
        <w:tc>
          <w:tcPr>
            <w:tcW w:w="240" w:type="dxa"/>
            <w:vAlign w:val="bottom"/>
          </w:tcPr>
          <w:p>
            <w:pPr>
              <w:spacing w:after="0"/>
              <w:rPr>
                <w:sz w:val="14"/>
                <w:szCs w:val="14"/>
                <w:color w:val="auto"/>
              </w:rPr>
            </w:pPr>
          </w:p>
        </w:tc>
        <w:tc>
          <w:tcPr>
            <w:tcW w:w="2460" w:type="dxa"/>
            <w:vAlign w:val="bottom"/>
            <w:gridSpan w:val="4"/>
          </w:tcPr>
          <w:p>
            <w:pPr>
              <w:jc w:val="right"/>
              <w:ind w:right="330"/>
              <w:spacing w:after="0"/>
              <w:rPr>
                <w:sz w:val="20"/>
                <w:szCs w:val="20"/>
                <w:color w:val="auto"/>
              </w:rPr>
            </w:pPr>
            <w:r>
              <w:rPr>
                <w:rFonts w:ascii="Arial" w:cs="Arial" w:eastAsia="Arial" w:hAnsi="Arial"/>
                <w:sz w:val="13"/>
                <w:szCs w:val="13"/>
                <w:b w:val="1"/>
                <w:bCs w:val="1"/>
                <w:color w:val="auto"/>
                <w:w w:val="95"/>
              </w:rPr>
              <w:t>Nine Months Ended September 30,</w:t>
            </w: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2"/>
        </w:trPr>
        <w:tc>
          <w:tcPr>
            <w:tcW w:w="5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w w:val="91"/>
              </w:rPr>
              <w:t>(In thousands, except share and per share amounts)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101,332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129,561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306,515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392,323</w:t>
            </w:r>
          </w:p>
        </w:tc>
        <w:tc>
          <w:tcPr>
            <w:tcW w:w="0" w:type="dxa"/>
            <w:vAlign w:val="bottom"/>
          </w:tcPr>
          <w:p>
            <w:pPr>
              <w:spacing w:after="0"/>
              <w:rPr>
                <w:sz w:val="1"/>
                <w:szCs w:val="1"/>
                <w:color w:val="auto"/>
              </w:rPr>
            </w:pPr>
          </w:p>
        </w:tc>
      </w:tr>
      <w:tr>
        <w:trPr>
          <w:trHeight w:val="202"/>
        </w:trPr>
        <w:tc>
          <w:tcPr>
            <w:tcW w:w="570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Costs, expenses and other: </w:t>
            </w:r>
            <w:r>
              <w:rPr>
                <w:rFonts w:ascii="Arial" w:cs="Arial" w:eastAsia="Arial" w:hAnsi="Arial"/>
                <w:sz w:val="20"/>
                <w:szCs w:val="20"/>
                <w:color w:val="auto"/>
                <w:vertAlign w:val="superscript"/>
              </w:rPr>
              <w:t>(1) (2)</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4"/>
                <w:szCs w:val="14"/>
                <w:color w:val="auto"/>
              </w:rPr>
              <w:t xml:space="preserve">Cost of revenue </w:t>
            </w:r>
            <w:r>
              <w:rPr>
                <w:rFonts w:ascii="Arial" w:cs="Arial" w:eastAsia="Arial" w:hAnsi="Arial"/>
                <w:sz w:val="20"/>
                <w:szCs w:val="20"/>
                <w:color w:val="auto"/>
                <w:vertAlign w:val="superscript"/>
              </w:rPr>
              <w:t>(3)</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43,681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105,964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138,297</w:t>
            </w:r>
          </w:p>
        </w:tc>
        <w:tc>
          <w:tcPr>
            <w:tcW w:w="0" w:type="dxa"/>
            <w:vAlign w:val="bottom"/>
          </w:tcPr>
          <w:p>
            <w:pPr>
              <w:spacing w:after="0"/>
              <w:rPr>
                <w:sz w:val="1"/>
                <w:szCs w:val="1"/>
                <w:color w:val="auto"/>
              </w:rPr>
            </w:pPr>
          </w:p>
        </w:tc>
      </w:tr>
      <w:tr>
        <w:trPr>
          <w:trHeight w:val="180"/>
        </w:trPr>
        <w:tc>
          <w:tcPr>
            <w:tcW w:w="5700" w:type="dxa"/>
            <w:vAlign w:val="bottom"/>
          </w:tcPr>
          <w:p>
            <w:pPr>
              <w:ind w:left="100"/>
              <w:spacing w:after="0"/>
              <w:rPr>
                <w:sz w:val="20"/>
                <w:szCs w:val="20"/>
                <w:color w:val="auto"/>
              </w:rPr>
            </w:pPr>
            <w:r>
              <w:rPr>
                <w:rFonts w:ascii="Arial" w:cs="Arial" w:eastAsia="Arial" w:hAnsi="Arial"/>
                <w:sz w:val="14"/>
                <w:szCs w:val="14"/>
                <w:color w:val="auto"/>
              </w:rPr>
              <w:t>Sales and marketing</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32,118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49,448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93,312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167,563</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32,171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70,065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92,152</w:t>
            </w:r>
          </w:p>
        </w:tc>
        <w:tc>
          <w:tcPr>
            <w:tcW w:w="0" w:type="dxa"/>
            <w:vAlign w:val="bottom"/>
          </w:tcPr>
          <w:p>
            <w:pPr>
              <w:spacing w:after="0"/>
              <w:rPr>
                <w:sz w:val="1"/>
                <w:szCs w:val="1"/>
                <w:color w:val="auto"/>
              </w:rPr>
            </w:pPr>
          </w:p>
        </w:tc>
      </w:tr>
      <w:tr>
        <w:trPr>
          <w:trHeight w:val="180"/>
        </w:trPr>
        <w:tc>
          <w:tcPr>
            <w:tcW w:w="5700" w:type="dxa"/>
            <w:vAlign w:val="bottom"/>
          </w:tcPr>
          <w:p>
            <w:pPr>
              <w:ind w:left="100"/>
              <w:spacing w:after="0"/>
              <w:rPr>
                <w:sz w:val="20"/>
                <w:szCs w:val="20"/>
                <w:color w:val="auto"/>
              </w:rPr>
            </w:pPr>
            <w:r>
              <w:rPr>
                <w:rFonts w:ascii="Arial" w:cs="Arial" w:eastAsia="Arial" w:hAnsi="Arial"/>
                <w:sz w:val="14"/>
                <w:szCs w:val="14"/>
                <w:color w:val="auto"/>
              </w:rPr>
              <w:t>Product development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35,575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44,744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94,933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156,568</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Impairment of goodwill</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11,895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tcPr>
          <w:p>
            <w:pPr>
              <w:ind w:left="100"/>
              <w:spacing w:after="0"/>
              <w:rPr>
                <w:sz w:val="20"/>
                <w:szCs w:val="20"/>
                <w:color w:val="auto"/>
              </w:rPr>
            </w:pPr>
            <w:r>
              <w:rPr>
                <w:rFonts w:ascii="Arial" w:cs="Arial" w:eastAsia="Arial" w:hAnsi="Arial"/>
                <w:sz w:val="14"/>
                <w:szCs w:val="14"/>
                <w:color w:val="auto"/>
              </w:rPr>
              <w:t>Restructuring costs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7,111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15,999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17,949</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Gain on divestiture</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Amortization of purchased intangible assets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2,644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71"/>
        </w:trPr>
        <w:tc>
          <w:tcPr>
            <w:tcW w:w="5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costs, expenses and other</w:t>
            </w:r>
          </w:p>
        </w:tc>
        <w:tc>
          <w:tcPr>
            <w:tcW w:w="20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145,007</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178,075</w:t>
            </w:r>
          </w:p>
        </w:tc>
        <w:tc>
          <w:tcPr>
            <w:tcW w:w="2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377,221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575,271</w:t>
            </w:r>
          </w:p>
        </w:tc>
        <w:tc>
          <w:tcPr>
            <w:tcW w:w="0" w:type="dxa"/>
            <w:vAlign w:val="bottom"/>
          </w:tcPr>
          <w:p>
            <w:pPr>
              <w:spacing w:after="0"/>
              <w:rPr>
                <w:sz w:val="1"/>
                <w:szCs w:val="1"/>
                <w:color w:val="auto"/>
              </w:rPr>
            </w:pPr>
          </w:p>
        </w:tc>
      </w:tr>
      <w:tr>
        <w:trPr>
          <w:trHeight w:val="171"/>
        </w:trPr>
        <w:tc>
          <w:tcPr>
            <w:tcW w:w="570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2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(43,675)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(48,514)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(70,706)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(182,948)</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100"/>
              <w:spacing w:after="0"/>
              <w:rPr>
                <w:sz w:val="20"/>
                <w:szCs w:val="20"/>
                <w:color w:val="auto"/>
              </w:rPr>
            </w:pPr>
            <w:r>
              <w:rPr>
                <w:rFonts w:ascii="Arial" w:cs="Arial" w:eastAsia="Arial" w:hAnsi="Arial"/>
                <w:sz w:val="14"/>
                <w:szCs w:val="14"/>
                <w:color w:val="auto"/>
              </w:rPr>
              <w:t>Interest income (expense), net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401</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ind w:right="10"/>
              <w:spacing w:after="0"/>
              <w:rPr>
                <w:sz w:val="20"/>
                <w:szCs w:val="20"/>
                <w:color w:val="auto"/>
              </w:rPr>
            </w:pPr>
            <w:r>
              <w:rPr>
                <w:rFonts w:ascii="Arial" w:cs="Arial" w:eastAsia="Arial" w:hAnsi="Arial"/>
                <w:sz w:val="14"/>
                <w:szCs w:val="14"/>
                <w:color w:val="auto"/>
              </w:rPr>
              <w:t>3,005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(1,713)</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(expense) income, net</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(10,164)</w:t>
            </w:r>
          </w:p>
        </w:tc>
        <w:tc>
          <w:tcPr>
            <w:tcW w:w="1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5,114</w:t>
            </w:r>
          </w:p>
        </w:tc>
        <w:tc>
          <w:tcPr>
            <w:tcW w:w="2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9,391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other (expense) income</w:t>
            </w: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(9,096)</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12,396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71"/>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(52,771)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(42,999)</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(182,753)</w:t>
            </w:r>
          </w:p>
        </w:tc>
        <w:tc>
          <w:tcPr>
            <w:tcW w:w="0" w:type="dxa"/>
            <w:vAlign w:val="bottom"/>
          </w:tcPr>
          <w:p>
            <w:pPr>
              <w:spacing w:after="0"/>
              <w:rPr>
                <w:sz w:val="1"/>
                <w:szCs w:val="1"/>
                <w:color w:val="auto"/>
              </w:rPr>
            </w:pPr>
          </w:p>
        </w:tc>
      </w:tr>
      <w:tr>
        <w:trPr>
          <w:trHeight w:val="180"/>
        </w:trPr>
        <w:tc>
          <w:tcPr>
            <w:tcW w:w="5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Provision for income taxes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1,600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(53,312)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(43,248)</w:t>
            </w:r>
          </w:p>
        </w:tc>
        <w:tc>
          <w:tcPr>
            <w:tcW w:w="2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(59,910)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(184,023)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per share of common stock:</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200" w:type="dxa"/>
            <w:vAlign w:val="bottom"/>
          </w:tcPr>
          <w:p>
            <w:pPr>
              <w:spacing w:after="0"/>
              <w:rPr>
                <w:sz w:val="15"/>
                <w:szCs w:val="15"/>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0"/>
        </w:trPr>
        <w:tc>
          <w:tcPr>
            <w:tcW w:w="5700" w:type="dxa"/>
            <w:vAlign w:val="bottom"/>
          </w:tcPr>
          <w:p>
            <w:pPr>
              <w:ind w:left="20"/>
              <w:spacing w:after="0"/>
              <w:rPr>
                <w:sz w:val="20"/>
                <w:szCs w:val="20"/>
                <w:color w:val="auto"/>
              </w:rPr>
            </w:pPr>
            <w:r>
              <w:rPr>
                <w:rFonts w:ascii="Arial" w:cs="Arial" w:eastAsia="Arial" w:hAnsi="Arial"/>
                <w:sz w:val="14"/>
                <w:szCs w:val="14"/>
                <w:color w:val="auto"/>
              </w:rPr>
              <w:t>Weighted average shares outstanding:</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78,005,210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77,784,346</w:t>
            </w: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76,902,316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76,969,629</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4"/>
                <w:szCs w:val="14"/>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color w:val="auto"/>
              </w:rPr>
              <w:t>78,005,210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right"/>
              <w:spacing w:after="0" w:line="143" w:lineRule="exact"/>
              <w:rPr>
                <w:sz w:val="20"/>
                <w:szCs w:val="20"/>
                <w:color w:val="auto"/>
              </w:rPr>
            </w:pPr>
            <w:r>
              <w:rPr>
                <w:rFonts w:ascii="Arial" w:cs="Arial" w:eastAsia="Arial" w:hAnsi="Arial"/>
                <w:sz w:val="14"/>
                <w:szCs w:val="14"/>
                <w:color w:val="auto"/>
              </w:rPr>
              <w:t>77,784,346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10"/>
              <w:spacing w:after="0" w:line="143" w:lineRule="exact"/>
              <w:rPr>
                <w:sz w:val="20"/>
                <w:szCs w:val="20"/>
                <w:color w:val="auto"/>
              </w:rPr>
            </w:pPr>
            <w:r>
              <w:rPr>
                <w:rFonts w:ascii="Arial" w:cs="Arial" w:eastAsia="Arial" w:hAnsi="Arial"/>
                <w:sz w:val="14"/>
                <w:szCs w:val="14"/>
                <w:color w:val="auto"/>
              </w:rPr>
              <w:t>76,902,316</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10"/>
              <w:spacing w:after="0" w:line="143" w:lineRule="exact"/>
              <w:rPr>
                <w:sz w:val="20"/>
                <w:szCs w:val="20"/>
                <w:color w:val="auto"/>
              </w:rPr>
            </w:pPr>
            <w:r>
              <w:rPr>
                <w:rFonts w:ascii="Arial" w:cs="Arial" w:eastAsia="Arial" w:hAnsi="Arial"/>
                <w:sz w:val="14"/>
                <w:szCs w:val="14"/>
                <w:color w:val="auto"/>
              </w:rPr>
              <w:t>76,969,629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14540" cy="128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4540" cy="128270"/>
                    </a:xfrm>
                    <a:prstGeom prst="rect">
                      <a:avLst/>
                    </a:prstGeom>
                    <a:noFill/>
                  </pic:spPr>
                </pic:pic>
              </a:graphicData>
            </a:graphic>
          </wp:anchor>
        </w:drawing>
      </w:r>
    </w:p>
    <w:p>
      <w:pPr>
        <w:spacing w:after="0" w:line="164" w:lineRule="exact"/>
        <w:rPr>
          <w:sz w:val="20"/>
          <w:szCs w:val="20"/>
          <w:color w:val="auto"/>
        </w:rPr>
      </w:pPr>
    </w:p>
    <w:p>
      <w:pPr>
        <w:ind w:left="160" w:hanging="144"/>
        <w:spacing w:after="0"/>
        <w:tabs>
          <w:tab w:leader="none" w:pos="160" w:val="left"/>
        </w:tabs>
        <w:numPr>
          <w:ilvl w:val="0"/>
          <w:numId w:val="3"/>
        </w:numPr>
        <w:rPr>
          <w:rFonts w:ascii="Arial" w:cs="Arial" w:eastAsia="Arial" w:hAnsi="Arial"/>
          <w:sz w:val="17"/>
          <w:szCs w:val="17"/>
          <w:color w:val="auto"/>
          <w:vertAlign w:val="superscript"/>
        </w:rPr>
      </w:pPr>
      <w:r>
        <w:rPr>
          <w:rFonts w:ascii="Arial" w:cs="Arial" w:eastAsia="Arial" w:hAnsi="Arial"/>
          <w:sz w:val="12"/>
          <w:szCs w:val="12"/>
          <w:color w:val="auto"/>
        </w:rPr>
        <w:t>Amounts include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-112395</wp:posOffset>
            </wp:positionV>
            <wp:extent cx="361124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11245" cy="6985"/>
                    </a:xfrm>
                    <a:prstGeom prst="rect">
                      <a:avLst/>
                    </a:prstGeom>
                    <a:noFill/>
                  </pic:spPr>
                </pic:pic>
              </a:graphicData>
            </a:graphic>
          </wp:anchor>
        </w:drawing>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Cost of revenue</w:t>
            </w: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76</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2,905</w:t>
            </w:r>
          </w:p>
        </w:tc>
        <w:tc>
          <w:tcPr>
            <w:tcW w:w="6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879</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9,156</w:t>
            </w:r>
          </w:p>
        </w:tc>
      </w:tr>
      <w:tr>
        <w:trPr>
          <w:trHeight w:val="176"/>
        </w:trPr>
        <w:tc>
          <w:tcPr>
            <w:tcW w:w="5260" w:type="dxa"/>
            <w:vAlign w:val="bottom"/>
          </w:tcPr>
          <w:p>
            <w:pPr>
              <w:ind w:left="20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2,726</w:t>
            </w:r>
          </w:p>
        </w:tc>
        <w:tc>
          <w:tcPr>
            <w:tcW w:w="54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6,021</w:t>
            </w:r>
          </w:p>
        </w:tc>
        <w:tc>
          <w:tcPr>
            <w:tcW w:w="6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7,429</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18,612</w:t>
            </w:r>
          </w:p>
        </w:tc>
      </w:tr>
      <w:tr>
        <w:trPr>
          <w:trHeight w:val="185"/>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5,180</w:t>
            </w: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12,034</w:t>
            </w: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(6,070)</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35,703</w:t>
            </w:r>
          </w:p>
        </w:tc>
      </w:tr>
      <w:tr>
        <w:trPr>
          <w:trHeight w:val="176"/>
        </w:trPr>
        <w:tc>
          <w:tcPr>
            <w:tcW w:w="5260" w:type="dxa"/>
            <w:vAlign w:val="bottom"/>
          </w:tcPr>
          <w:p>
            <w:pPr>
              <w:ind w:left="200"/>
              <w:spacing w:after="0"/>
              <w:rPr>
                <w:sz w:val="20"/>
                <w:szCs w:val="20"/>
                <w:color w:val="auto"/>
              </w:rPr>
            </w:pPr>
            <w:r>
              <w:rPr>
                <w:rFonts w:ascii="Arial" w:cs="Arial" w:eastAsia="Arial" w:hAnsi="Arial"/>
                <w:sz w:val="13"/>
                <w:szCs w:val="13"/>
                <w:color w:val="auto"/>
              </w:rPr>
              <w:t>Product development</w:t>
            </w:r>
          </w:p>
        </w:tc>
        <w:tc>
          <w:tcPr>
            <w:tcW w:w="9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3,314</w:t>
            </w:r>
          </w:p>
        </w:tc>
        <w:tc>
          <w:tcPr>
            <w:tcW w:w="54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10,980</w:t>
            </w:r>
          </w:p>
        </w:tc>
        <w:tc>
          <w:tcPr>
            <w:tcW w:w="6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2,242</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36,852</w:t>
            </w:r>
          </w:p>
        </w:tc>
      </w:tr>
      <w:tr>
        <w:trPr>
          <w:trHeight w:val="174"/>
        </w:trPr>
        <w:tc>
          <w:tcPr>
            <w:tcW w:w="5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2"/>
        </w:trPr>
        <w:tc>
          <w:tcPr>
            <w:tcW w:w="5260" w:type="dxa"/>
            <w:vAlign w:val="bottom"/>
          </w:tcPr>
          <w:p>
            <w:pPr>
              <w:ind w:left="20"/>
              <w:spacing w:after="0" w:line="202" w:lineRule="exact"/>
              <w:rPr>
                <w:sz w:val="20"/>
                <w:szCs w:val="20"/>
                <w:color w:val="auto"/>
              </w:rPr>
            </w:pPr>
            <w:r>
              <w:rPr>
                <w:rFonts w:ascii="Arial" w:cs="Arial" w:eastAsia="Arial" w:hAnsi="Arial"/>
                <w:sz w:val="20"/>
                <w:szCs w:val="20"/>
                <w:color w:val="auto"/>
                <w:vertAlign w:val="superscript"/>
              </w:rPr>
              <w:t>(2)</w:t>
            </w:r>
            <w:r>
              <w:rPr>
                <w:rFonts w:ascii="Arial" w:cs="Arial" w:eastAsia="Arial" w:hAnsi="Arial"/>
                <w:sz w:val="13"/>
                <w:szCs w:val="13"/>
                <w:color w:val="auto"/>
              </w:rPr>
              <w:t xml:space="preserve"> Amounts include depreciation expense, as follows:</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0"/>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Cost of revenue</w:t>
            </w: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1,949</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2,402</w:t>
            </w:r>
          </w:p>
        </w:tc>
        <w:tc>
          <w:tcPr>
            <w:tcW w:w="6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6,382</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7,398</w:t>
            </w:r>
          </w:p>
        </w:tc>
      </w:tr>
      <w:tr>
        <w:trPr>
          <w:trHeight w:val="176"/>
        </w:trPr>
        <w:tc>
          <w:tcPr>
            <w:tcW w:w="5260" w:type="dxa"/>
            <w:vAlign w:val="bottom"/>
          </w:tcPr>
          <w:p>
            <w:pPr>
              <w:ind w:left="200"/>
              <w:spacing w:after="0"/>
              <w:rPr>
                <w:sz w:val="20"/>
                <w:szCs w:val="20"/>
                <w:color w:val="auto"/>
              </w:rPr>
            </w:pPr>
            <w:r>
              <w:rPr>
                <w:rFonts w:ascii="Arial" w:cs="Arial" w:eastAsia="Arial" w:hAnsi="Arial"/>
                <w:sz w:val="13"/>
                <w:szCs w:val="13"/>
                <w:color w:val="auto"/>
              </w:rPr>
              <w:t>Sales and marketing</w:t>
            </w:r>
          </w:p>
        </w:tc>
        <w:tc>
          <w:tcPr>
            <w:tcW w:w="9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809</w:t>
            </w:r>
          </w:p>
        </w:tc>
        <w:tc>
          <w:tcPr>
            <w:tcW w:w="54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637</w:t>
            </w:r>
          </w:p>
        </w:tc>
        <w:tc>
          <w:tcPr>
            <w:tcW w:w="6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2,276</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1,794</w:t>
            </w:r>
          </w:p>
        </w:tc>
      </w:tr>
      <w:tr>
        <w:trPr>
          <w:trHeight w:val="185"/>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73</w:t>
            </w:r>
          </w:p>
        </w:tc>
        <w:tc>
          <w:tcPr>
            <w:tcW w:w="5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109</w:t>
            </w: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373</w:t>
            </w:r>
          </w:p>
        </w:tc>
        <w:tc>
          <w:tcPr>
            <w:tcW w:w="5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r>
      <w:tr>
        <w:trPr>
          <w:trHeight w:val="176"/>
        </w:trPr>
        <w:tc>
          <w:tcPr>
            <w:tcW w:w="5260" w:type="dxa"/>
            <w:vAlign w:val="bottom"/>
          </w:tcPr>
          <w:p>
            <w:pPr>
              <w:ind w:left="200"/>
              <w:spacing w:after="0"/>
              <w:rPr>
                <w:sz w:val="20"/>
                <w:szCs w:val="20"/>
                <w:color w:val="auto"/>
              </w:rPr>
            </w:pPr>
            <w:r>
              <w:rPr>
                <w:rFonts w:ascii="Arial" w:cs="Arial" w:eastAsia="Arial" w:hAnsi="Arial"/>
                <w:sz w:val="13"/>
                <w:szCs w:val="13"/>
                <w:color w:val="auto"/>
              </w:rPr>
              <w:t>Product development</w:t>
            </w:r>
          </w:p>
        </w:tc>
        <w:tc>
          <w:tcPr>
            <w:tcW w:w="920" w:type="dxa"/>
            <w:vAlign w:val="bottom"/>
          </w:tcPr>
          <w:p>
            <w:pPr>
              <w:spacing w:after="0"/>
              <w:rPr>
                <w:sz w:val="15"/>
                <w:szCs w:val="15"/>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4,933</w:t>
            </w:r>
          </w:p>
        </w:tc>
        <w:tc>
          <w:tcPr>
            <w:tcW w:w="540" w:type="dxa"/>
            <w:vAlign w:val="bottom"/>
          </w:tcPr>
          <w:p>
            <w:pPr>
              <w:spacing w:after="0"/>
              <w:rPr>
                <w:sz w:val="15"/>
                <w:szCs w:val="15"/>
                <w:color w:val="auto"/>
              </w:rPr>
            </w:pP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3,915</w:t>
            </w:r>
          </w:p>
        </w:tc>
        <w:tc>
          <w:tcPr>
            <w:tcW w:w="600" w:type="dxa"/>
            <w:vAlign w:val="bottom"/>
          </w:tcPr>
          <w:p>
            <w:pPr>
              <w:spacing w:after="0"/>
              <w:rPr>
                <w:sz w:val="15"/>
                <w:szCs w:val="15"/>
                <w:color w:val="auto"/>
              </w:rPr>
            </w:pPr>
          </w:p>
        </w:tc>
        <w:tc>
          <w:tcPr>
            <w:tcW w:w="860" w:type="dxa"/>
            <w:vAlign w:val="bottom"/>
          </w:tcPr>
          <w:p>
            <w:pPr>
              <w:jc w:val="right"/>
              <w:ind w:right="33"/>
              <w:spacing w:after="0"/>
              <w:rPr>
                <w:sz w:val="20"/>
                <w:szCs w:val="20"/>
                <w:color w:val="auto"/>
              </w:rPr>
            </w:pPr>
            <w:r>
              <w:rPr>
                <w:rFonts w:ascii="Arial" w:cs="Arial" w:eastAsia="Arial" w:hAnsi="Arial"/>
                <w:sz w:val="13"/>
                <w:szCs w:val="13"/>
                <w:color w:val="auto"/>
              </w:rPr>
              <w:t>15,821</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11,880</w:t>
            </w:r>
          </w:p>
        </w:tc>
      </w:tr>
      <w:tr>
        <w:trPr>
          <w:trHeight w:val="174"/>
        </w:trPr>
        <w:tc>
          <w:tcPr>
            <w:tcW w:w="5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260" w:type="dxa"/>
            <w:vAlign w:val="bottom"/>
          </w:tcPr>
          <w:p>
            <w:pPr>
              <w:ind w:left="20"/>
              <w:spacing w:after="0" w:line="181" w:lineRule="exact"/>
              <w:rPr>
                <w:sz w:val="20"/>
                <w:szCs w:val="20"/>
                <w:color w:val="auto"/>
              </w:rPr>
            </w:pPr>
            <w:r>
              <w:rPr>
                <w:rFonts w:ascii="Arial" w:cs="Arial" w:eastAsia="Arial" w:hAnsi="Arial"/>
                <w:sz w:val="20"/>
                <w:szCs w:val="20"/>
                <w:color w:val="auto"/>
                <w:vertAlign w:val="superscript"/>
              </w:rPr>
              <w:t>(3)</w:t>
            </w:r>
            <w:r>
              <w:rPr>
                <w:rFonts w:ascii="Arial" w:cs="Arial" w:eastAsia="Arial" w:hAnsi="Arial"/>
                <w:sz w:val="13"/>
                <w:szCs w:val="13"/>
                <w:color w:val="auto"/>
              </w:rPr>
              <w:t xml:space="preserve"> Amounts include amortization of purchased intangibles and finance leases, as follows:</w:t>
            </w:r>
          </w:p>
        </w:tc>
        <w:tc>
          <w:tcPr>
            <w:tcW w:w="9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Cost of revenue</w:t>
            </w:r>
          </w:p>
        </w:tc>
        <w:tc>
          <w:tcPr>
            <w:tcW w:w="92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7,545</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4,811</w:t>
            </w:r>
          </w:p>
        </w:tc>
        <w:tc>
          <w:tcPr>
            <w:tcW w:w="60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16,684</w:t>
            </w:r>
          </w:p>
        </w:tc>
        <w:tc>
          <w:tcPr>
            <w:tcW w:w="54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13,788</w:t>
            </w: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889" w:right="339" w:bottom="1440" w:gutter="0" w:footer="0" w:header="0"/>
        </w:sectPr>
      </w:pPr>
    </w:p>
    <w:bookmarkStart w:id="5" w:name="page6"/>
    <w:bookmarkEnd w:id="5"/>
    <w:p>
      <w:pPr>
        <w:ind w:left="4860"/>
        <w:spacing w:after="0"/>
        <w:rPr>
          <w:sz w:val="20"/>
          <w:szCs w:val="20"/>
          <w:color w:val="auto"/>
        </w:rPr>
      </w:pPr>
      <w:r>
        <w:rPr>
          <w:rFonts w:ascii="Arial" w:cs="Arial" w:eastAsia="Arial" w:hAnsi="Arial"/>
          <w:sz w:val="14"/>
          <w:szCs w:val="14"/>
          <w:b w:val="1"/>
          <w:bCs w:val="1"/>
          <w:color w:val="auto"/>
        </w:rPr>
        <w:t>LIVEPERSON, INC.</w:t>
      </w:r>
    </w:p>
    <w:p>
      <w:pPr>
        <w:spacing w:after="0" w:line="94"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CONDENSED CONSOLIDATED STATEMENTS OF COMPREHENSIVE LOSS</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(UNAUDITED)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60" w:type="dxa"/>
            <w:vAlign w:val="bottom"/>
          </w:tcPr>
          <w:p>
            <w:pPr>
              <w:spacing w:after="0"/>
              <w:rPr>
                <w:sz w:val="14"/>
                <w:szCs w:val="14"/>
                <w:color w:val="auto"/>
              </w:rPr>
            </w:pPr>
          </w:p>
        </w:tc>
        <w:tc>
          <w:tcPr>
            <w:tcW w:w="2860" w:type="dxa"/>
            <w:vAlign w:val="bottom"/>
            <w:gridSpan w:val="6"/>
          </w:tcPr>
          <w:p>
            <w:pPr>
              <w:ind w:left="360"/>
              <w:spacing w:after="0"/>
              <w:rPr>
                <w:sz w:val="20"/>
                <w:szCs w:val="20"/>
                <w:color w:val="auto"/>
              </w:rPr>
            </w:pPr>
            <w:r>
              <w:rPr>
                <w:rFonts w:ascii="Arial" w:cs="Arial" w:eastAsia="Arial" w:hAnsi="Arial"/>
                <w:sz w:val="13"/>
                <w:szCs w:val="13"/>
                <w:b w:val="1"/>
                <w:bCs w:val="1"/>
                <w:color w:val="auto"/>
              </w:rPr>
              <w:t>Three Months Ended September 30,</w:t>
            </w:r>
          </w:p>
        </w:tc>
        <w:tc>
          <w:tcPr>
            <w:tcW w:w="340" w:type="dxa"/>
            <w:vAlign w:val="bottom"/>
          </w:tcPr>
          <w:p>
            <w:pPr>
              <w:spacing w:after="0"/>
              <w:rPr>
                <w:sz w:val="14"/>
                <w:szCs w:val="14"/>
                <w:color w:val="auto"/>
              </w:rPr>
            </w:pPr>
          </w:p>
        </w:tc>
        <w:tc>
          <w:tcPr>
            <w:tcW w:w="2360" w:type="dxa"/>
            <w:vAlign w:val="bottom"/>
            <w:gridSpan w:val="4"/>
          </w:tcPr>
          <w:p>
            <w:pPr>
              <w:jc w:val="right"/>
              <w:ind w:right="331"/>
              <w:spacing w:after="0"/>
              <w:rPr>
                <w:sz w:val="20"/>
                <w:szCs w:val="20"/>
                <w:color w:val="auto"/>
              </w:rPr>
            </w:pPr>
            <w:r>
              <w:rPr>
                <w:rFonts w:ascii="Arial" w:cs="Arial" w:eastAsia="Arial" w:hAnsi="Arial"/>
                <w:sz w:val="13"/>
                <w:szCs w:val="13"/>
                <w:b w:val="1"/>
                <w:bCs w:val="1"/>
                <w:color w:val="auto"/>
                <w:w w:val="90"/>
              </w:rPr>
              <w:t>Nine Months Ended September 30,</w:t>
            </w:r>
          </w:p>
        </w:tc>
      </w:tr>
      <w:tr>
        <w:trPr>
          <w:trHeight w:val="160"/>
        </w:trPr>
        <w:tc>
          <w:tcPr>
            <w:tcW w:w="54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r>
      <w:tr>
        <w:trPr>
          <w:trHeight w:val="198"/>
        </w:trPr>
        <w:tc>
          <w:tcPr>
            <w:tcW w:w="5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7"/>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00" w:type="dxa"/>
            <w:vAlign w:val="bottom"/>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(53,312)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(43,248)</w:t>
            </w: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(59,910)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(184,023)</w:t>
            </w:r>
          </w:p>
        </w:tc>
      </w:tr>
      <w:tr>
        <w:trPr>
          <w:trHeight w:val="180"/>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(5,026)</w:t>
            </w:r>
          </w:p>
        </w:tc>
        <w:tc>
          <w:tcPr>
            <w:tcW w:w="1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(11,524)</w:t>
            </w:r>
          </w:p>
        </w:tc>
      </w:tr>
      <w:tr>
        <w:trPr>
          <w:trHeight w:val="19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80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(55,470)</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(48,274)</w:t>
            </w:r>
          </w:p>
        </w:tc>
        <w:tc>
          <w:tcPr>
            <w:tcW w:w="1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(60,816)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(195,547)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440" w:top="889" w:right="439" w:bottom="1440" w:gutter="0" w:footer="0" w:header="0"/>
        </w:sectPr>
      </w:pPr>
    </w:p>
    <w:bookmarkStart w:id="6" w:name="page7"/>
    <w:bookmarkEnd w:id="6"/>
    <w:p>
      <w:pPr>
        <w:ind w:left="5160"/>
        <w:spacing w:after="0"/>
        <w:rPr>
          <w:sz w:val="20"/>
          <w:szCs w:val="20"/>
          <w:color w:val="auto"/>
        </w:rPr>
      </w:pPr>
      <w:r>
        <w:rPr>
          <w:rFonts w:ascii="Arial" w:cs="Arial" w:eastAsia="Arial" w:hAnsi="Arial"/>
          <w:sz w:val="14"/>
          <w:szCs w:val="14"/>
          <w:b w:val="1"/>
          <w:bCs w:val="1"/>
          <w:color w:val="auto"/>
        </w:rPr>
        <w:t>LIVEPERSON, INC.</w:t>
      </w:r>
    </w:p>
    <w:p>
      <w:pPr>
        <w:spacing w:after="0" w:line="94" w:lineRule="exact"/>
        <w:rPr>
          <w:sz w:val="20"/>
          <w:szCs w:val="20"/>
          <w:color w:val="auto"/>
        </w:rPr>
      </w:pPr>
    </w:p>
    <w:p>
      <w:pPr>
        <w:ind w:left="3220"/>
        <w:spacing w:after="0"/>
        <w:rPr>
          <w:sz w:val="20"/>
          <w:szCs w:val="20"/>
          <w:color w:val="auto"/>
        </w:rPr>
      </w:pPr>
      <w:r>
        <w:rPr>
          <w:rFonts w:ascii="Arial" w:cs="Arial" w:eastAsia="Arial" w:hAnsi="Arial"/>
          <w:sz w:val="14"/>
          <w:szCs w:val="14"/>
          <w:b w:val="1"/>
          <w:bCs w:val="1"/>
          <w:color w:val="auto"/>
        </w:rPr>
        <w:t>CONDENSED CONSOLIDATED STATEMENTS OF STOCKHOLDERS’ EQUITY</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40" w:type="dxa"/>
            <w:vAlign w:val="bottom"/>
          </w:tcPr>
          <w:p>
            <w:pPr>
              <w:spacing w:after="0"/>
              <w:rPr>
                <w:sz w:val="10"/>
                <w:szCs w:val="10"/>
                <w:color w:val="auto"/>
              </w:rPr>
            </w:pPr>
          </w:p>
        </w:tc>
        <w:tc>
          <w:tcPr>
            <w:tcW w:w="1800" w:type="dxa"/>
            <w:vAlign w:val="bottom"/>
            <w:gridSpan w:val="4"/>
            <w:vMerge w:val="restart"/>
          </w:tcPr>
          <w:p>
            <w:pPr>
              <w:jc w:val="right"/>
              <w:ind w:right="436"/>
              <w:spacing w:after="0"/>
              <w:rPr>
                <w:sz w:val="20"/>
                <w:szCs w:val="20"/>
                <w:color w:val="auto"/>
              </w:rPr>
            </w:pPr>
            <w:r>
              <w:rPr>
                <w:rFonts w:ascii="Arial" w:cs="Arial" w:eastAsia="Arial" w:hAnsi="Arial"/>
                <w:sz w:val="12"/>
                <w:szCs w:val="12"/>
                <w:b w:val="1"/>
                <w:bCs w:val="1"/>
                <w:color w:val="auto"/>
              </w:rPr>
              <w:t>Common Stock</w:t>
            </w:r>
          </w:p>
        </w:tc>
        <w:tc>
          <w:tcPr>
            <w:tcW w:w="80" w:type="dxa"/>
            <w:vAlign w:val="bottom"/>
            <w:vMerge w:val="restart"/>
          </w:tcPr>
          <w:p>
            <w:pPr>
              <w:spacing w:after="0"/>
              <w:rPr>
                <w:sz w:val="10"/>
                <w:szCs w:val="10"/>
                <w:color w:val="auto"/>
              </w:rPr>
            </w:pPr>
          </w:p>
        </w:tc>
        <w:tc>
          <w:tcPr>
            <w:tcW w:w="1780" w:type="dxa"/>
            <w:vAlign w:val="bottom"/>
            <w:gridSpan w:val="4"/>
            <w:vMerge w:val="restart"/>
          </w:tcPr>
          <w:p>
            <w:pPr>
              <w:ind w:left="50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40" w:type="dxa"/>
            <w:vAlign w:val="bottom"/>
          </w:tcPr>
          <w:p>
            <w:pPr>
              <w:spacing w:after="0"/>
              <w:rPr>
                <w:sz w:val="10"/>
                <w:szCs w:val="10"/>
                <w:color w:val="auto"/>
              </w:rPr>
            </w:pPr>
          </w:p>
        </w:tc>
        <w:tc>
          <w:tcPr>
            <w:tcW w:w="180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78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w w:val="89"/>
              </w:rPr>
              <w:t>Paid-in</w:t>
            </w: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07" w:lineRule="exact"/>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1100" w:type="dxa"/>
            <w:vAlign w:val="bottom"/>
          </w:tcPr>
          <w:p>
            <w:pPr>
              <w:jc w:val="right"/>
              <w:ind w:right="37"/>
              <w:spacing w:after="0" w:line="107" w:lineRule="exact"/>
              <w:rPr>
                <w:sz w:val="20"/>
                <w:szCs w:val="20"/>
                <w:color w:val="auto"/>
              </w:rPr>
            </w:pPr>
            <w:r>
              <w:rPr>
                <w:rFonts w:ascii="Arial" w:cs="Arial" w:eastAsia="Arial" w:hAnsi="Arial"/>
                <w:sz w:val="12"/>
                <w:szCs w:val="12"/>
                <w:b w:val="1"/>
                <w:bCs w:val="1"/>
                <w:color w:val="auto"/>
                <w:w w:val="87"/>
              </w:rPr>
              <w:t>Total Stockholders’</w:t>
            </w:r>
          </w:p>
        </w:tc>
        <w:tc>
          <w:tcPr>
            <w:tcW w:w="0" w:type="dxa"/>
            <w:vAlign w:val="bottom"/>
          </w:tcPr>
          <w:p>
            <w:pPr>
              <w:spacing w:after="0"/>
              <w:rPr>
                <w:sz w:val="1"/>
                <w:szCs w:val="1"/>
                <w:color w:val="auto"/>
              </w:rPr>
            </w:pPr>
          </w:p>
        </w:tc>
      </w:tr>
      <w:tr>
        <w:trPr>
          <w:trHeight w:val="149"/>
        </w:trPr>
        <w:tc>
          <w:tcPr>
            <w:tcW w:w="2640" w:type="dxa"/>
            <w:vAlign w:val="bottom"/>
          </w:tcPr>
          <w:p>
            <w:pPr>
              <w:spacing w:after="0"/>
              <w:rPr>
                <w:sz w:val="12"/>
                <w:szCs w:val="12"/>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Deficit</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78"/>
              </w:rPr>
              <w:t>Loss</w:t>
            </w: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7"/>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8"/>
          </w:tcPr>
          <w:p>
            <w:pPr>
              <w:ind w:left="500"/>
              <w:spacing w:after="0"/>
              <w:rPr>
                <w:sz w:val="20"/>
                <w:szCs w:val="20"/>
                <w:color w:val="auto"/>
              </w:rPr>
            </w:pPr>
            <w:r>
              <w:rPr>
                <w:rFonts w:ascii="Arial" w:cs="Arial" w:eastAsia="Arial" w:hAnsi="Arial"/>
                <w:sz w:val="12"/>
                <w:szCs w:val="12"/>
                <w:color w:val="auto"/>
              </w:rPr>
              <w:t>(In thousands, except share data)</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December 31, 2022</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78,350,984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3"/>
                <w:szCs w:val="13"/>
                <w:color w:val="auto"/>
                <w:w w:val="90"/>
              </w:rPr>
              <w:t>(2,766,073)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771,052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(692,362)</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68,088</w:t>
            </w:r>
          </w:p>
        </w:tc>
        <w:tc>
          <w:tcPr>
            <w:tcW w:w="0" w:type="dxa"/>
            <w:vAlign w:val="bottom"/>
          </w:tcPr>
          <w:p>
            <w:pPr>
              <w:spacing w:after="0"/>
              <w:rPr>
                <w:sz w:val="1"/>
                <w:szCs w:val="1"/>
                <w:color w:val="auto"/>
              </w:rPr>
            </w:pPr>
          </w:p>
        </w:tc>
      </w:tr>
      <w:tr>
        <w:trPr>
          <w:trHeight w:val="131"/>
        </w:trPr>
        <w:tc>
          <w:tcPr>
            <w:tcW w:w="2640" w:type="dxa"/>
            <w:vAlign w:val="bottom"/>
          </w:tcPr>
          <w:p>
            <w:pPr>
              <w:ind w:left="80"/>
              <w:spacing w:after="0" w:line="131" w:lineRule="exact"/>
              <w:rPr>
                <w:sz w:val="20"/>
                <w:szCs w:val="20"/>
                <w:color w:val="auto"/>
              </w:rPr>
            </w:pPr>
            <w:r>
              <w:rPr>
                <w:rFonts w:ascii="Arial" w:cs="Arial" w:eastAsia="Arial" w:hAnsi="Arial"/>
                <w:sz w:val="13"/>
                <w:szCs w:val="13"/>
                <w:color w:val="auto"/>
                <w:w w:val="97"/>
              </w:rPr>
              <w:t>Common stock issued upon exercise of stock</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18,687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64"/>
        </w:trPr>
        <w:tc>
          <w:tcPr>
            <w:tcW w:w="2640" w:type="dxa"/>
            <w:vAlign w:val="bottom"/>
          </w:tcPr>
          <w:p>
            <w:pPr>
              <w:ind w:left="80"/>
              <w:spacing w:after="0"/>
              <w:rPr>
                <w:sz w:val="20"/>
                <w:szCs w:val="20"/>
                <w:color w:val="auto"/>
              </w:rPr>
            </w:pPr>
            <w:r>
              <w:rPr>
                <w:rFonts w:ascii="Arial" w:cs="Arial" w:eastAsia="Arial" w:hAnsi="Arial"/>
                <w:sz w:val="13"/>
                <w:szCs w:val="13"/>
                <w:color w:val="auto"/>
              </w:rPr>
              <w:t>options</w:t>
            </w: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1"/>
              </w:rPr>
              <w:t>Common stock issued upon vesting of restricted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413,252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 units</w:t>
            </w: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8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9,560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9,560</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6"/>
              </w:rPr>
              <w:t>Common stock issued under Employee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87,794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 Plan (ESPP)</w:t>
            </w: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80"/>
              <w:spacing w:after="0" w:line="131" w:lineRule="exact"/>
              <w:rPr>
                <w:sz w:val="20"/>
                <w:szCs w:val="20"/>
                <w:color w:val="auto"/>
              </w:rPr>
            </w:pPr>
            <w:r>
              <w:rPr>
                <w:rFonts w:ascii="Arial" w:cs="Arial" w:eastAsia="Arial" w:hAnsi="Arial"/>
                <w:sz w:val="13"/>
                <w:szCs w:val="13"/>
                <w:color w:val="auto"/>
                <w:w w:val="97"/>
              </w:rPr>
              <w:t>Issuance of common stock in connection with</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380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64"/>
        </w:trPr>
        <w:tc>
          <w:tcPr>
            <w:tcW w:w="2640" w:type="dxa"/>
            <w:vAlign w:val="bottom"/>
          </w:tcPr>
          <w:p>
            <w:pPr>
              <w:ind w:left="80"/>
              <w:spacing w:after="0"/>
              <w:rPr>
                <w:sz w:val="20"/>
                <w:szCs w:val="20"/>
                <w:color w:val="auto"/>
              </w:rPr>
            </w:pPr>
            <w:r>
              <w:rPr>
                <w:rFonts w:ascii="Arial" w:cs="Arial" w:eastAsia="Arial" w:hAnsi="Arial"/>
                <w:sz w:val="13"/>
                <w:szCs w:val="13"/>
                <w:color w:val="auto"/>
              </w:rPr>
              <w:t>acquisitions (Note 9)</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Activity related to divestiture (Note 20)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66,775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c>
          <w:tcPr>
            <w:tcW w:w="0" w:type="dxa"/>
            <w:vAlign w:val="bottom"/>
          </w:tcPr>
          <w:p>
            <w:pPr>
              <w:spacing w:after="0"/>
              <w:rPr>
                <w:sz w:val="1"/>
                <w:szCs w:val="1"/>
                <w:color w:val="auto"/>
              </w:rPr>
            </w:pPr>
          </w:p>
        </w:tc>
      </w:tr>
      <w:tr>
        <w:trPr>
          <w:trHeight w:val="168"/>
        </w:trPr>
        <w:tc>
          <w:tcPr>
            <w:tcW w:w="2640" w:type="dxa"/>
            <w:vAlign w:val="bottom"/>
          </w:tcPr>
          <w:p>
            <w:pPr>
              <w:ind w:left="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(17,420)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(17,420)</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58"/>
        </w:trPr>
        <w:tc>
          <w:tcPr>
            <w:tcW w:w="2640" w:type="dxa"/>
            <w:vAlign w:val="bottom"/>
          </w:tcPr>
          <w:p>
            <w:pPr>
              <w:spacing w:after="0"/>
              <w:rPr>
                <w:sz w:val="20"/>
                <w:szCs w:val="20"/>
                <w:color w:val="auto"/>
              </w:rPr>
            </w:pPr>
            <w:r>
              <w:rPr>
                <w:rFonts w:ascii="Arial" w:cs="Arial" w:eastAsia="Arial" w:hAnsi="Arial"/>
                <w:sz w:val="13"/>
                <w:szCs w:val="13"/>
                <w:b w:val="1"/>
                <w:bCs w:val="1"/>
                <w:color w:val="auto"/>
              </w:rPr>
              <w:t>Balance as of March 31,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78,870,717</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79</w:t>
            </w:r>
          </w:p>
        </w:tc>
        <w:tc>
          <w:tcPr>
            <w:tcW w:w="80" w:type="dxa"/>
            <w:vAlign w:val="bottom"/>
          </w:tcPr>
          <w:p>
            <w:pPr>
              <w:spacing w:after="0"/>
              <w:rPr>
                <w:sz w:val="13"/>
                <w:szCs w:val="13"/>
                <w:color w:val="auto"/>
              </w:rPr>
            </w:pPr>
          </w:p>
        </w:tc>
        <w:tc>
          <w:tcPr>
            <w:tcW w:w="960" w:type="dxa"/>
            <w:vAlign w:val="bottom"/>
            <w:tcBorders>
              <w:top w:val="single" w:sz="8" w:color="auto"/>
            </w:tcBorders>
          </w:tcPr>
          <w:p>
            <w:pPr>
              <w:ind w:left="340"/>
              <w:spacing w:after="0"/>
              <w:rPr>
                <w:sz w:val="20"/>
                <w:szCs w:val="20"/>
                <w:color w:val="auto"/>
              </w:rPr>
            </w:pPr>
            <w:r>
              <w:rPr>
                <w:rFonts w:ascii="Arial" w:cs="Arial" w:eastAsia="Arial" w:hAnsi="Arial"/>
                <w:sz w:val="13"/>
                <w:szCs w:val="13"/>
                <w:color w:val="auto"/>
                <w:w w:val="90"/>
              </w:rPr>
              <w:t>(2,766,073)</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848,621</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(773,882)</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(9,811)</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65,004</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7"/>
              </w:rPr>
              <w:t>Common stock issued upon exercise of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11,154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options</w:t>
            </w: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80"/>
              <w:spacing w:after="0" w:line="131" w:lineRule="exact"/>
              <w:rPr>
                <w:sz w:val="20"/>
                <w:szCs w:val="20"/>
                <w:color w:val="auto"/>
              </w:rPr>
            </w:pPr>
            <w:r>
              <w:rPr>
                <w:rFonts w:ascii="Arial" w:cs="Arial" w:eastAsia="Arial" w:hAnsi="Arial"/>
                <w:sz w:val="13"/>
                <w:szCs w:val="13"/>
                <w:color w:val="auto"/>
                <w:w w:val="91"/>
              </w:rPr>
              <w:t>Common stock issued upon vesting of restricted</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295,564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640" w:type="dxa"/>
            <w:vAlign w:val="bottom"/>
          </w:tcPr>
          <w:p>
            <w:pPr>
              <w:ind w:left="80"/>
              <w:spacing w:after="0"/>
              <w:rPr>
                <w:sz w:val="20"/>
                <w:szCs w:val="20"/>
                <w:color w:val="auto"/>
              </w:rPr>
            </w:pPr>
            <w:r>
              <w:rPr>
                <w:rFonts w:ascii="Arial" w:cs="Arial" w:eastAsia="Arial" w:hAnsi="Arial"/>
                <w:sz w:val="13"/>
                <w:szCs w:val="13"/>
                <w:color w:val="auto"/>
              </w:rPr>
              <w:t>stock units</w:t>
            </w: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8,380</w:t>
            </w:r>
          </w:p>
        </w:tc>
        <w:tc>
          <w:tcPr>
            <w:tcW w:w="0" w:type="dxa"/>
            <w:vAlign w:val="bottom"/>
          </w:tcPr>
          <w:p>
            <w:pPr>
              <w:spacing w:after="0"/>
              <w:rPr>
                <w:sz w:val="1"/>
                <w:szCs w:val="1"/>
                <w:color w:val="auto"/>
              </w:rPr>
            </w:pPr>
          </w:p>
        </w:tc>
      </w:tr>
      <w:tr>
        <w:trPr>
          <w:trHeight w:val="168"/>
        </w:trPr>
        <w:tc>
          <w:tcPr>
            <w:tcW w:w="2640" w:type="dxa"/>
            <w:vAlign w:val="bottom"/>
          </w:tcPr>
          <w:p>
            <w:pPr>
              <w:ind w:left="80"/>
              <w:spacing w:after="0"/>
              <w:rPr>
                <w:sz w:val="20"/>
                <w:szCs w:val="20"/>
                <w:color w:val="auto"/>
              </w:rPr>
            </w:pPr>
            <w:r>
              <w:rPr>
                <w:rFonts w:ascii="Arial" w:cs="Arial" w:eastAsia="Arial" w:hAnsi="Arial"/>
                <w:sz w:val="13"/>
                <w:szCs w:val="13"/>
                <w:color w:val="auto"/>
              </w:rPr>
              <w:t>Common stock issued under ESPP</w:t>
            </w:r>
          </w:p>
        </w:tc>
        <w:tc>
          <w:tcPr>
            <w:tcW w:w="960" w:type="dxa"/>
            <w:vAlign w:val="bottom"/>
          </w:tcPr>
          <w:p>
            <w:pPr>
              <w:jc w:val="right"/>
              <w:spacing w:after="0"/>
              <w:rPr>
                <w:sz w:val="20"/>
                <w:szCs w:val="20"/>
                <w:color w:val="auto"/>
              </w:rPr>
            </w:pPr>
            <w:r>
              <w:rPr>
                <w:rFonts w:ascii="Arial" w:cs="Arial" w:eastAsia="Arial" w:hAnsi="Arial"/>
                <w:sz w:val="13"/>
                <w:szCs w:val="13"/>
                <w:color w:val="auto"/>
              </w:rPr>
              <w:t>97,832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397</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7"/>
              </w:rPr>
              <w:t>Issuance of common stock in connection with</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1,036,823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5,147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5,148</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acquisitions (Note 9)</w:t>
            </w: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10,822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10,822</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386</w:t>
            </w:r>
          </w:p>
        </w:tc>
        <w:tc>
          <w:tcPr>
            <w:tcW w:w="0" w:type="dxa"/>
            <w:vAlign w:val="bottom"/>
          </w:tcPr>
          <w:p>
            <w:pPr>
              <w:spacing w:after="0"/>
              <w:rPr>
                <w:sz w:val="1"/>
                <w:szCs w:val="1"/>
                <w:color w:val="auto"/>
              </w:rPr>
            </w:pPr>
          </w:p>
        </w:tc>
      </w:tr>
      <w:tr>
        <w:trPr>
          <w:trHeight w:val="158"/>
        </w:trPr>
        <w:tc>
          <w:tcPr>
            <w:tcW w:w="2640" w:type="dxa"/>
            <w:vAlign w:val="bottom"/>
          </w:tcPr>
          <w:p>
            <w:pPr>
              <w:spacing w:after="0"/>
              <w:rPr>
                <w:sz w:val="20"/>
                <w:szCs w:val="20"/>
                <w:color w:val="auto"/>
              </w:rPr>
            </w:pPr>
            <w:r>
              <w:rPr>
                <w:rFonts w:ascii="Arial" w:cs="Arial" w:eastAsia="Arial" w:hAnsi="Arial"/>
                <w:sz w:val="13"/>
                <w:szCs w:val="13"/>
                <w:b w:val="1"/>
                <w:bCs w:val="1"/>
                <w:color w:val="auto"/>
              </w:rPr>
              <w:t>Balance as of June 30, 2023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80,312,090</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80" w:type="dxa"/>
            <w:vAlign w:val="bottom"/>
          </w:tcPr>
          <w:p>
            <w:pPr>
              <w:spacing w:after="0"/>
              <w:rPr>
                <w:sz w:val="13"/>
                <w:szCs w:val="13"/>
                <w:color w:val="auto"/>
              </w:rPr>
            </w:pPr>
          </w:p>
        </w:tc>
        <w:tc>
          <w:tcPr>
            <w:tcW w:w="960" w:type="dxa"/>
            <w:vAlign w:val="bottom"/>
            <w:tcBorders>
              <w:top w:val="single" w:sz="8" w:color="auto"/>
            </w:tcBorders>
          </w:tcPr>
          <w:p>
            <w:pPr>
              <w:ind w:left="340"/>
              <w:spacing w:after="0"/>
              <w:rPr>
                <w:sz w:val="20"/>
                <w:szCs w:val="20"/>
                <w:color w:val="auto"/>
              </w:rPr>
            </w:pPr>
            <w:r>
              <w:rPr>
                <w:rFonts w:ascii="Arial" w:cs="Arial" w:eastAsia="Arial" w:hAnsi="Arial"/>
                <w:sz w:val="13"/>
                <w:szCs w:val="13"/>
                <w:color w:val="auto"/>
                <w:w w:val="90"/>
              </w:rPr>
              <w:t>(2,766,073)</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862,553</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(763,060)</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(9,425)</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90,145</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7"/>
              </w:rPr>
              <w:t>Common stock issued upon exercise of stock</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17,727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options</w:t>
            </w: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640" w:type="dxa"/>
            <w:vAlign w:val="bottom"/>
          </w:tcPr>
          <w:p>
            <w:pPr>
              <w:ind w:left="80"/>
              <w:spacing w:after="0" w:line="131" w:lineRule="exact"/>
              <w:rPr>
                <w:sz w:val="20"/>
                <w:szCs w:val="20"/>
                <w:color w:val="auto"/>
              </w:rPr>
            </w:pPr>
            <w:r>
              <w:rPr>
                <w:rFonts w:ascii="Arial" w:cs="Arial" w:eastAsia="Arial" w:hAnsi="Arial"/>
                <w:sz w:val="13"/>
                <w:szCs w:val="13"/>
                <w:color w:val="auto"/>
                <w:w w:val="91"/>
              </w:rPr>
              <w:t>Common stock issued upon vesting of restricted</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588,159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20" w:type="dxa"/>
            <w:vAlign w:val="bottom"/>
            <w:gridSpan w:val="2"/>
            <w:vMerge w:val="restart"/>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4"/>
        </w:trPr>
        <w:tc>
          <w:tcPr>
            <w:tcW w:w="2640" w:type="dxa"/>
            <w:vAlign w:val="bottom"/>
          </w:tcPr>
          <w:p>
            <w:pPr>
              <w:ind w:left="80"/>
              <w:spacing w:after="0"/>
              <w:rPr>
                <w:sz w:val="20"/>
                <w:szCs w:val="20"/>
                <w:color w:val="auto"/>
              </w:rPr>
            </w:pPr>
            <w:r>
              <w:rPr>
                <w:rFonts w:ascii="Arial" w:cs="Arial" w:eastAsia="Arial" w:hAnsi="Arial"/>
                <w:sz w:val="13"/>
                <w:szCs w:val="13"/>
                <w:color w:val="auto"/>
              </w:rPr>
              <w:t>stock units</w:t>
            </w: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7"/>
              </w:rPr>
              <w:t>Issuance of common stock in connection with</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190,042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acquisitions (Note 9)</w:t>
            </w:r>
          </w:p>
        </w:tc>
        <w:tc>
          <w:tcPr>
            <w:tcW w:w="9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40" w:type="dxa"/>
            <w:vAlign w:val="bottom"/>
          </w:tcPr>
          <w:p>
            <w:pPr>
              <w:ind w:left="80"/>
              <w:spacing w:after="0"/>
              <w:rPr>
                <w:sz w:val="20"/>
                <w:szCs w:val="20"/>
                <w:color w:val="auto"/>
              </w:rPr>
            </w:pPr>
            <w:r>
              <w:rPr>
                <w:rFonts w:ascii="Arial" w:cs="Arial" w:eastAsia="Arial" w:hAnsi="Arial"/>
                <w:sz w:val="13"/>
                <w:szCs w:val="13"/>
                <w:color w:val="auto"/>
              </w:rPr>
              <w:t>Stock-based compensation</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8,849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8,849</w:t>
            </w:r>
          </w:p>
        </w:tc>
        <w:tc>
          <w:tcPr>
            <w:tcW w:w="0" w:type="dxa"/>
            <w:vAlign w:val="bottom"/>
          </w:tcPr>
          <w:p>
            <w:pPr>
              <w:spacing w:after="0"/>
              <w:rPr>
                <w:sz w:val="1"/>
                <w:szCs w:val="1"/>
                <w:color w:val="auto"/>
              </w:rPr>
            </w:pPr>
          </w:p>
        </w:tc>
      </w:tr>
      <w:tr>
        <w:trPr>
          <w:trHeight w:val="172"/>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Common stock issued under ESPP</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82,747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68"/>
        </w:trPr>
        <w:tc>
          <w:tcPr>
            <w:tcW w:w="2640" w:type="dxa"/>
            <w:vAlign w:val="bottom"/>
          </w:tcPr>
          <w:p>
            <w:pPr>
              <w:ind w:left="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(53,312)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(53,312)</w:t>
            </w:r>
          </w:p>
        </w:tc>
        <w:tc>
          <w:tcPr>
            <w:tcW w:w="0" w:type="dxa"/>
            <w:vAlign w:val="bottom"/>
          </w:tcPr>
          <w:p>
            <w:pPr>
              <w:spacing w:after="0"/>
              <w:rPr>
                <w:sz w:val="1"/>
                <w:szCs w:val="1"/>
                <w:color w:val="auto"/>
              </w:rPr>
            </w:pPr>
          </w:p>
        </w:tc>
      </w:tr>
      <w:tr>
        <w:trPr>
          <w:trHeight w:val="170"/>
        </w:trPr>
        <w:tc>
          <w:tcPr>
            <w:tcW w:w="2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(2,158)</w:t>
            </w:r>
          </w:p>
        </w:tc>
        <w:tc>
          <w:tcPr>
            <w:tcW w:w="0" w:type="dxa"/>
            <w:vAlign w:val="bottom"/>
          </w:tcPr>
          <w:p>
            <w:pPr>
              <w:spacing w:after="0"/>
              <w:rPr>
                <w:sz w:val="1"/>
                <w:szCs w:val="1"/>
                <w:color w:val="auto"/>
              </w:rPr>
            </w:pPr>
          </w:p>
        </w:tc>
      </w:tr>
      <w:tr>
        <w:trPr>
          <w:trHeight w:val="163"/>
        </w:trPr>
        <w:tc>
          <w:tcPr>
            <w:tcW w:w="2640" w:type="dxa"/>
            <w:vAlign w:val="bottom"/>
          </w:tcPr>
          <w:p>
            <w:pPr>
              <w:spacing w:after="0"/>
              <w:rPr>
                <w:sz w:val="20"/>
                <w:szCs w:val="20"/>
                <w:color w:val="auto"/>
              </w:rPr>
            </w:pPr>
            <w:r>
              <w:rPr>
                <w:rFonts w:ascii="Arial" w:cs="Arial" w:eastAsia="Arial" w:hAnsi="Arial"/>
                <w:sz w:val="13"/>
                <w:szCs w:val="13"/>
                <w:b w:val="1"/>
                <w:bCs w:val="1"/>
                <w:color w:val="auto"/>
              </w:rPr>
              <w:t>Balance as of September 30, 2023</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81,190,765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80" w:type="dxa"/>
            <w:vAlign w:val="bottom"/>
          </w:tcPr>
          <w:p>
            <w:pPr>
              <w:spacing w:after="0"/>
              <w:rPr>
                <w:sz w:val="14"/>
                <w:szCs w:val="14"/>
                <w:color w:val="auto"/>
              </w:rPr>
            </w:pPr>
          </w:p>
        </w:tc>
        <w:tc>
          <w:tcPr>
            <w:tcW w:w="9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color w:val="auto"/>
                <w:w w:val="90"/>
              </w:rPr>
              <w:t>(2,766,073)</w:t>
            </w: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872,958</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(816,372)</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(11,583)</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45,081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0"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Accumulated</w:t>
            </w:r>
          </w:p>
        </w:tc>
        <w:tc>
          <w:tcPr>
            <w:tcW w:w="140" w:type="dxa"/>
            <w:vAlign w:val="bottom"/>
          </w:tcPr>
          <w:p>
            <w:pPr>
              <w:spacing w:after="0"/>
              <w:rPr>
                <w:sz w:val="12"/>
                <w:szCs w:val="12"/>
                <w:color w:val="auto"/>
              </w:rPr>
            </w:pPr>
          </w:p>
        </w:tc>
        <w:tc>
          <w:tcPr>
            <w:tcW w:w="1040" w:type="dxa"/>
            <w:vAlign w:val="bottom"/>
            <w:vMerge w:val="restart"/>
          </w:tcPr>
          <w:p>
            <w:pPr>
              <w:jc w:val="center"/>
              <w:ind w:right="77"/>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820" w:type="dxa"/>
            <w:vAlign w:val="bottom"/>
            <w:gridSpan w:val="4"/>
            <w:vMerge w:val="restart"/>
          </w:tcPr>
          <w:p>
            <w:pPr>
              <w:jc w:val="right"/>
              <w:ind w:right="436"/>
              <w:spacing w:after="0"/>
              <w:rPr>
                <w:sz w:val="20"/>
                <w:szCs w:val="20"/>
                <w:color w:val="auto"/>
              </w:rPr>
            </w:pPr>
            <w:r>
              <w:rPr>
                <w:rFonts w:ascii="Arial" w:cs="Arial" w:eastAsia="Arial" w:hAnsi="Arial"/>
                <w:sz w:val="12"/>
                <w:szCs w:val="12"/>
                <w:b w:val="1"/>
                <w:bCs w:val="1"/>
                <w:color w:val="auto"/>
              </w:rPr>
              <w:t>Common Stock</w:t>
            </w:r>
          </w:p>
        </w:tc>
        <w:tc>
          <w:tcPr>
            <w:tcW w:w="80" w:type="dxa"/>
            <w:vAlign w:val="bottom"/>
            <w:vMerge w:val="restart"/>
          </w:tcPr>
          <w:p>
            <w:pPr>
              <w:spacing w:after="0"/>
              <w:rPr>
                <w:sz w:val="10"/>
                <w:szCs w:val="10"/>
                <w:color w:val="auto"/>
              </w:rPr>
            </w:pPr>
          </w:p>
        </w:tc>
        <w:tc>
          <w:tcPr>
            <w:tcW w:w="1820" w:type="dxa"/>
            <w:vAlign w:val="bottom"/>
            <w:gridSpan w:val="4"/>
            <w:vMerge w:val="restart"/>
          </w:tcPr>
          <w:p>
            <w:pPr>
              <w:ind w:left="520"/>
              <w:spacing w:after="0"/>
              <w:rPr>
                <w:sz w:val="20"/>
                <w:szCs w:val="20"/>
                <w:color w:val="auto"/>
              </w:rPr>
            </w:pPr>
            <w:r>
              <w:rPr>
                <w:rFonts w:ascii="Arial" w:cs="Arial" w:eastAsia="Arial" w:hAnsi="Arial"/>
                <w:sz w:val="12"/>
                <w:szCs w:val="12"/>
                <w:b w:val="1"/>
                <w:bCs w:val="1"/>
                <w:color w:val="auto"/>
              </w:rPr>
              <w:t>Treasury Stock</w:t>
            </w:r>
          </w:p>
        </w:tc>
        <w:tc>
          <w:tcPr>
            <w:tcW w:w="8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93"/>
              </w:rPr>
              <w:t>Other</w:t>
            </w:r>
          </w:p>
        </w:tc>
        <w:tc>
          <w:tcPr>
            <w:tcW w:w="1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80" w:type="dxa"/>
            <w:vAlign w:val="bottom"/>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20"/>
              <w:spacing w:after="0" w:line="107" w:lineRule="exact"/>
              <w:rPr>
                <w:sz w:val="20"/>
                <w:szCs w:val="20"/>
                <w:color w:val="auto"/>
              </w:rPr>
            </w:pPr>
            <w:r>
              <w:rPr>
                <w:rFonts w:ascii="Arial" w:cs="Arial" w:eastAsia="Arial" w:hAnsi="Arial"/>
                <w:sz w:val="12"/>
                <w:szCs w:val="12"/>
                <w:b w:val="1"/>
                <w:bCs w:val="1"/>
                <w:color w:val="auto"/>
                <w:w w:val="89"/>
              </w:rPr>
              <w:t>Paid-in</w:t>
            </w:r>
          </w:p>
        </w:tc>
        <w:tc>
          <w:tcPr>
            <w:tcW w:w="160" w:type="dxa"/>
            <w:vAlign w:val="bottom"/>
          </w:tcPr>
          <w:p>
            <w:pPr>
              <w:spacing w:after="0"/>
              <w:rPr>
                <w:sz w:val="10"/>
                <w:szCs w:val="10"/>
                <w:color w:val="auto"/>
              </w:rPr>
            </w:pPr>
          </w:p>
        </w:tc>
        <w:tc>
          <w:tcPr>
            <w:tcW w:w="1080" w:type="dxa"/>
            <w:vAlign w:val="bottom"/>
            <w:gridSpan w:val="2"/>
          </w:tcPr>
          <w:p>
            <w:pPr>
              <w:jc w:val="center"/>
              <w:ind w:right="240"/>
              <w:spacing w:after="0" w:line="107" w:lineRule="exact"/>
              <w:rPr>
                <w:sz w:val="20"/>
                <w:szCs w:val="20"/>
                <w:color w:val="auto"/>
              </w:rPr>
            </w:pPr>
            <w:r>
              <w:rPr>
                <w:rFonts w:ascii="Arial" w:cs="Arial" w:eastAsia="Arial" w:hAnsi="Arial"/>
                <w:sz w:val="12"/>
                <w:szCs w:val="12"/>
                <w:b w:val="1"/>
                <w:bCs w:val="1"/>
                <w:color w:val="auto"/>
                <w:w w:val="90"/>
              </w:rPr>
              <w:t>Accumulated</w:t>
            </w: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07" w:lineRule="exact"/>
              <w:rPr>
                <w:sz w:val="20"/>
                <w:szCs w:val="20"/>
                <w:color w:val="auto"/>
              </w:rPr>
            </w:pPr>
            <w:r>
              <w:rPr>
                <w:rFonts w:ascii="Arial" w:cs="Arial" w:eastAsia="Arial" w:hAnsi="Arial"/>
                <w:sz w:val="12"/>
                <w:szCs w:val="12"/>
                <w:b w:val="1"/>
                <w:bCs w:val="1"/>
                <w:color w:val="auto"/>
                <w:w w:val="88"/>
              </w:rPr>
              <w:t>Comprehensive</w:t>
            </w:r>
          </w:p>
        </w:tc>
        <w:tc>
          <w:tcPr>
            <w:tcW w:w="140" w:type="dxa"/>
            <w:vAlign w:val="bottom"/>
          </w:tcPr>
          <w:p>
            <w:pPr>
              <w:spacing w:after="0"/>
              <w:rPr>
                <w:sz w:val="10"/>
                <w:szCs w:val="10"/>
                <w:color w:val="auto"/>
              </w:rPr>
            </w:pPr>
          </w:p>
        </w:tc>
        <w:tc>
          <w:tcPr>
            <w:tcW w:w="1040" w:type="dxa"/>
            <w:vAlign w:val="bottom"/>
          </w:tcPr>
          <w:p>
            <w:pPr>
              <w:jc w:val="center"/>
              <w:ind w:right="117"/>
              <w:spacing w:after="0" w:line="107" w:lineRule="exact"/>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6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2"/>
              </w:rPr>
              <w:t>Deficit</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78"/>
              </w:rPr>
              <w:t>Loss</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77"/>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0" w:type="dxa"/>
            <w:vAlign w:val="bottom"/>
            <w:gridSpan w:val="8"/>
          </w:tcPr>
          <w:p>
            <w:pPr>
              <w:ind w:left="520"/>
              <w:spacing w:after="0"/>
              <w:rPr>
                <w:sz w:val="20"/>
                <w:szCs w:val="20"/>
                <w:color w:val="auto"/>
              </w:rPr>
            </w:pPr>
            <w:r>
              <w:rPr>
                <w:rFonts w:ascii="Arial" w:cs="Arial" w:eastAsia="Arial" w:hAnsi="Arial"/>
                <w:sz w:val="11"/>
                <w:szCs w:val="11"/>
                <w:color w:val="auto"/>
              </w:rPr>
              <w:t>(In thousands, except share data)</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December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74,980,546</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0"/>
              </w:rPr>
              <w:t>(2,746,243)</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871,788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(516,859)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349,437</w:t>
            </w: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line="131" w:lineRule="exact"/>
              <w:rPr>
                <w:sz w:val="20"/>
                <w:szCs w:val="20"/>
                <w:color w:val="auto"/>
              </w:rPr>
            </w:pPr>
            <w:r>
              <w:rPr>
                <w:rFonts w:ascii="Arial" w:cs="Arial" w:eastAsia="Arial" w:hAnsi="Arial"/>
                <w:sz w:val="13"/>
                <w:szCs w:val="13"/>
                <w:color w:val="auto"/>
                <w:w w:val="91"/>
              </w:rPr>
              <w:t>Cumulative adjustment due to adoption of ASU</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(209,651)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50,244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(159,407)</w:t>
            </w:r>
          </w:p>
        </w:tc>
        <w:tc>
          <w:tcPr>
            <w:tcW w:w="0" w:type="dxa"/>
            <w:vAlign w:val="bottom"/>
          </w:tcPr>
          <w:p>
            <w:pPr>
              <w:spacing w:after="0"/>
              <w:rPr>
                <w:sz w:val="1"/>
                <w:szCs w:val="1"/>
                <w:color w:val="auto"/>
              </w:rPr>
            </w:pPr>
          </w:p>
        </w:tc>
      </w:tr>
      <w:tr>
        <w:trPr>
          <w:trHeight w:val="164"/>
        </w:trPr>
        <w:tc>
          <w:tcPr>
            <w:tcW w:w="2580" w:type="dxa"/>
            <w:vAlign w:val="bottom"/>
          </w:tcPr>
          <w:p>
            <w:pPr>
              <w:ind w:left="80"/>
              <w:spacing w:after="0"/>
              <w:rPr>
                <w:sz w:val="20"/>
                <w:szCs w:val="20"/>
                <w:color w:val="auto"/>
              </w:rPr>
            </w:pPr>
            <w:r>
              <w:rPr>
                <w:rFonts w:ascii="Arial" w:cs="Arial" w:eastAsia="Arial" w:hAnsi="Arial"/>
                <w:sz w:val="13"/>
                <w:szCs w:val="13"/>
                <w:color w:val="auto"/>
              </w:rPr>
              <w:t>2020-06</w:t>
            </w: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5"/>
              </w:rPr>
              <w:t>Common stock issued upon exercise of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40,483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options</w:t>
            </w: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ind w:left="80"/>
              <w:spacing w:after="0"/>
              <w:rPr>
                <w:sz w:val="20"/>
                <w:szCs w:val="20"/>
                <w:color w:val="auto"/>
              </w:rPr>
            </w:pPr>
            <w:r>
              <w:rPr>
                <w:rFonts w:ascii="Arial" w:cs="Arial" w:eastAsia="Arial" w:hAnsi="Arial"/>
                <w:sz w:val="13"/>
                <w:szCs w:val="13"/>
                <w:color w:val="auto"/>
                <w:w w:val="96"/>
              </w:rPr>
              <w:t>Common stock issued upon vesting of RSUs</w:t>
            </w:r>
          </w:p>
        </w:tc>
        <w:tc>
          <w:tcPr>
            <w:tcW w:w="1000" w:type="dxa"/>
            <w:vAlign w:val="bottom"/>
          </w:tcPr>
          <w:p>
            <w:pPr>
              <w:jc w:val="right"/>
              <w:spacing w:after="0"/>
              <w:rPr>
                <w:sz w:val="20"/>
                <w:szCs w:val="20"/>
                <w:color w:val="auto"/>
              </w:rPr>
            </w:pPr>
            <w:r>
              <w:rPr>
                <w:rFonts w:ascii="Arial" w:cs="Arial" w:eastAsia="Arial" w:hAnsi="Arial"/>
                <w:sz w:val="13"/>
                <w:szCs w:val="13"/>
                <w:color w:val="auto"/>
              </w:rPr>
              <w:t>444,043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20,522</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20,522</w:t>
            </w: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line="131" w:lineRule="exact"/>
              <w:rPr>
                <w:sz w:val="20"/>
                <w:szCs w:val="20"/>
                <w:color w:val="auto"/>
              </w:rPr>
            </w:pPr>
            <w:r>
              <w:rPr>
                <w:rFonts w:ascii="Arial" w:cs="Arial" w:eastAsia="Arial" w:hAnsi="Arial"/>
                <w:sz w:val="13"/>
                <w:szCs w:val="13"/>
                <w:color w:val="auto"/>
                <w:w w:val="88"/>
              </w:rPr>
              <w:t>Cash awards settled in shares of the Company’s</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735,519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60" w:type="dxa"/>
            <w:vAlign w:val="bottom"/>
            <w:gridSpan w:val="2"/>
            <w:vMerge w:val="restart"/>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17,298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17,299</w:t>
            </w:r>
          </w:p>
        </w:tc>
        <w:tc>
          <w:tcPr>
            <w:tcW w:w="0" w:type="dxa"/>
            <w:vAlign w:val="bottom"/>
          </w:tcPr>
          <w:p>
            <w:pPr>
              <w:spacing w:after="0"/>
              <w:rPr>
                <w:sz w:val="1"/>
                <w:szCs w:val="1"/>
                <w:color w:val="auto"/>
              </w:rPr>
            </w:pPr>
          </w:p>
        </w:tc>
      </w:tr>
      <w:tr>
        <w:trPr>
          <w:trHeight w:val="164"/>
        </w:trPr>
        <w:tc>
          <w:tcPr>
            <w:tcW w:w="2580" w:type="dxa"/>
            <w:vAlign w:val="bottom"/>
          </w:tcPr>
          <w:p>
            <w:pPr>
              <w:ind w:left="80"/>
              <w:spacing w:after="0"/>
              <w:rPr>
                <w:sz w:val="20"/>
                <w:szCs w:val="20"/>
                <w:color w:val="auto"/>
              </w:rPr>
            </w:pPr>
            <w:r>
              <w:rPr>
                <w:rFonts w:ascii="Arial" w:cs="Arial" w:eastAsia="Arial" w:hAnsi="Arial"/>
                <w:sz w:val="13"/>
                <w:szCs w:val="13"/>
                <w:color w:val="auto"/>
              </w:rPr>
              <w:t>common stock</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5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4"/>
              </w:rPr>
              <w:t>Common stock issued under Employee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82,100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 Plan</w:t>
            </w: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line="131" w:lineRule="exact"/>
              <w:rPr>
                <w:sz w:val="20"/>
                <w:szCs w:val="20"/>
                <w:color w:val="auto"/>
              </w:rPr>
            </w:pPr>
            <w:r>
              <w:rPr>
                <w:rFonts w:ascii="Arial" w:cs="Arial" w:eastAsia="Arial" w:hAnsi="Arial"/>
                <w:sz w:val="13"/>
                <w:szCs w:val="13"/>
                <w:color w:val="auto"/>
                <w:w w:val="95"/>
              </w:rPr>
              <w:t>Issuance of common stock in connection with</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779,946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060" w:type="dxa"/>
            <w:vAlign w:val="bottom"/>
            <w:gridSpan w:val="2"/>
            <w:vMerge w:val="restart"/>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17,636</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17,637</w:t>
            </w:r>
          </w:p>
        </w:tc>
        <w:tc>
          <w:tcPr>
            <w:tcW w:w="0" w:type="dxa"/>
            <w:vAlign w:val="bottom"/>
          </w:tcPr>
          <w:p>
            <w:pPr>
              <w:spacing w:after="0"/>
              <w:rPr>
                <w:sz w:val="1"/>
                <w:szCs w:val="1"/>
                <w:color w:val="auto"/>
              </w:rPr>
            </w:pPr>
          </w:p>
        </w:tc>
      </w:tr>
      <w:tr>
        <w:trPr>
          <w:trHeight w:val="164"/>
        </w:trPr>
        <w:tc>
          <w:tcPr>
            <w:tcW w:w="2580" w:type="dxa"/>
            <w:vAlign w:val="bottom"/>
          </w:tcPr>
          <w:p>
            <w:pPr>
              <w:ind w:left="80"/>
              <w:spacing w:after="0"/>
              <w:rPr>
                <w:sz w:val="20"/>
                <w:szCs w:val="20"/>
                <w:color w:val="auto"/>
              </w:rPr>
            </w:pPr>
            <w:r>
              <w:rPr>
                <w:rFonts w:ascii="Arial" w:cs="Arial" w:eastAsia="Arial" w:hAnsi="Arial"/>
                <w:sz w:val="13"/>
                <w:szCs w:val="13"/>
                <w:color w:val="auto"/>
              </w:rPr>
              <w:t>acquisitions</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(65,364)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(65,364)</w:t>
            </w:r>
          </w:p>
        </w:tc>
        <w:tc>
          <w:tcPr>
            <w:tcW w:w="0" w:type="dxa"/>
            <w:vAlign w:val="bottom"/>
          </w:tcPr>
          <w:p>
            <w:pPr>
              <w:spacing w:after="0"/>
              <w:rPr>
                <w:sz w:val="1"/>
                <w:szCs w:val="1"/>
                <w:color w:val="auto"/>
              </w:rPr>
            </w:pPr>
          </w:p>
        </w:tc>
      </w:tr>
      <w:tr>
        <w:trPr>
          <w:trHeight w:val="168"/>
        </w:trPr>
        <w:tc>
          <w:tcPr>
            <w:tcW w:w="2580" w:type="dxa"/>
            <w:vAlign w:val="bottom"/>
          </w:tcPr>
          <w:p>
            <w:pPr>
              <w:ind w:left="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(1,699)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(1,699)</w:t>
            </w:r>
          </w:p>
        </w:tc>
        <w:tc>
          <w:tcPr>
            <w:tcW w:w="0" w:type="dxa"/>
            <w:vAlign w:val="bottom"/>
          </w:tcPr>
          <w:p>
            <w:pPr>
              <w:spacing w:after="0"/>
              <w:rPr>
                <w:sz w:val="1"/>
                <w:szCs w:val="1"/>
                <w:color w:val="auto"/>
              </w:rPr>
            </w:pPr>
          </w:p>
        </w:tc>
      </w:tr>
      <w:tr>
        <w:trPr>
          <w:trHeight w:val="163"/>
        </w:trPr>
        <w:tc>
          <w:tcPr>
            <w:tcW w:w="2580" w:type="dxa"/>
            <w:vAlign w:val="bottom"/>
            <w:tcBorders>
              <w:top w:val="single" w:sz="8" w:color="CCEEFF"/>
            </w:tcBorders>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Balance as of March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77,062,637</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90"/>
              </w:rPr>
              <w:t>(2,746,243)</w:t>
            </w:r>
          </w:p>
        </w:tc>
        <w:tc>
          <w:tcPr>
            <w:tcW w:w="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719,514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(531,979)</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(7,263)</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180,346</w:t>
            </w: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line="131" w:lineRule="exact"/>
              <w:rPr>
                <w:sz w:val="20"/>
                <w:szCs w:val="20"/>
                <w:color w:val="auto"/>
              </w:rPr>
            </w:pPr>
            <w:r>
              <w:rPr>
                <w:rFonts w:ascii="Arial" w:cs="Arial" w:eastAsia="Arial" w:hAnsi="Arial"/>
                <w:sz w:val="13"/>
                <w:szCs w:val="13"/>
                <w:color w:val="auto"/>
                <w:w w:val="95"/>
              </w:rPr>
              <w:t>Common stock issued upon exercise of stock</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25,295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389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389</w:t>
            </w:r>
          </w:p>
        </w:tc>
        <w:tc>
          <w:tcPr>
            <w:tcW w:w="0" w:type="dxa"/>
            <w:vAlign w:val="bottom"/>
          </w:tcPr>
          <w:p>
            <w:pPr>
              <w:spacing w:after="0"/>
              <w:rPr>
                <w:sz w:val="1"/>
                <w:szCs w:val="1"/>
                <w:color w:val="auto"/>
              </w:rPr>
            </w:pPr>
          </w:p>
        </w:tc>
      </w:tr>
      <w:tr>
        <w:trPr>
          <w:trHeight w:val="164"/>
        </w:trPr>
        <w:tc>
          <w:tcPr>
            <w:tcW w:w="2580" w:type="dxa"/>
            <w:vAlign w:val="bottom"/>
          </w:tcPr>
          <w:p>
            <w:pPr>
              <w:ind w:left="80"/>
              <w:spacing w:after="0"/>
              <w:rPr>
                <w:sz w:val="20"/>
                <w:szCs w:val="20"/>
                <w:color w:val="auto"/>
              </w:rPr>
            </w:pPr>
            <w:r>
              <w:rPr>
                <w:rFonts w:ascii="Arial" w:cs="Arial" w:eastAsia="Arial" w:hAnsi="Arial"/>
                <w:sz w:val="13"/>
                <w:szCs w:val="13"/>
                <w:color w:val="auto"/>
              </w:rPr>
              <w:t>options</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w w:val="96"/>
              </w:rPr>
              <w:t>Common stock issued upon vesting of RSUs</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372,500</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2580" w:type="dxa"/>
            <w:vAlign w:val="bottom"/>
          </w:tcPr>
          <w:p>
            <w:pPr>
              <w:ind w:left="8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18,826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18,826</w:t>
            </w:r>
          </w:p>
        </w:tc>
        <w:tc>
          <w:tcPr>
            <w:tcW w:w="0" w:type="dxa"/>
            <w:vAlign w:val="bottom"/>
          </w:tcPr>
          <w:p>
            <w:pPr>
              <w:spacing w:after="0"/>
              <w:rPr>
                <w:sz w:val="1"/>
                <w:szCs w:val="1"/>
                <w:color w:val="auto"/>
              </w:rPr>
            </w:pPr>
          </w:p>
        </w:tc>
      </w:tr>
      <w:tr>
        <w:trPr>
          <w:trHeight w:val="133"/>
        </w:trPr>
        <w:tc>
          <w:tcPr>
            <w:tcW w:w="25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4"/>
              </w:rPr>
              <w:t>Common stock issued under Employee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99,495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Purchase Plan</w:t>
            </w: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ind w:left="80"/>
              <w:spacing w:after="0"/>
              <w:rPr>
                <w:sz w:val="20"/>
                <w:szCs w:val="20"/>
                <w:color w:val="auto"/>
              </w:rPr>
            </w:pPr>
            <w:r>
              <w:rPr>
                <w:rFonts w:ascii="Arial" w:cs="Arial" w:eastAsia="Arial" w:hAnsi="Arial"/>
                <w:sz w:val="13"/>
                <w:szCs w:val="13"/>
                <w:color w:val="auto"/>
              </w:rPr>
              <w:t>Net loss</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(75,411)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(75,411)</w:t>
            </w: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(4,799)</w:t>
            </w:r>
          </w:p>
        </w:tc>
        <w:tc>
          <w:tcPr>
            <w:tcW w:w="0" w:type="dxa"/>
            <w:vAlign w:val="bottom"/>
          </w:tcPr>
          <w:p>
            <w:pPr>
              <w:spacing w:after="0"/>
              <w:rPr>
                <w:sz w:val="1"/>
                <w:szCs w:val="1"/>
                <w:color w:val="auto"/>
              </w:rPr>
            </w:pPr>
          </w:p>
        </w:tc>
      </w:tr>
      <w:tr>
        <w:trPr>
          <w:trHeight w:val="158"/>
        </w:trPr>
        <w:tc>
          <w:tcPr>
            <w:tcW w:w="2580" w:type="dxa"/>
            <w:vAlign w:val="bottom"/>
          </w:tcPr>
          <w:p>
            <w:pPr>
              <w:spacing w:after="0" w:line="146" w:lineRule="exact"/>
              <w:rPr>
                <w:sz w:val="20"/>
                <w:szCs w:val="20"/>
                <w:color w:val="auto"/>
              </w:rPr>
            </w:pPr>
            <w:r>
              <w:rPr>
                <w:rFonts w:ascii="Arial" w:cs="Arial" w:eastAsia="Arial" w:hAnsi="Arial"/>
                <w:sz w:val="13"/>
                <w:szCs w:val="13"/>
                <w:b w:val="1"/>
                <w:bCs w:val="1"/>
                <w:color w:val="auto"/>
              </w:rPr>
              <w:t>Balance as of June 30, 2022</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77,559,927</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80" w:type="dxa"/>
            <w:vAlign w:val="bottom"/>
          </w:tcPr>
          <w:p>
            <w:pPr>
              <w:spacing w:after="0"/>
              <w:rPr>
                <w:sz w:val="13"/>
                <w:szCs w:val="13"/>
                <w:color w:val="auto"/>
              </w:rPr>
            </w:pPr>
          </w:p>
        </w:tc>
        <w:tc>
          <w:tcPr>
            <w:tcW w:w="1000" w:type="dxa"/>
            <w:vAlign w:val="bottom"/>
            <w:tcBorders>
              <w:top w:val="single" w:sz="8" w:color="auto"/>
            </w:tcBorders>
          </w:tcPr>
          <w:p>
            <w:pPr>
              <w:ind w:left="380"/>
              <w:spacing w:after="0"/>
              <w:rPr>
                <w:sz w:val="20"/>
                <w:szCs w:val="20"/>
                <w:color w:val="auto"/>
              </w:rPr>
            </w:pPr>
            <w:r>
              <w:rPr>
                <w:rFonts w:ascii="Arial" w:cs="Arial" w:eastAsia="Arial" w:hAnsi="Arial"/>
                <w:sz w:val="13"/>
                <w:szCs w:val="13"/>
                <w:color w:val="auto"/>
                <w:w w:val="90"/>
              </w:rPr>
              <w:t>(2,746,243)</w:t>
            </w: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740,132</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(607,390)</w:t>
            </w:r>
          </w:p>
        </w:tc>
        <w:tc>
          <w:tcPr>
            <w:tcW w:w="80" w:type="dxa"/>
            <w:vAlign w:val="bottom"/>
          </w:tcPr>
          <w:p>
            <w:pPr>
              <w:spacing w:after="0"/>
              <w:rPr>
                <w:sz w:val="13"/>
                <w:szCs w:val="13"/>
                <w:color w:val="auto"/>
              </w:rPr>
            </w:pPr>
          </w:p>
        </w:tc>
        <w:tc>
          <w:tcPr>
            <w:tcW w:w="160" w:type="dxa"/>
            <w:vAlign w:val="bottom"/>
            <w:tcBorders>
              <w:top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(12,062)</w:t>
            </w:r>
          </w:p>
        </w:tc>
        <w:tc>
          <w:tcPr>
            <w:tcW w:w="8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120,755</w:t>
            </w:r>
          </w:p>
        </w:tc>
        <w:tc>
          <w:tcPr>
            <w:tcW w:w="0" w:type="dxa"/>
            <w:vAlign w:val="bottom"/>
          </w:tcPr>
          <w:p>
            <w:pPr>
              <w:spacing w:after="0"/>
              <w:rPr>
                <w:sz w:val="1"/>
                <w:szCs w:val="1"/>
                <w:color w:val="auto"/>
              </w:rPr>
            </w:pPr>
          </w:p>
        </w:tc>
      </w:tr>
      <w:tr>
        <w:trPr>
          <w:trHeight w:val="133"/>
        </w:trPr>
        <w:tc>
          <w:tcPr>
            <w:tcW w:w="258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w w:val="95"/>
              </w:rPr>
              <w:t>Common stock issued upon exercise of stock</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134,423</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260" w:type="dxa"/>
            <w:vAlign w:val="bottom"/>
            <w:gridSpan w:val="2"/>
            <w:vMerge w:val="restart"/>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166"/>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options</w:t>
            </w: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ind w:left="80"/>
              <w:spacing w:after="0"/>
              <w:rPr>
                <w:sz w:val="20"/>
                <w:szCs w:val="20"/>
                <w:color w:val="auto"/>
              </w:rPr>
            </w:pPr>
            <w:r>
              <w:rPr>
                <w:rFonts w:ascii="Arial" w:cs="Arial" w:eastAsia="Arial" w:hAnsi="Arial"/>
                <w:sz w:val="13"/>
                <w:szCs w:val="13"/>
                <w:color w:val="auto"/>
                <w:w w:val="96"/>
              </w:rPr>
              <w:t>Common stock issued upon vesting of RSUs</w:t>
            </w:r>
          </w:p>
        </w:tc>
        <w:tc>
          <w:tcPr>
            <w:tcW w:w="1000" w:type="dxa"/>
            <w:vAlign w:val="bottom"/>
          </w:tcPr>
          <w:p>
            <w:pPr>
              <w:jc w:val="right"/>
              <w:spacing w:after="0"/>
              <w:rPr>
                <w:sz w:val="20"/>
                <w:szCs w:val="20"/>
                <w:color w:val="auto"/>
              </w:rPr>
            </w:pPr>
            <w:r>
              <w:rPr>
                <w:rFonts w:ascii="Arial" w:cs="Arial" w:eastAsia="Arial" w:hAnsi="Arial"/>
                <w:sz w:val="13"/>
                <w:szCs w:val="13"/>
                <w:color w:val="auto"/>
              </w:rPr>
              <w:t>161,272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60" w:type="dxa"/>
            <w:vAlign w:val="bottom"/>
            <w:gridSpan w:val="2"/>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15,843</w:t>
            </w:r>
          </w:p>
        </w:tc>
        <w:tc>
          <w:tcPr>
            <w:tcW w:w="0" w:type="dxa"/>
            <w:vAlign w:val="bottom"/>
          </w:tcPr>
          <w:p>
            <w:pPr>
              <w:spacing w:after="0"/>
              <w:rPr>
                <w:sz w:val="1"/>
                <w:szCs w:val="1"/>
                <w:color w:val="auto"/>
              </w:rPr>
            </w:pPr>
          </w:p>
        </w:tc>
      </w:tr>
      <w:tr>
        <w:trPr>
          <w:trHeight w:val="131"/>
        </w:trPr>
        <w:tc>
          <w:tcPr>
            <w:tcW w:w="2580" w:type="dxa"/>
            <w:vAlign w:val="bottom"/>
          </w:tcPr>
          <w:p>
            <w:pPr>
              <w:ind w:left="80"/>
              <w:spacing w:after="0" w:line="131" w:lineRule="exact"/>
              <w:rPr>
                <w:sz w:val="20"/>
                <w:szCs w:val="20"/>
                <w:color w:val="auto"/>
              </w:rPr>
            </w:pPr>
            <w:r>
              <w:rPr>
                <w:rFonts w:ascii="Arial" w:cs="Arial" w:eastAsia="Arial" w:hAnsi="Arial"/>
                <w:sz w:val="13"/>
                <w:szCs w:val="13"/>
                <w:color w:val="auto"/>
                <w:w w:val="94"/>
              </w:rPr>
              <w:t>Common stock issued under Employee Stock</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78,818</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844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gridSpan w:val="2"/>
            <w:vMerge w:val="restart"/>
          </w:tcPr>
          <w:p>
            <w:pPr>
              <w:ind w:left="10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844</w:t>
            </w:r>
          </w:p>
        </w:tc>
        <w:tc>
          <w:tcPr>
            <w:tcW w:w="0" w:type="dxa"/>
            <w:vAlign w:val="bottom"/>
          </w:tcPr>
          <w:p>
            <w:pPr>
              <w:spacing w:after="0"/>
              <w:rPr>
                <w:sz w:val="1"/>
                <w:szCs w:val="1"/>
                <w:color w:val="auto"/>
              </w:rPr>
            </w:pPr>
          </w:p>
        </w:tc>
      </w:tr>
      <w:tr>
        <w:trPr>
          <w:trHeight w:val="164"/>
        </w:trPr>
        <w:tc>
          <w:tcPr>
            <w:tcW w:w="2580" w:type="dxa"/>
            <w:vAlign w:val="bottom"/>
          </w:tcPr>
          <w:p>
            <w:pPr>
              <w:ind w:left="80"/>
              <w:spacing w:after="0"/>
              <w:rPr>
                <w:sz w:val="20"/>
                <w:szCs w:val="20"/>
                <w:color w:val="auto"/>
              </w:rPr>
            </w:pPr>
            <w:r>
              <w:rPr>
                <w:rFonts w:ascii="Arial" w:cs="Arial" w:eastAsia="Arial" w:hAnsi="Arial"/>
                <w:sz w:val="13"/>
                <w:szCs w:val="13"/>
                <w:color w:val="auto"/>
              </w:rPr>
              <w:t>Purchase Plan</w:t>
            </w: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loss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(43,248)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ind w:left="10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(43,248)</w:t>
            </w:r>
          </w:p>
        </w:tc>
        <w:tc>
          <w:tcPr>
            <w:tcW w:w="0" w:type="dxa"/>
            <w:vAlign w:val="bottom"/>
          </w:tcPr>
          <w:p>
            <w:pPr>
              <w:spacing w:after="0"/>
              <w:rPr>
                <w:sz w:val="1"/>
                <w:szCs w:val="1"/>
                <w:color w:val="auto"/>
              </w:rPr>
            </w:pPr>
          </w:p>
        </w:tc>
      </w:tr>
      <w:tr>
        <w:trPr>
          <w:trHeight w:val="168"/>
        </w:trPr>
        <w:tc>
          <w:tcPr>
            <w:tcW w:w="2580" w:type="dxa"/>
            <w:vAlign w:val="bottom"/>
          </w:tcPr>
          <w:p>
            <w:pPr>
              <w:ind w:left="80"/>
              <w:spacing w:after="0"/>
              <w:rPr>
                <w:sz w:val="20"/>
                <w:szCs w:val="20"/>
                <w:color w:val="auto"/>
              </w:rPr>
            </w:pPr>
            <w:r>
              <w:rPr>
                <w:rFonts w:ascii="Arial" w:cs="Arial" w:eastAsia="Arial" w:hAnsi="Arial"/>
                <w:sz w:val="13"/>
                <w:szCs w:val="13"/>
                <w:color w:val="auto"/>
              </w:rPr>
              <w:t>Other comprehensive loss</w:t>
            </w: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(5,026)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(5,026)</w:t>
            </w:r>
          </w:p>
        </w:tc>
        <w:tc>
          <w:tcPr>
            <w:tcW w:w="0" w:type="dxa"/>
            <w:vAlign w:val="bottom"/>
          </w:tcPr>
          <w:p>
            <w:pPr>
              <w:spacing w:after="0"/>
              <w:rPr>
                <w:sz w:val="1"/>
                <w:szCs w:val="1"/>
                <w:color w:val="auto"/>
              </w:rPr>
            </w:pPr>
          </w:p>
        </w:tc>
      </w:tr>
      <w:tr>
        <w:trPr>
          <w:trHeight w:val="185"/>
        </w:trPr>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77,934,440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3"/>
                <w:szCs w:val="13"/>
                <w:color w:val="auto"/>
                <w:w w:val="90"/>
              </w:rPr>
              <w:t>(2,746,243)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w w:val="87"/>
              </w:rPr>
              <w:t>(3)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757,162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(650,638)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(17,088)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89,511</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LIVEPERSON,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4"/>
          </w:tcPr>
          <w:p>
            <w:pPr>
              <w:jc w:val="right"/>
              <w:ind w:right="336"/>
              <w:spacing w:after="0"/>
              <w:rPr>
                <w:sz w:val="20"/>
                <w:szCs w:val="20"/>
                <w:color w:val="auto"/>
              </w:rPr>
            </w:pPr>
            <w:r>
              <w:rPr>
                <w:rFonts w:ascii="Arial" w:cs="Arial" w:eastAsia="Arial" w:hAnsi="Arial"/>
                <w:sz w:val="12"/>
                <w:szCs w:val="12"/>
                <w:b w:val="1"/>
                <w:bCs w:val="1"/>
                <w:color w:val="auto"/>
                <w:w w:val="98"/>
              </w:rPr>
              <w:t>Nine Months Ended September 30,</w:t>
            </w:r>
          </w:p>
        </w:tc>
      </w:tr>
      <w:tr>
        <w:trPr>
          <w:trHeight w:val="159"/>
        </w:trPr>
        <w:tc>
          <w:tcPr>
            <w:tcW w:w="78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r>
      <w:tr>
        <w:trPr>
          <w:trHeight w:val="192"/>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3"/>
          </w:tcPr>
          <w:p>
            <w:pPr>
              <w:jc w:val="right"/>
              <w:ind w:right="36"/>
              <w:spacing w:after="0"/>
              <w:rPr>
                <w:sz w:val="20"/>
                <w:szCs w:val="20"/>
                <w:color w:val="auto"/>
              </w:rPr>
            </w:pPr>
            <w:r>
              <w:rPr>
                <w:rFonts w:ascii="Arial" w:cs="Arial" w:eastAsia="Arial" w:hAnsi="Arial"/>
                <w:sz w:val="13"/>
                <w:szCs w:val="13"/>
                <w:color w:val="auto"/>
              </w:rPr>
              <w:t>(In thousands)</w:t>
            </w:r>
          </w:p>
        </w:tc>
        <w:tc>
          <w:tcPr>
            <w:tcW w:w="840" w:type="dxa"/>
            <w:vAlign w:val="bottom"/>
          </w:tcPr>
          <w:p>
            <w:pPr>
              <w:spacing w:after="0"/>
              <w:rPr>
                <w:sz w:val="16"/>
                <w:szCs w:val="16"/>
                <w:color w:val="auto"/>
              </w:rPr>
            </w:pPr>
          </w:p>
        </w:tc>
      </w:tr>
      <w:tr>
        <w:trPr>
          <w:trHeight w:val="172"/>
        </w:trPr>
        <w:tc>
          <w:tcPr>
            <w:tcW w:w="7840" w:type="dxa"/>
            <w:vAlign w:val="bottom"/>
          </w:tcPr>
          <w:p>
            <w:pPr>
              <w:ind w:left="20"/>
              <w:spacing w:after="0"/>
              <w:rPr>
                <w:sz w:val="20"/>
                <w:szCs w:val="20"/>
                <w:color w:val="auto"/>
              </w:rPr>
            </w:pPr>
            <w:r>
              <w:rPr>
                <w:rFonts w:ascii="Arial" w:cs="Arial" w:eastAsia="Arial" w:hAnsi="Arial"/>
                <w:sz w:val="13"/>
                <w:szCs w:val="13"/>
                <w:color w:val="auto"/>
              </w:rPr>
              <w:t>OPERATING ACTIVITIES: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(59,910)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(184,023)</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Stock-based compensation expense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100,323</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Depreciation</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24,852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21,414</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Amortization of purchased intangible assets and finance leases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16,369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16,530</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Amortization of debt issuance costs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3,384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2,831</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Impairment of goodwill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11,895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Impairment of intangible assets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2,959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Change in fair value of contingent consideration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(8,568)</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Gain on repurchase of convertible notes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(7,200)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Allowance for credit losses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4,669</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Gain on divestiture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(17,591)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income taxes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770</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Equity loss in joint venture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2,264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Changes in operating assets and liabilities, net of acquisitions: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7840" w:type="dxa"/>
            <w:vAlign w:val="bottom"/>
          </w:tcPr>
          <w:p>
            <w:pPr>
              <w:ind w:left="380"/>
              <w:spacing w:after="0"/>
              <w:rPr>
                <w:sz w:val="20"/>
                <w:szCs w:val="20"/>
                <w:color w:val="auto"/>
              </w:rPr>
            </w:pPr>
            <w:r>
              <w:rPr>
                <w:rFonts w:ascii="Arial" w:cs="Arial" w:eastAsia="Arial" w:hAnsi="Arial"/>
                <w:sz w:val="13"/>
                <w:szCs w:val="13"/>
                <w:color w:val="auto"/>
              </w:rPr>
              <w:t>Accounts receivable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(16,390)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(13,856)</w:t>
            </w:r>
          </w:p>
        </w:tc>
      </w:tr>
      <w:tr>
        <w:trPr>
          <w:trHeight w:val="172"/>
        </w:trPr>
        <w:tc>
          <w:tcPr>
            <w:tcW w:w="78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(18,028)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(13,519)</w:t>
            </w:r>
          </w:p>
        </w:tc>
      </w:tr>
      <w:tr>
        <w:trPr>
          <w:trHeight w:val="168"/>
        </w:trPr>
        <w:tc>
          <w:tcPr>
            <w:tcW w:w="7840" w:type="dxa"/>
            <w:vAlign w:val="bottom"/>
          </w:tcPr>
          <w:p>
            <w:pPr>
              <w:ind w:left="360"/>
              <w:spacing w:after="0"/>
              <w:rPr>
                <w:sz w:val="20"/>
                <w:szCs w:val="20"/>
                <w:color w:val="auto"/>
              </w:rPr>
            </w:pPr>
            <w:r>
              <w:rPr>
                <w:rFonts w:ascii="Arial" w:cs="Arial" w:eastAsia="Arial" w:hAnsi="Arial"/>
                <w:sz w:val="13"/>
                <w:szCs w:val="13"/>
                <w:color w:val="auto"/>
              </w:rPr>
              <w:t>Contract acquisition costs non-current</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6,189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(2,842)</w:t>
            </w:r>
          </w:p>
        </w:tc>
      </w:tr>
      <w:tr>
        <w:trPr>
          <w:trHeight w:val="172"/>
        </w:trPr>
        <w:tc>
          <w:tcPr>
            <w:tcW w:w="78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Other assets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r>
      <w:tr>
        <w:trPr>
          <w:trHeight w:val="168"/>
        </w:trPr>
        <w:tc>
          <w:tcPr>
            <w:tcW w:w="7840" w:type="dxa"/>
            <w:vAlign w:val="bottom"/>
          </w:tcPr>
          <w:p>
            <w:pPr>
              <w:ind w:left="360"/>
              <w:spacing w:after="0"/>
              <w:rPr>
                <w:sz w:val="20"/>
                <w:szCs w:val="20"/>
                <w:color w:val="auto"/>
              </w:rPr>
            </w:pPr>
            <w:r>
              <w:rPr>
                <w:rFonts w:ascii="Arial" w:cs="Arial" w:eastAsia="Arial" w:hAnsi="Arial"/>
                <w:sz w:val="13"/>
                <w:szCs w:val="13"/>
                <w:color w:val="auto"/>
              </w:rPr>
              <w:t>Accounts payable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(13,420)</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(4,229)</w:t>
            </w:r>
          </w:p>
        </w:tc>
      </w:tr>
      <w:tr>
        <w:trPr>
          <w:trHeight w:val="172"/>
        </w:trPr>
        <w:tc>
          <w:tcPr>
            <w:tcW w:w="78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expenses and other current liabilities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(12,234)</w:t>
            </w:r>
          </w:p>
        </w:tc>
      </w:tr>
      <w:tr>
        <w:trPr>
          <w:trHeight w:val="168"/>
        </w:trPr>
        <w:tc>
          <w:tcPr>
            <w:tcW w:w="7840" w:type="dxa"/>
            <w:vAlign w:val="bottom"/>
          </w:tcPr>
          <w:p>
            <w:pPr>
              <w:ind w:left="360"/>
              <w:spacing w:after="0"/>
              <w:rPr>
                <w:sz w:val="20"/>
                <w:szCs w:val="20"/>
                <w:color w:val="auto"/>
              </w:rPr>
            </w:pPr>
            <w:r>
              <w:rPr>
                <w:rFonts w:ascii="Arial" w:cs="Arial" w:eastAsia="Arial" w:hAnsi="Arial"/>
                <w:sz w:val="13"/>
                <w:szCs w:val="13"/>
                <w:color w:val="auto"/>
              </w:rPr>
              <w:t>Deferred revenue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12,691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7,450</w:t>
            </w:r>
          </w:p>
        </w:tc>
      </w:tr>
      <w:tr>
        <w:trPr>
          <w:trHeight w:val="172"/>
        </w:trPr>
        <w:tc>
          <w:tcPr>
            <w:tcW w:w="78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Operating lease assets and liabilities, net</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(2,148)</w:t>
            </w:r>
          </w:p>
        </w:tc>
      </w:tr>
      <w:tr>
        <w:trPr>
          <w:trHeight w:val="168"/>
        </w:trPr>
        <w:tc>
          <w:tcPr>
            <w:tcW w:w="78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liabilities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(7,797)</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8,084</w:t>
            </w:r>
          </w:p>
        </w:tc>
      </w:tr>
      <w:tr>
        <w:trPr>
          <w:trHeight w:val="163"/>
        </w:trPr>
        <w:tc>
          <w:tcPr>
            <w:tcW w:w="7840" w:type="dxa"/>
            <w:vAlign w:val="bottom"/>
            <w:shd w:val="clear" w:color="auto" w:fill="CCEEFF"/>
          </w:tcPr>
          <w:p>
            <w:pPr>
              <w:ind w:left="780"/>
              <w:spacing w:after="0"/>
              <w:rPr>
                <w:sz w:val="20"/>
                <w:szCs w:val="20"/>
                <w:color w:val="auto"/>
              </w:rPr>
            </w:pPr>
            <w:r>
              <w:rPr>
                <w:rFonts w:ascii="Arial" w:cs="Arial" w:eastAsia="Arial" w:hAnsi="Arial"/>
                <w:sz w:val="13"/>
                <w:szCs w:val="13"/>
                <w:b w:val="1"/>
                <w:bCs w:val="1"/>
                <w:color w:val="auto"/>
              </w:rPr>
              <w:t>Net cash used in operating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(24,302)</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(79,471)</w:t>
            </w:r>
          </w:p>
        </w:tc>
      </w:tr>
      <w:tr>
        <w:trPr>
          <w:trHeight w:val="148"/>
        </w:trPr>
        <w:tc>
          <w:tcPr>
            <w:tcW w:w="7840" w:type="dxa"/>
            <w:vAlign w:val="bottom"/>
          </w:tcPr>
          <w:p>
            <w:pPr>
              <w:ind w:left="20"/>
              <w:spacing w:after="0" w:line="146" w:lineRule="exact"/>
              <w:rPr>
                <w:sz w:val="20"/>
                <w:szCs w:val="20"/>
                <w:color w:val="auto"/>
              </w:rPr>
            </w:pPr>
            <w:r>
              <w:rPr>
                <w:rFonts w:ascii="Arial" w:cs="Arial" w:eastAsia="Arial" w:hAnsi="Arial"/>
                <w:sz w:val="13"/>
                <w:szCs w:val="13"/>
                <w:color w:val="auto"/>
              </w:rPr>
              <w:t>INVESTING ACTIVITIES: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2"/>
        </w:trPr>
        <w:tc>
          <w:tcPr>
            <w:tcW w:w="7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Purchases of property and equipment, including capitalized software</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(22,437)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(35,212)</w:t>
            </w:r>
          </w:p>
        </w:tc>
      </w:tr>
      <w:tr>
        <w:trPr>
          <w:trHeight w:val="168"/>
        </w:trPr>
        <w:tc>
          <w:tcPr>
            <w:tcW w:w="7840" w:type="dxa"/>
            <w:vAlign w:val="bottom"/>
          </w:tcPr>
          <w:p>
            <w:pPr>
              <w:ind w:left="280"/>
              <w:spacing w:after="0"/>
              <w:rPr>
                <w:sz w:val="20"/>
                <w:szCs w:val="20"/>
                <w:color w:val="auto"/>
              </w:rPr>
            </w:pPr>
            <w:r>
              <w:rPr>
                <w:rFonts w:ascii="Arial" w:cs="Arial" w:eastAsia="Arial" w:hAnsi="Arial"/>
                <w:sz w:val="13"/>
                <w:szCs w:val="13"/>
                <w:color w:val="auto"/>
              </w:rPr>
              <w:t>Payments for acquisitions, net of cash acquired</w:t>
            </w:r>
          </w:p>
        </w:tc>
        <w:tc>
          <w:tcPr>
            <w:tcW w:w="240" w:type="dxa"/>
            <w:vAlign w:val="bottom"/>
          </w:tcPr>
          <w:p>
            <w:pPr>
              <w:spacing w:after="0"/>
              <w:rPr>
                <w:sz w:val="14"/>
                <w:szCs w:val="1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(3,458)</w:t>
            </w:r>
          </w:p>
        </w:tc>
      </w:tr>
      <w:tr>
        <w:trPr>
          <w:trHeight w:val="172"/>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Purchases of intangible assets</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w:t>
            </w:r>
          </w:p>
        </w:tc>
      </w:tr>
      <w:tr>
        <w:trPr>
          <w:trHeight w:val="168"/>
        </w:trPr>
        <w:tc>
          <w:tcPr>
            <w:tcW w:w="7840" w:type="dxa"/>
            <w:vAlign w:val="bottom"/>
          </w:tcPr>
          <w:p>
            <w:pPr>
              <w:ind w:left="280"/>
              <w:spacing w:after="0"/>
              <w:rPr>
                <w:sz w:val="20"/>
                <w:szCs w:val="20"/>
                <w:color w:val="auto"/>
              </w:rPr>
            </w:pPr>
            <w:r>
              <w:rPr>
                <w:rFonts w:ascii="Arial" w:cs="Arial" w:eastAsia="Arial" w:hAnsi="Arial"/>
                <w:sz w:val="13"/>
                <w:szCs w:val="13"/>
                <w:color w:val="auto"/>
              </w:rPr>
              <w:t>Proceeds from divestiture</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13,819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78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Investment in joint venture</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(3,993)</w:t>
            </w:r>
          </w:p>
        </w:tc>
      </w:tr>
      <w:tr>
        <w:trPr>
          <w:trHeight w:val="158"/>
        </w:trPr>
        <w:tc>
          <w:tcPr>
            <w:tcW w:w="7840" w:type="dxa"/>
            <w:vAlign w:val="bottom"/>
            <w:tcBorders>
              <w:bottom w:val="single" w:sz="8" w:color="CCEEFF"/>
            </w:tcBorders>
          </w:tcPr>
          <w:p>
            <w:pPr>
              <w:ind w:left="720"/>
              <w:spacing w:after="0"/>
              <w:rPr>
                <w:sz w:val="20"/>
                <w:szCs w:val="20"/>
                <w:color w:val="auto"/>
              </w:rPr>
            </w:pPr>
            <w:r>
              <w:rPr>
                <w:rFonts w:ascii="Arial" w:cs="Arial" w:eastAsia="Arial" w:hAnsi="Arial"/>
                <w:sz w:val="13"/>
                <w:szCs w:val="13"/>
                <w:b w:val="1"/>
                <w:bCs w:val="1"/>
                <w:color w:val="auto"/>
              </w:rPr>
              <w:t>Net cash used in investing activities</w:t>
            </w: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(11,863)</w:t>
            </w:r>
          </w:p>
        </w:tc>
        <w:tc>
          <w:tcPr>
            <w:tcW w:w="8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(44,057)</w:t>
            </w:r>
          </w:p>
        </w:tc>
      </w:tr>
      <w:tr>
        <w:trPr>
          <w:trHeight w:val="152"/>
        </w:trPr>
        <w:tc>
          <w:tcPr>
            <w:tcW w:w="78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FINANCING ACTIVITIES:</w:t>
            </w: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68"/>
        </w:trPr>
        <w:tc>
          <w:tcPr>
            <w:tcW w:w="7840" w:type="dxa"/>
            <w:vAlign w:val="bottom"/>
          </w:tcPr>
          <w:p>
            <w:pPr>
              <w:ind w:left="280"/>
              <w:spacing w:after="0"/>
              <w:rPr>
                <w:sz w:val="20"/>
                <w:szCs w:val="20"/>
                <w:color w:val="auto"/>
              </w:rPr>
            </w:pPr>
            <w:r>
              <w:rPr>
                <w:rFonts w:ascii="Arial" w:cs="Arial" w:eastAsia="Arial" w:hAnsi="Arial"/>
                <w:sz w:val="13"/>
                <w:szCs w:val="13"/>
                <w:color w:val="auto"/>
              </w:rPr>
              <w:t>Principal payments for financing leases</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(2,785)</w:t>
            </w:r>
          </w:p>
        </w:tc>
      </w:tr>
      <w:tr>
        <w:trPr>
          <w:trHeight w:val="172"/>
        </w:trPr>
        <w:tc>
          <w:tcPr>
            <w:tcW w:w="78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Proceeds from issuance of common stock in connection with the exercise of options and ESPP</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1,238</w:t>
            </w:r>
          </w:p>
        </w:tc>
      </w:tr>
      <w:tr>
        <w:trPr>
          <w:trHeight w:val="168"/>
        </w:trPr>
        <w:tc>
          <w:tcPr>
            <w:tcW w:w="784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Payments on repurchase of convertible senior notes</w:t>
            </w: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(149,702)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840" w:type="dxa"/>
            <w:vAlign w:val="bottom"/>
            <w:shd w:val="clear" w:color="auto" w:fill="CCEEFF"/>
          </w:tcPr>
          <w:p>
            <w:pPr>
              <w:ind w:left="720"/>
              <w:spacing w:after="0"/>
              <w:rPr>
                <w:sz w:val="20"/>
                <w:szCs w:val="20"/>
                <w:color w:val="auto"/>
              </w:rPr>
            </w:pPr>
            <w:r>
              <w:rPr>
                <w:rFonts w:ascii="Arial" w:cs="Arial" w:eastAsia="Arial" w:hAnsi="Arial"/>
                <w:sz w:val="13"/>
                <w:szCs w:val="13"/>
                <w:b w:val="1"/>
                <w:bCs w:val="1"/>
                <w:color w:val="auto"/>
              </w:rPr>
              <w:t>Net cash used in financing activities</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(150,548)</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(1,547)</w:t>
            </w:r>
          </w:p>
        </w:tc>
      </w:tr>
      <w:tr>
        <w:trPr>
          <w:trHeight w:val="158"/>
        </w:trPr>
        <w:tc>
          <w:tcPr>
            <w:tcW w:w="7840" w:type="dxa"/>
            <w:vAlign w:val="bottom"/>
          </w:tcPr>
          <w:p>
            <w:pPr>
              <w:ind w:left="100"/>
              <w:spacing w:after="0"/>
              <w:rPr>
                <w:sz w:val="20"/>
                <w:szCs w:val="20"/>
                <w:color w:val="auto"/>
              </w:rPr>
            </w:pPr>
            <w:r>
              <w:rPr>
                <w:rFonts w:ascii="Arial" w:cs="Arial" w:eastAsia="Arial" w:hAnsi="Arial"/>
                <w:sz w:val="13"/>
                <w:szCs w:val="13"/>
                <w:color w:val="auto"/>
              </w:rPr>
              <w:t>Effect of foreign exchange rate changes on cash and cash equivalents</w:t>
            </w: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(1,164)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(4,713)</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decrease in cash, cash equivalents, and restricted cash</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(187,877)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(129,788)</w:t>
            </w: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 beginning of year</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392,198</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523,532</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Plus: cash classified within current assets held for sale - beginning of year</w:t>
            </w:r>
          </w:p>
        </w:tc>
        <w:tc>
          <w:tcPr>
            <w:tcW w:w="2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10,011</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3"/>
        </w:trPr>
        <w:tc>
          <w:tcPr>
            <w:tcW w:w="7840" w:type="dxa"/>
            <w:vAlign w:val="bottom"/>
          </w:tcPr>
          <w:p>
            <w:pPr>
              <w:ind w:left="20"/>
              <w:spacing w:after="0"/>
              <w:rPr>
                <w:sz w:val="20"/>
                <w:szCs w:val="20"/>
                <w:color w:val="auto"/>
              </w:rPr>
            </w:pPr>
            <w:r>
              <w:rPr>
                <w:rFonts w:ascii="Arial" w:cs="Arial" w:eastAsia="Arial" w:hAnsi="Arial"/>
                <w:sz w:val="13"/>
                <w:szCs w:val="13"/>
                <w:color w:val="auto"/>
              </w:rPr>
              <w:t>Cash, cash equivalents, and restricted cash - end of period</w:t>
            </w:r>
          </w:p>
        </w:tc>
        <w:tc>
          <w:tcPr>
            <w:tcW w:w="24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214,332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393,744</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720" w:top="889" w:right="7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0"/>
        </w:trPr>
        <w:tc>
          <w:tcPr>
            <w:tcW w:w="7840" w:type="dxa"/>
            <w:vAlign w:val="bottom"/>
          </w:tcPr>
          <w:p>
            <w:pPr>
              <w:spacing w:after="0"/>
              <w:rPr>
                <w:sz w:val="13"/>
                <w:szCs w:val="13"/>
                <w:color w:val="auto"/>
              </w:rPr>
            </w:pPr>
          </w:p>
        </w:tc>
        <w:tc>
          <w:tcPr>
            <w:tcW w:w="2600" w:type="dxa"/>
            <w:vAlign w:val="bottom"/>
            <w:tcBorders>
              <w:bottom w:val="single" w:sz="8" w:color="auto"/>
            </w:tcBorders>
            <w:gridSpan w:val="5"/>
          </w:tcPr>
          <w:p>
            <w:pPr>
              <w:jc w:val="right"/>
              <w:ind w:right="336"/>
              <w:spacing w:after="0"/>
              <w:rPr>
                <w:sz w:val="20"/>
                <w:szCs w:val="20"/>
                <w:color w:val="auto"/>
              </w:rPr>
            </w:pPr>
            <w:r>
              <w:rPr>
                <w:rFonts w:ascii="Arial" w:cs="Arial" w:eastAsia="Arial" w:hAnsi="Arial"/>
                <w:sz w:val="12"/>
                <w:szCs w:val="12"/>
                <w:b w:val="1"/>
                <w:bCs w:val="1"/>
                <w:color w:val="auto"/>
              </w:rPr>
              <w:t>Nine Months Ended September 30,</w:t>
            </w:r>
          </w:p>
        </w:tc>
      </w:tr>
      <w:tr>
        <w:trPr>
          <w:trHeight w:val="159"/>
        </w:trPr>
        <w:tc>
          <w:tcPr>
            <w:tcW w:w="7840" w:type="dxa"/>
            <w:vAlign w:val="bottom"/>
          </w:tcPr>
          <w:p>
            <w:pPr>
              <w:spacing w:after="0"/>
              <w:rPr>
                <w:sz w:val="13"/>
                <w:szCs w:val="13"/>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w w:val="82"/>
              </w:rPr>
              <w:t>2023</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2022</w:t>
            </w:r>
          </w:p>
        </w:tc>
      </w:tr>
      <w:tr>
        <w:trPr>
          <w:trHeight w:val="194"/>
        </w:trPr>
        <w:tc>
          <w:tcPr>
            <w:tcW w:w="784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color w:val="auto"/>
              </w:rPr>
              <w:t>(In thousands)</w:t>
            </w:r>
          </w:p>
        </w:tc>
        <w:tc>
          <w:tcPr>
            <w:tcW w:w="840" w:type="dxa"/>
            <w:vAlign w:val="bottom"/>
            <w:tcBorders>
              <w:bottom w:val="single" w:sz="8" w:color="auto"/>
            </w:tcBorders>
          </w:tcPr>
          <w:p>
            <w:pPr>
              <w:spacing w:after="0"/>
              <w:rPr>
                <w:sz w:val="16"/>
                <w:szCs w:val="16"/>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3"/>
        </w:trPr>
        <w:tc>
          <w:tcPr>
            <w:tcW w:w="78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70"/>
        </w:trPr>
        <w:tc>
          <w:tcPr>
            <w:tcW w:w="7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Reconciliation of cash, cash equivalents, and restricted cash to condensed consolidated balance sheets</w:t>
            </w: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76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9"/>
              </w:rPr>
              <w:t>212,189</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393,330</w:t>
            </w:r>
          </w:p>
        </w:tc>
      </w:tr>
      <w:tr>
        <w:trPr>
          <w:trHeight w:val="170"/>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Restricted cash</w:t>
            </w:r>
          </w:p>
        </w:tc>
        <w:tc>
          <w:tcPr>
            <w:tcW w:w="7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414</w:t>
            </w:r>
          </w:p>
        </w:tc>
      </w:tr>
      <w:tr>
        <w:trPr>
          <w:trHeight w:val="163"/>
        </w:trPr>
        <w:tc>
          <w:tcPr>
            <w:tcW w:w="7840" w:type="dxa"/>
            <w:vAlign w:val="bottom"/>
          </w:tcPr>
          <w:p>
            <w:pPr>
              <w:ind w:left="200"/>
              <w:spacing w:after="0"/>
              <w:rPr>
                <w:sz w:val="20"/>
                <w:szCs w:val="20"/>
                <w:color w:val="auto"/>
              </w:rPr>
            </w:pPr>
            <w:r>
              <w:rPr>
                <w:rFonts w:ascii="Arial" w:cs="Arial" w:eastAsia="Arial" w:hAnsi="Arial"/>
                <w:sz w:val="13"/>
                <w:szCs w:val="13"/>
                <w:color w:val="auto"/>
              </w:rPr>
              <w:t>Total cash, cash equivalents, and restricted cash - end of period</w:t>
            </w: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9"/>
              </w:rPr>
              <w:t>214,332</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393,744</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73"/>
        </w:trPr>
        <w:tc>
          <w:tcPr>
            <w:tcW w:w="78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other cash flow information:</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income taxes, net</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3,079</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7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909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1,895</w:t>
            </w:r>
          </w:p>
        </w:tc>
      </w:tr>
      <w:tr>
        <w:trPr>
          <w:trHeight w:val="172"/>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Purchase of property and equipment and intangible assets recorded in accounts payable</w:t>
            </w:r>
          </w:p>
        </w:tc>
        <w:tc>
          <w:tcPr>
            <w:tcW w:w="76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548</w:t>
            </w:r>
          </w:p>
        </w:tc>
        <w:tc>
          <w:tcPr>
            <w:tcW w:w="80" w:type="dxa"/>
            <w:vAlign w:val="bottom"/>
          </w:tcPr>
          <w:p>
            <w:pPr>
              <w:spacing w:after="0"/>
              <w:rPr>
                <w:sz w:val="14"/>
                <w:szCs w:val="14"/>
                <w:color w:val="auto"/>
              </w:rPr>
            </w:pP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113</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Right of use assets obtained in exchange for operating lease liabilities</w:t>
            </w: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r>
      <w:tr>
        <w:trPr>
          <w:trHeight w:val="168"/>
        </w:trPr>
        <w:tc>
          <w:tcPr>
            <w:tcW w:w="7840" w:type="dxa"/>
            <w:vAlign w:val="bottom"/>
          </w:tcPr>
          <w:p>
            <w:pPr>
              <w:ind w:left="200"/>
              <w:spacing w:after="0"/>
              <w:rPr>
                <w:sz w:val="20"/>
                <w:szCs w:val="20"/>
                <w:color w:val="auto"/>
              </w:rPr>
            </w:pPr>
            <w:r>
              <w:rPr>
                <w:rFonts w:ascii="Arial" w:cs="Arial" w:eastAsia="Arial" w:hAnsi="Arial"/>
                <w:sz w:val="13"/>
                <w:szCs w:val="13"/>
                <w:color w:val="auto"/>
              </w:rPr>
              <w:t>Increase in convertible senior notes, net upon adoption of ASU 2020-06 (Note 1)</w:t>
            </w:r>
          </w:p>
        </w:tc>
        <w:tc>
          <w:tcPr>
            <w:tcW w:w="76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159,407</w:t>
            </w: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Issuance of shares of common stock to settle cash awards</w:t>
            </w:r>
          </w:p>
        </w:tc>
        <w:tc>
          <w:tcPr>
            <w:tcW w:w="7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17,298</w:t>
            </w:r>
          </w:p>
        </w:tc>
      </w:tr>
      <w:tr>
        <w:trPr>
          <w:trHeight w:val="168"/>
        </w:trPr>
        <w:tc>
          <w:tcPr>
            <w:tcW w:w="7840" w:type="dxa"/>
            <w:vAlign w:val="bottom"/>
          </w:tcPr>
          <w:p>
            <w:pPr>
              <w:ind w:left="40"/>
              <w:spacing w:after="0"/>
              <w:rPr>
                <w:sz w:val="20"/>
                <w:szCs w:val="20"/>
                <w:color w:val="auto"/>
              </w:rPr>
            </w:pPr>
            <w:r>
              <w:rPr>
                <w:rFonts w:ascii="Arial" w:cs="Arial" w:eastAsia="Arial" w:hAnsi="Arial"/>
                <w:sz w:val="13"/>
                <w:szCs w:val="13"/>
                <w:b w:val="1"/>
                <w:bCs w:val="1"/>
                <w:color w:val="auto"/>
              </w:rPr>
              <w:t>Supplemental disclosure of non-cash financing activities related to the WildHealth acquisition in February 2022 (Note 9):</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784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Issuance of shares of common stock</w:t>
            </w:r>
          </w:p>
        </w:tc>
        <w:tc>
          <w:tcPr>
            <w:tcW w:w="7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17,675</w:t>
            </w:r>
          </w:p>
        </w:tc>
      </w:tr>
      <w:tr>
        <w:trPr>
          <w:trHeight w:val="180"/>
        </w:trPr>
        <w:tc>
          <w:tcPr>
            <w:tcW w:w="7840" w:type="dxa"/>
            <w:vAlign w:val="bottom"/>
          </w:tcPr>
          <w:p>
            <w:pPr>
              <w:ind w:left="200"/>
              <w:spacing w:after="0"/>
              <w:rPr>
                <w:sz w:val="20"/>
                <w:szCs w:val="20"/>
                <w:color w:val="auto"/>
              </w:rPr>
            </w:pPr>
            <w:r>
              <w:rPr>
                <w:rFonts w:ascii="Arial" w:cs="Arial" w:eastAsia="Arial" w:hAnsi="Arial"/>
                <w:sz w:val="13"/>
                <w:szCs w:val="13"/>
                <w:color w:val="auto"/>
              </w:rPr>
              <w:t>Fair value of contingent earn-out recorded in connection with WildHealth transaction</w:t>
            </w:r>
          </w:p>
        </w:tc>
        <w:tc>
          <w:tcPr>
            <w:tcW w:w="76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38,151</w:t>
            </w:r>
          </w:p>
        </w:tc>
      </w:tr>
      <w:tr>
        <w:trPr>
          <w:trHeight w:val="170"/>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 of non-cash financing activities related to the e-bot7 acquisition in July 2021:</w:t>
            </w:r>
          </w:p>
        </w:tc>
        <w:tc>
          <w:tcPr>
            <w:tcW w:w="7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80"/>
        </w:trPr>
        <w:tc>
          <w:tcPr>
            <w:tcW w:w="7840" w:type="dxa"/>
            <w:vAlign w:val="bottom"/>
          </w:tcPr>
          <w:p>
            <w:pPr>
              <w:ind w:left="200"/>
              <w:spacing w:after="0"/>
              <w:rPr>
                <w:sz w:val="20"/>
                <w:szCs w:val="20"/>
                <w:color w:val="auto"/>
              </w:rPr>
            </w:pPr>
            <w:r>
              <w:rPr>
                <w:rFonts w:ascii="Arial" w:cs="Arial" w:eastAsia="Arial" w:hAnsi="Arial"/>
                <w:sz w:val="13"/>
                <w:szCs w:val="13"/>
                <w:color w:val="auto"/>
              </w:rPr>
              <w:t>Fair value of contingent earn-out recorded in connection with e-bot7 transaction</w:t>
            </w:r>
          </w:p>
        </w:tc>
        <w:tc>
          <w:tcPr>
            <w:tcW w:w="760" w:type="dxa"/>
            <w:vAlign w:val="bottom"/>
          </w:tcPr>
          <w:p>
            <w:pPr>
              <w:ind w:left="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76"/>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6,113</w:t>
            </w:r>
          </w:p>
        </w:tc>
      </w:tr>
    </w:tbl>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unaudited condensed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40"/>
          </w:cols>
          <w:pgMar w:left="720" w:top="920" w:right="739" w:bottom="1440" w:gutter="0" w:footer="0" w:header="0"/>
        </w:sectPr>
      </w:pPr>
    </w:p>
    <w:bookmarkStart w:id="10" w:name="page11"/>
    <w:bookmarkEnd w:id="10"/>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Description of Business and Basis of Presentation</w:t>
      </w:r>
    </w:p>
    <w:p>
      <w:pPr>
        <w:spacing w:after="0" w:line="20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LivePerson, Inc. (“LivePerson”, the “Company”, “we”, “our” or “us”) is a global leader in AI-powered customer conversations. Consumers have made mobile devices the center of their digital lives, and they have made digital conversational experiences the center of communication with friends, family and peers. Since 1998, LivePerson has enabled billions of meaningful connections between consumers and our customers on our platform. These speech or text conversations decrease costs and increase revenue for our brands by harnessing the power of AI for convenient, personalized and content-rich journeys across the entire consumer lifecycle, and across consumer platforms. AI has accelerated our capability to leverage those prior conversations to enhance the consumer experience and to improve results for our customers by empowering them to leverage the latest developments in AI, including Generative AI and Large Language Models (“LLMs”), in a safe and secure environment.</w:t>
      </w:r>
    </w:p>
    <w:p>
      <w:pPr>
        <w:spacing w:after="0" w:line="171"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The Conversational Cloud, the Company’s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the necessary guardrails to deploy Generative AI and LLMs in ways that help consumers and drive results for brands without sacrificing trust.</w:t>
      </w:r>
    </w:p>
    <w:p>
      <w:pPr>
        <w:spacing w:after="0" w:line="15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LivePerson’s robust, cloud-based suite of rich messaging, real-time chat, LLM,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5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LivePerson’s Conversational AI platform enables what the Company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spacing w:after="0" w:line="15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unlock the power of Generative AI and LLMs in safe and responsible ways, and deliver measurable return on investment for our customers.</w:t>
      </w:r>
    </w:p>
    <w:p>
      <w:pPr>
        <w:spacing w:after="0" w:line="16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LivePerson was incorporated in the State of Delaware in November 1995 and the LivePerson service was introduced in November 1998. The Company completed an initial public offering in April 2000 and is currently traded on the Nasdaq Global Select Market (“Nasdaq”) and the Tel Aviv Stock Exchange. LivePerson is headquartered in New York City.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of Presentation</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accompanying condensed consolidated financial statements, and the financial data and other information disclosed in the notes to the condensed consolidated financial statements as of September 30, 2023 and for the three and nine months ended September 30, 2023 are unaudited. In the opinion of management, the unaudited condensed consolidated financial statements have been prepared on the same basis as the annual financial statements and reflect all adjustments, which include</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1" w:name="page12"/>
    <w:bookmarkEnd w:id="11"/>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only normal recurring adjustments necessary for a fair presentation of the Company’s condensed consolidated financial position, results of operations, comprehensive loss, and cash flows for the interim periods presented. The results of operations for any interim period are not necessarily indicative of the results of operations for any other future interim period or for a full fiscal year. The condensed consolidated balance sheet as of December 31, 2022 has been derived from audited consolidated financial statements at that date.</w:t>
      </w:r>
    </w:p>
    <w:p>
      <w:pPr>
        <w:spacing w:after="0" w:line="1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2022 included in the Company’s Annual Report on Form 10-K filed with the SEC on March 16, 2023.</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Principles of Consolidation</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unaudited condensed consolidated financial statements reflect the operations of LivePerson and its wholly-owned subsidiaries. All intercompany balances and transactions have been eliminated in consolidation.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Method Investment</w:t>
      </w:r>
    </w:p>
    <w:p>
      <w:pPr>
        <w:spacing w:after="0" w:line="200"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The Company utilizes the equity method to account for investments when it possesses the ability to exercise significant influence, but not control, over the operating and financial policies of the investee. The ability to exercise significant influence is presumed when an investor possesses 20% or more of the voting interests of the investee, and conversely, the ability to exercise significant influence is presumed not to exist when an investor possesses less than 20% of the voting interests of the investee. These presumptions may be overcome based on specific facts and circumstances that demonstrate an ability to exercise significant influence is restricted or demonstrate an ability to exercise significant influence notwithstanding a smaller voting interest, such as with the Company’s 19.2% equity method investment in Claire Holdings, Inc. (“Claire”), due to the Company’s seat on the entity’s board of directors, which provides the Company the ability to exert significant influence. In applying the equity method, the Company records the investment at cost and subsequently increases or decreases the carrying amount of the investment by its proportionate share of the net earnings or losses. The Company records dividends or other equity distributions as reductions in the carrying value of the investment. The Company assesses the carrying value of equity method investment on a periodic basis to see if there has been a decline in carrying value that is not temporary. When deciding whether a decline in carrying value is more than temporary, a number of factors are considered, including the investee’s financial condition and business prospects, as well as the Company’s investment intentions.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Variable Interest Entities</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condensed consolidated financial statements include the financial statements of LivePerson, its wholly owned subsidiaries, and each variable interest entity (“VIE”) for which the Company is the primary beneficiary. The Company consolidates entities in which it has a controlling financial interest. All intercompany balances and transactions have been eliminated in consolidation.</w:t>
      </w:r>
    </w:p>
    <w:p>
      <w:pPr>
        <w:spacing w:after="0" w:line="163"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The Company evaluates whether an entity in which it has a variable interest is considered a variable interest entity. VIEs are generally entities that have either a total equity investment that is insufficient to permit the entity to finance its activities without additional subordinated financial support, or whose equity investors lack the characteristics of a controlling financial interest (i.e., ability to make significant decisions through voting rights and a right to receive the expected residual returns of the entity or an obligation to absorb the expected losses of the entity).</w:t>
      </w:r>
    </w:p>
    <w:p>
      <w:pPr>
        <w:spacing w:after="0" w:line="14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Under the provisions of Accounting Standards Codification (“ASC”) 810, “Consolidation”, an entity consolidates a VIE if it is determined to be the primary beneficiary of the VIE. The primary beneficiary has both (a) the power to direct the activities of the VIE that most significantly impact the entity’s economic performance, and (b) the obligation to absorb losses or the right to receive benefits from the VIE that could potentially be significant to the VIE. The Company periodically reassesses whether it is the primary beneficiary of a VIE. See Note 18 – </w:t>
      </w:r>
      <w:r>
        <w:rPr>
          <w:rFonts w:ascii="Arial" w:cs="Arial" w:eastAsia="Arial" w:hAnsi="Arial"/>
          <w:sz w:val="14"/>
          <w:szCs w:val="14"/>
          <w:i w:val="1"/>
          <w:iCs w:val="1"/>
          <w:color w:val="auto"/>
        </w:rPr>
        <w:t>Variable Interest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Entities </w:t>
      </w:r>
      <w:r>
        <w:rPr>
          <w:rFonts w:ascii="Arial" w:cs="Arial" w:eastAsia="Arial" w:hAnsi="Arial"/>
          <w:sz w:val="14"/>
          <w:szCs w:val="14"/>
          <w:color w:val="auto"/>
        </w:rPr>
        <w:t>for the Company’s assessment of VIEs.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Use of Estimates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2" w:name="page13"/>
    <w:bookmarkEnd w:id="12"/>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509"/>
        <w:spacing w:after="0" w:line="321" w:lineRule="auto"/>
        <w:rPr>
          <w:sz w:val="20"/>
          <w:szCs w:val="20"/>
          <w:color w:val="auto"/>
        </w:rPr>
      </w:pPr>
      <w:r>
        <w:rPr>
          <w:rFonts w:ascii="Arial" w:cs="Arial" w:eastAsia="Arial" w:hAnsi="Arial"/>
          <w:sz w:val="13"/>
          <w:szCs w:val="13"/>
          <w:color w:val="auto"/>
        </w:rPr>
        <w:t>The preparation of the condensed consolidated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 and expenses during the reporting period.</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Significant items subject to such estimates and assumptions include:</w:t>
      </w:r>
    </w:p>
    <w:p>
      <w:pPr>
        <w:spacing w:after="0" w:line="94" w:lineRule="exact"/>
        <w:rPr>
          <w:sz w:val="20"/>
          <w:szCs w:val="20"/>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stock-based compensation expense;</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allowance for credit losses;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period of benefit for deferred contract acquisition costs;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valuation of goodwill;</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valuation and useful lives of other long-lived assets;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fair value of assets acquired and liabilities assumed in business combinations;</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income taxes; and</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recognition, measurement, and disclosure of contingent liabilities.</w:t>
      </w:r>
    </w:p>
    <w:p>
      <w:pPr>
        <w:spacing w:after="0" w:line="12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the date of issuance of the financial statements, the Company is not aware of any material specific events or circumstances that would require it to update its estimates, judgments, or to revise the carrying values of its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Company’s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11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evaluates goodwill for impairment on an annual basis in the third quarter, and more frequently whenever events or substantive changes in circumstances indicate that it is more likely than not that the carrying value of reporting unit exceeds its fair value in accordance with ASC 820, “Fair Value Measurement.”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 performing the quantitative test, impairment loss is recorded to the extent that the carrying value of the reporting unit exceeds its assessed fair value.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Translation</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condensed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loss in stockholders’ equity. Foreign exchange transaction gain or losses are included in other (expense) income, net in the accompanying condensed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Divestitures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 xml:space="preserve">The Company classifies assets and liabilities to be disposed of as held for sale in the period in which they are available for immediate sale in their present condition and the sale is probable and expected to be completed within one year. The Company initially measures assets and liabilities held for sale at the lower of their carrying value or fair value less costs to sell. When the divestiture represents a strategic shift that has (or will have) a major effect on the Company’s operations and financial results, the disposal is presented as a discontinued operation. See Note 20 – </w:t>
      </w:r>
      <w:r>
        <w:rPr>
          <w:rFonts w:ascii="Arial" w:cs="Arial" w:eastAsia="Arial" w:hAnsi="Arial"/>
          <w:sz w:val="14"/>
          <w:szCs w:val="14"/>
          <w:i w:val="1"/>
          <w:iCs w:val="1"/>
          <w:color w:val="auto"/>
        </w:rPr>
        <w:t xml:space="preserve">Divestiture </w:t>
      </w:r>
      <w:r>
        <w:rPr>
          <w:rFonts w:ascii="Arial" w:cs="Arial" w:eastAsia="Arial" w:hAnsi="Arial"/>
          <w:sz w:val="14"/>
          <w:szCs w:val="14"/>
          <w:color w:val="auto"/>
        </w:rPr>
        <w:t>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3" w:name="page14"/>
    <w:bookmarkEnd w:id="13"/>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Pronouncements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In August 2023, the Financial Accounting Standards Board (“FASB”) issued Accounting Standards Update (“ASU”) 2023-05, Business Combinations—Joint Venture Formations (Subtopic</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805-60): Recognition and Initial Measurement (“ASU 2023-05”), which addresses the accounting for contributions made to a joint venture, upon formation, in a joint venture’s separate financial</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statements. The amendments require certain joint ventures to apply a new basis of accounting upon formation by recognizing and initially measuring most of their assets and liabilities at fair value.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The objectives of the amendments are to provide decision-useful information to investors and other allocators of capital in a joint venture’s financial statements and also to reduce diversity in practice.</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ASU 2023-05 is effective for both public and private joint venture entities with a formation date on or after January 1, 2025. Early adoption is permitted. Entities may elect to apply the guidance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retrospectively to joint ventures with a formation date prior to January 1, 2025. The Company does not expect the adoption of this standard to have a material impact on its condensed consolidated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financial statements and related disclosures.</w:t>
      </w:r>
    </w:p>
    <w:p>
      <w:pPr>
        <w:spacing w:after="0" w:line="189"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In March 2023, the FASB issued ASU 2023-01, Leases (Topic 842): Common Control Arrangements, which amends certain provisions of ASC 842 that apply to arrangements between related parties under common control. Specifically, the ASU: 1) Offers private companies, as well as not-for-profit entities that are not conduit bond obligors, a practical expedient that gives them the option of using the written terms and conditions of a common-control arrangement when determining whether a lease exists and the subsequent accounting for the lease, including the lease’s classification and 2) Amends the accounting for leasehold improvements in common-control arrangements for all entities. ASU 2023-01 is effective for fiscal years beginning after December 15, 2023, including interim periods within those fiscal years. Early adoption is permitted in any annual or interim period as of the beginning of the related fiscal year. The Company does not expect the adoption of this standard to have a material impact on its condensed consolidated financial statements and related disclosures.</w:t>
      </w:r>
    </w:p>
    <w:p>
      <w:pPr>
        <w:spacing w:after="0" w:line="15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June 2022, the FASB issued ASU 2022-03, Fair Value Measurement (Topic 820), Fair Value Measurement of Equity Securities Subject to Contractual Sale Restrictions to clarify that a contractual restriction on the sale of an equity security is not considered part of a unit of account of the equity security, and, therefore, is not considered in measuring fair value. The amendments also clarify that an entity cannot, as a separate unit of account, recognize and measure a contractual sale restriction. The amendments also require the following disclosures for equity securities subject to the contractual sale restrictions.</w:t>
      </w:r>
    </w:p>
    <w:p>
      <w:pPr>
        <w:spacing w:after="0" w:line="167" w:lineRule="exact"/>
        <w:rPr>
          <w:sz w:val="20"/>
          <w:szCs w:val="20"/>
          <w:color w:val="auto"/>
        </w:rPr>
      </w:pPr>
    </w:p>
    <w:p>
      <w:pPr>
        <w:ind w:left="1020" w:hanging="251"/>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equity securities subject to the contractual sale restrictions reflected on the balance sheet.</w:t>
      </w:r>
    </w:p>
    <w:p>
      <w:pPr>
        <w:spacing w:after="0" w:line="40" w:lineRule="exact"/>
        <w:rPr>
          <w:rFonts w:ascii="Arial" w:cs="Arial" w:eastAsia="Arial" w:hAnsi="Arial"/>
          <w:sz w:val="14"/>
          <w:szCs w:val="14"/>
          <w:color w:val="auto"/>
        </w:rPr>
      </w:pPr>
    </w:p>
    <w:p>
      <w:pPr>
        <w:ind w:left="1020" w:hanging="251"/>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nature and remaining duration of the restriction(s).</w:t>
      </w:r>
    </w:p>
    <w:p>
      <w:pPr>
        <w:spacing w:after="0" w:line="40" w:lineRule="exact"/>
        <w:rPr>
          <w:rFonts w:ascii="Arial" w:cs="Arial" w:eastAsia="Arial" w:hAnsi="Arial"/>
          <w:sz w:val="14"/>
          <w:szCs w:val="14"/>
          <w:color w:val="auto"/>
        </w:rPr>
      </w:pPr>
    </w:p>
    <w:p>
      <w:pPr>
        <w:ind w:left="1020" w:hanging="251"/>
        <w:spacing w:after="0"/>
        <w:tabs>
          <w:tab w:leader="none" w:pos="10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circumstances that could cause a lapse in the restriction(s).</w:t>
      </w:r>
    </w:p>
    <w:p>
      <w:pPr>
        <w:spacing w:after="0" w:line="22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This guidance is effective for fiscal years beginning after December 15, 2023, and interim periods within those financial years. The Company does not expect the adoption of this standard to have a material impact on the Company’s condensed consolidated financial statements and related disclosures.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Revenue Recognition</w:t>
      </w:r>
    </w:p>
    <w:p>
      <w:pPr>
        <w:spacing w:after="0" w:line="204"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The majority of the Company’s revenue is generated from hosted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services. No single customer accounted for 10% or more of total revenue for the three and nine months ended September 30, 2023 and 2022.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Remaining Performance Obligation</w:t>
      </w:r>
    </w:p>
    <w:p>
      <w:pPr>
        <w:spacing w:after="0" w:line="200" w:lineRule="exact"/>
        <w:rPr>
          <w:sz w:val="20"/>
          <w:szCs w:val="20"/>
          <w:color w:val="auto"/>
        </w:rPr>
      </w:pPr>
    </w:p>
    <w:p>
      <w:pPr>
        <w:jc w:val="both"/>
        <w:ind w:firstLine="340"/>
        <w:spacing w:after="0" w:line="288" w:lineRule="auto"/>
        <w:rPr>
          <w:sz w:val="20"/>
          <w:szCs w:val="20"/>
          <w:color w:val="auto"/>
        </w:rPr>
      </w:pPr>
      <w:r>
        <w:rPr>
          <w:rFonts w:ascii="Arial" w:cs="Arial" w:eastAsia="Arial" w:hAnsi="Arial"/>
          <w:sz w:val="13"/>
          <w:szCs w:val="13"/>
          <w:color w:val="auto"/>
        </w:rPr>
        <w:t>As of September 30, 2023, the aggregate amount of the total transaction price allocated in contracts with original duration of one year or greater to the remaining performance obligations was $312.9 million. Approximately 91%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Deferred Revenues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4" w:name="page15"/>
    <w:bookmarkEnd w:id="14"/>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The Company records deferred revenues when cash payments are received or due in advance of its performance. The increase in the deferred revenue balance as of September 30, 2023 is primarily driven by cash payments received or due in advance of its performance obligations, partially offset by $83.7 million of revenues recognized that were included in the deferred revenue balance as of December 31, 2022.</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deferred revenue by revenue source:</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right"/>
              <w:ind w:right="250"/>
              <w:spacing w:after="0"/>
              <w:rPr>
                <w:sz w:val="20"/>
                <w:szCs w:val="20"/>
                <w:color w:val="auto"/>
              </w:rPr>
            </w:pPr>
            <w:r>
              <w:rPr>
                <w:rFonts w:ascii="Arial" w:cs="Arial" w:eastAsia="Arial" w:hAnsi="Arial"/>
                <w:sz w:val="13"/>
                <w:szCs w:val="13"/>
                <w:b w:val="1"/>
                <w:bCs w:val="1"/>
                <w:color w:val="auto"/>
              </w:rPr>
              <w:t>December 31,</w:t>
            </w:r>
          </w:p>
        </w:tc>
      </w:tr>
      <w:tr>
        <w:trPr>
          <w:trHeight w:val="175"/>
        </w:trPr>
        <w:tc>
          <w:tcPr>
            <w:tcW w:w="8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2022</w:t>
            </w:r>
          </w:p>
        </w:tc>
      </w:tr>
      <w:tr>
        <w:trPr>
          <w:trHeight w:val="198"/>
        </w:trPr>
        <w:tc>
          <w:tcPr>
            <w:tcW w:w="8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4"/>
          </w:tcPr>
          <w:p>
            <w:pPr>
              <w:jc w:val="right"/>
              <w:ind w:right="1030"/>
              <w:spacing w:after="0"/>
              <w:rPr>
                <w:sz w:val="20"/>
                <w:szCs w:val="20"/>
                <w:color w:val="auto"/>
              </w:rPr>
            </w:pPr>
            <w:r>
              <w:rPr>
                <w:rFonts w:ascii="Arial" w:cs="Arial" w:eastAsia="Arial" w:hAnsi="Arial"/>
                <w:sz w:val="13"/>
                <w:szCs w:val="13"/>
                <w:color w:val="auto"/>
              </w:rPr>
              <w:t>(In thousands)</w:t>
            </w:r>
          </w:p>
        </w:tc>
      </w:tr>
      <w:tr>
        <w:trPr>
          <w:trHeight w:val="18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Hosted services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83,561</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933</w:t>
            </w: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deferred revenue - short term</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96,783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84,494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Hosted services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deferred revenue - long term</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Disaggregated Revenue</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The following table presents the Company’s revenues disaggregated by revenue source:</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3"/>
                <w:szCs w:val="13"/>
                <w:b w:val="1"/>
                <w:bCs w:val="1"/>
                <w:color w:val="auto"/>
                <w:w w:val="95"/>
              </w:rPr>
              <w:t>Nine Months Ended September 30,</w:t>
            </w:r>
          </w:p>
        </w:tc>
      </w:tr>
      <w:tr>
        <w:trPr>
          <w:trHeight w:val="160"/>
        </w:trPr>
        <w:tc>
          <w:tcPr>
            <w:tcW w:w="4720" w:type="dxa"/>
            <w:vAlign w:val="bottom"/>
          </w:tcPr>
          <w:p>
            <w:pPr>
              <w:spacing w:after="0"/>
              <w:rPr>
                <w:sz w:val="13"/>
                <w:szCs w:val="13"/>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3"/>
                <w:szCs w:val="13"/>
                <w:b w:val="1"/>
                <w:bCs w:val="1"/>
                <w:color w:val="auto"/>
              </w:rPr>
              <w:t>2022</w:t>
            </w:r>
          </w:p>
        </w:tc>
      </w:tr>
      <w:tr>
        <w:trPr>
          <w:trHeight w:val="198"/>
        </w:trPr>
        <w:tc>
          <w:tcPr>
            <w:tcW w:w="4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3"/>
          </w:tcPr>
          <w:p>
            <w:pPr>
              <w:jc w:val="right"/>
              <w:ind w:right="89"/>
              <w:spacing w:after="0"/>
              <w:rPr>
                <w:sz w:val="20"/>
                <w:szCs w:val="20"/>
                <w:color w:val="auto"/>
              </w:rPr>
            </w:pPr>
            <w:r>
              <w:rPr>
                <w:rFonts w:ascii="Arial" w:cs="Arial" w:eastAsia="Arial" w:hAnsi="Arial"/>
                <w:sz w:val="13"/>
                <w:szCs w:val="13"/>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91"/>
        </w:trPr>
        <w:tc>
          <w:tcPr>
            <w:tcW w:w="4720" w:type="dxa"/>
            <w:vAlign w:val="bottom"/>
          </w:tcPr>
          <w:p>
            <w:pPr>
              <w:ind w:left="100"/>
              <w:spacing w:after="0" w:line="191" w:lineRule="exact"/>
              <w:rPr>
                <w:sz w:val="20"/>
                <w:szCs w:val="20"/>
                <w:color w:val="auto"/>
              </w:rPr>
            </w:pPr>
            <w:r>
              <w:rPr>
                <w:rFonts w:ascii="Arial" w:cs="Arial" w:eastAsia="Arial" w:hAnsi="Arial"/>
                <w:sz w:val="14"/>
                <w:szCs w:val="14"/>
                <w:color w:val="auto"/>
              </w:rPr>
              <w:t xml:space="preserve">Hosted services </w:t>
            </w:r>
            <w:r>
              <w:rPr>
                <w:rFonts w:ascii="Arial" w:cs="Arial" w:eastAsia="Arial" w:hAnsi="Arial"/>
                <w:sz w:val="20"/>
                <w:szCs w:val="20"/>
                <w:color w:val="auto"/>
                <w:vertAlign w:val="superscript"/>
              </w:rPr>
              <w:t>(1)</w:t>
            </w:r>
          </w:p>
        </w:tc>
        <w:tc>
          <w:tcPr>
            <w:tcW w:w="980" w:type="dxa"/>
            <w:vAlign w:val="bottom"/>
          </w:tcPr>
          <w:p>
            <w:pPr>
              <w:jc w:val="right"/>
              <w:ind w:right="833"/>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85,747</w:t>
            </w:r>
          </w:p>
        </w:tc>
        <w:tc>
          <w:tcPr>
            <w:tcW w:w="100" w:type="dxa"/>
            <w:vAlign w:val="bottom"/>
          </w:tcPr>
          <w:p>
            <w:pPr>
              <w:spacing w:after="0"/>
              <w:rPr>
                <w:sz w:val="16"/>
                <w:szCs w:val="16"/>
                <w:color w:val="auto"/>
              </w:rPr>
            </w:pPr>
          </w:p>
        </w:tc>
        <w:tc>
          <w:tcPr>
            <w:tcW w:w="980" w:type="dxa"/>
            <w:vAlign w:val="bottom"/>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98,951</w:t>
            </w:r>
          </w:p>
        </w:tc>
        <w:tc>
          <w:tcPr>
            <w:tcW w:w="80" w:type="dxa"/>
            <w:vAlign w:val="bottom"/>
          </w:tcPr>
          <w:p>
            <w:pPr>
              <w:spacing w:after="0"/>
              <w:rPr>
                <w:sz w:val="16"/>
                <w:szCs w:val="16"/>
                <w:color w:val="auto"/>
              </w:rPr>
            </w:pPr>
          </w:p>
        </w:tc>
        <w:tc>
          <w:tcPr>
            <w:tcW w:w="500" w:type="dxa"/>
            <w:vAlign w:val="bottom"/>
          </w:tcPr>
          <w:p>
            <w:pPr>
              <w:jc w:val="right"/>
              <w:ind w:right="329"/>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254,371</w:t>
            </w:r>
          </w:p>
        </w:tc>
        <w:tc>
          <w:tcPr>
            <w:tcW w:w="100" w:type="dxa"/>
            <w:vAlign w:val="bottom"/>
          </w:tcPr>
          <w:p>
            <w:pPr>
              <w:spacing w:after="0"/>
              <w:rPr>
                <w:sz w:val="16"/>
                <w:szCs w:val="16"/>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318,382</w:t>
            </w:r>
          </w:p>
        </w:tc>
      </w:tr>
      <w:tr>
        <w:trPr>
          <w:trHeight w:val="180"/>
        </w:trPr>
        <w:tc>
          <w:tcPr>
            <w:tcW w:w="4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Professional services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15,585</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30,610</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52,144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73,941</w:t>
            </w:r>
          </w:p>
        </w:tc>
      </w:tr>
      <w:tr>
        <w:trPr>
          <w:trHeight w:val="171"/>
        </w:trPr>
        <w:tc>
          <w:tcPr>
            <w:tcW w:w="472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101,332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129,561</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306,515</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392,323</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1" w:lineRule="exact"/>
        <w:rPr>
          <w:sz w:val="20"/>
          <w:szCs w:val="20"/>
          <w:color w:val="auto"/>
        </w:rPr>
      </w:pPr>
    </w:p>
    <w:p>
      <w:pPr>
        <w:jc w:val="both"/>
        <w:ind w:left="260" w:hanging="255"/>
        <w:spacing w:after="0" w:line="269" w:lineRule="auto"/>
        <w:tabs>
          <w:tab w:leader="none" w:pos="254" w:val="left"/>
        </w:tabs>
        <w:numPr>
          <w:ilvl w:val="0"/>
          <w:numId w:val="6"/>
        </w:numPr>
        <w:rPr>
          <w:rFonts w:ascii="Arial" w:cs="Arial" w:eastAsia="Arial" w:hAnsi="Arial"/>
          <w:sz w:val="11"/>
          <w:szCs w:val="11"/>
          <w:color w:val="auto"/>
        </w:rPr>
      </w:pPr>
      <w:r>
        <w:rPr>
          <w:rFonts w:ascii="Arial" w:cs="Arial" w:eastAsia="Arial" w:hAnsi="Arial"/>
          <w:sz w:val="11"/>
          <w:szCs w:val="11"/>
          <w:color w:val="auto"/>
        </w:rPr>
        <w:t>On March 20, 2023, the Company completed the sale of Kasamba and therefore ceased recognizing revenue related to Kasamba effective on the transaction close date. Further, this sale eliminated the entire Consumer segment, as a result of which revenue is presented within a single consolidated segment. Hosted services includes $7.2 million for the nine months ended September 30, 2023, and $9.5 million and $27.7 million of revenue for the three and nine months ended September 30, 2022, respectively, relating to Kasamba.</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by Geographic Location</w:t>
      </w:r>
    </w:p>
    <w:p>
      <w:pPr>
        <w:spacing w:after="0" w:line="200" w:lineRule="exact"/>
        <w:rPr>
          <w:sz w:val="20"/>
          <w:szCs w:val="20"/>
          <w:color w:val="auto"/>
        </w:rPr>
      </w:pPr>
    </w:p>
    <w:p>
      <w:pPr>
        <w:ind w:firstLine="340"/>
        <w:spacing w:after="0" w:line="281" w:lineRule="auto"/>
        <w:rPr>
          <w:sz w:val="20"/>
          <w:szCs w:val="20"/>
          <w:color w:val="auto"/>
        </w:rPr>
      </w:pPr>
      <w:r>
        <w:rPr>
          <w:rFonts w:ascii="Arial" w:cs="Arial" w:eastAsia="Arial" w:hAnsi="Arial"/>
          <w:sz w:val="14"/>
          <w:szCs w:val="14"/>
          <w:color w:val="auto"/>
        </w:rPr>
        <w:t>The Company is domiciled in the United States and has international operations around the globe. The following table presents the Company’s revenues attributable to domestic and foreign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5" w:name="page16"/>
    <w:bookmarkEnd w:id="15"/>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720" w:type="dxa"/>
            <w:vAlign w:val="bottom"/>
          </w:tcPr>
          <w:p>
            <w:pPr>
              <w:spacing w:after="0"/>
              <w:rPr>
                <w:sz w:val="14"/>
                <w:szCs w:val="1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3"/>
                <w:szCs w:val="13"/>
                <w:b w:val="1"/>
                <w:bCs w:val="1"/>
                <w:color w:val="auto"/>
                <w:w w:val="95"/>
              </w:rPr>
              <w:t>Nine Months Ended September 30,</w:t>
            </w:r>
          </w:p>
        </w:tc>
      </w:tr>
      <w:tr>
        <w:trPr>
          <w:trHeight w:val="160"/>
        </w:trPr>
        <w:tc>
          <w:tcPr>
            <w:tcW w:w="4720" w:type="dxa"/>
            <w:vAlign w:val="bottom"/>
          </w:tcPr>
          <w:p>
            <w:pPr>
              <w:spacing w:after="0"/>
              <w:rPr>
                <w:sz w:val="13"/>
                <w:szCs w:val="13"/>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2022</w:t>
            </w:r>
          </w:p>
        </w:tc>
      </w:tr>
      <w:tr>
        <w:trPr>
          <w:trHeight w:val="198"/>
        </w:trPr>
        <w:tc>
          <w:tcPr>
            <w:tcW w:w="47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gridSpan w:val="3"/>
          </w:tcPr>
          <w:p>
            <w:pPr>
              <w:jc w:val="right"/>
              <w:ind w:right="89"/>
              <w:spacing w:after="0"/>
              <w:rPr>
                <w:sz w:val="20"/>
                <w:szCs w:val="20"/>
                <w:color w:val="auto"/>
              </w:rPr>
            </w:pPr>
            <w:r>
              <w:rPr>
                <w:rFonts w:ascii="Arial" w:cs="Arial" w:eastAsia="Arial" w:hAnsi="Arial"/>
                <w:sz w:val="13"/>
                <w:szCs w:val="13"/>
                <w:color w:val="auto"/>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87"/>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80" w:type="dxa"/>
            <w:vAlign w:val="bottom"/>
            <w:shd w:val="clear" w:color="auto" w:fill="CCEEFF"/>
          </w:tcPr>
          <w:p>
            <w:pPr>
              <w:jc w:val="right"/>
              <w:ind w:right="833"/>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89,619</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209,275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267,189</w:t>
            </w:r>
          </w:p>
        </w:tc>
      </w:tr>
      <w:tr>
        <w:trPr>
          <w:trHeight w:val="180"/>
        </w:trPr>
        <w:tc>
          <w:tcPr>
            <w:tcW w:w="47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Other Americas </w:t>
            </w:r>
            <w:r>
              <w:rPr>
                <w:rFonts w:ascii="Arial" w:cs="Arial" w:eastAsia="Arial" w:hAnsi="Arial"/>
                <w:sz w:val="18"/>
                <w:szCs w:val="18"/>
                <w:color w:val="auto"/>
                <w:vertAlign w:val="superscript"/>
              </w:rPr>
              <w:t>(1)</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10,484</w:t>
            </w:r>
          </w:p>
        </w:tc>
      </w:tr>
      <w:tr>
        <w:trPr>
          <w:trHeight w:val="171"/>
        </w:trPr>
        <w:tc>
          <w:tcPr>
            <w:tcW w:w="4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Americas</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73,739</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92,089</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216,960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277,673</w:t>
            </w:r>
          </w:p>
        </w:tc>
      </w:tr>
      <w:tr>
        <w:trPr>
          <w:trHeight w:val="180"/>
        </w:trPr>
        <w:tc>
          <w:tcPr>
            <w:tcW w:w="4720" w:type="dxa"/>
            <w:vAlign w:val="bottom"/>
          </w:tcPr>
          <w:p>
            <w:pPr>
              <w:ind w:left="20"/>
              <w:spacing w:after="0" w:line="181" w:lineRule="exact"/>
              <w:rPr>
                <w:sz w:val="20"/>
                <w:szCs w:val="20"/>
                <w:color w:val="auto"/>
              </w:rPr>
            </w:pPr>
            <w:r>
              <w:rPr>
                <w:rFonts w:ascii="Arial" w:cs="Arial" w:eastAsia="Arial" w:hAnsi="Arial"/>
                <w:sz w:val="20"/>
                <w:szCs w:val="20"/>
                <w:color w:val="auto"/>
                <w:vertAlign w:val="subscript"/>
              </w:rPr>
              <w:t>EMEA</w:t>
            </w:r>
            <w:r>
              <w:rPr>
                <w:rFonts w:ascii="Arial" w:cs="Arial" w:eastAsia="Arial" w:hAnsi="Arial"/>
                <w:sz w:val="8"/>
                <w:szCs w:val="8"/>
                <w:color w:val="auto"/>
              </w:rPr>
              <w:t xml:space="preserve"> (2) (3)</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16,165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16,107</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47,280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57,890</w:t>
            </w:r>
          </w:p>
        </w:tc>
      </w:tr>
      <w:tr>
        <w:trPr>
          <w:trHeight w:val="180"/>
        </w:trPr>
        <w:tc>
          <w:tcPr>
            <w:tcW w:w="472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 xml:space="preserve">APAC </w:t>
            </w:r>
            <w:r>
              <w:rPr>
                <w:rFonts w:ascii="Arial" w:cs="Arial" w:eastAsia="Arial" w:hAnsi="Arial"/>
                <w:sz w:val="18"/>
                <w:szCs w:val="18"/>
                <w:color w:val="auto"/>
                <w:vertAlign w:val="superscript"/>
              </w:rPr>
              <w:t>(4)</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11,428</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21,365</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42,275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56,760</w:t>
            </w:r>
          </w:p>
        </w:tc>
      </w:tr>
      <w:tr>
        <w:trPr>
          <w:trHeight w:val="171"/>
        </w:trPr>
        <w:tc>
          <w:tcPr>
            <w:tcW w:w="4720" w:type="dxa"/>
            <w:vAlign w:val="bottom"/>
          </w:tcPr>
          <w:p>
            <w:pPr>
              <w:ind w:left="180"/>
              <w:spacing w:after="0"/>
              <w:rPr>
                <w:sz w:val="20"/>
                <w:szCs w:val="20"/>
                <w:color w:val="auto"/>
              </w:rPr>
            </w:pPr>
            <w:r>
              <w:rPr>
                <w:rFonts w:ascii="Arial" w:cs="Arial" w:eastAsia="Arial" w:hAnsi="Arial"/>
                <w:sz w:val="14"/>
                <w:szCs w:val="14"/>
                <w:color w:val="auto"/>
              </w:rPr>
              <w:t>Total revenue</w:t>
            </w:r>
          </w:p>
        </w:tc>
        <w:tc>
          <w:tcPr>
            <w:tcW w:w="98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101,332</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129,561</w:t>
            </w:r>
          </w:p>
        </w:tc>
        <w:tc>
          <w:tcPr>
            <w:tcW w:w="80" w:type="dxa"/>
            <w:vAlign w:val="bottom"/>
          </w:tcPr>
          <w:p>
            <w:pPr>
              <w:spacing w:after="0"/>
              <w:rPr>
                <w:sz w:val="14"/>
                <w:szCs w:val="14"/>
                <w:color w:val="auto"/>
              </w:rPr>
            </w:pPr>
          </w:p>
        </w:tc>
        <w:tc>
          <w:tcPr>
            <w:tcW w:w="50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306,515</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392,323</w:t>
            </w:r>
          </w:p>
        </w:tc>
      </w:tr>
      <w:tr>
        <w:trPr>
          <w:trHeight w:val="20"/>
        </w:trPr>
        <w:tc>
          <w:tcPr>
            <w:tcW w:w="4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1"/>
          <w:szCs w:val="11"/>
          <w:color w:val="auto"/>
        </w:rPr>
        <w:t>—————————————</w:t>
      </w:r>
    </w:p>
    <w:p>
      <w:pPr>
        <w:spacing w:after="0" w:line="18"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Canada, Latin America and South America</w:t>
      </w:r>
    </w:p>
    <w:p>
      <w:pPr>
        <w:spacing w:after="0" w:line="47" w:lineRule="exact"/>
        <w:rPr>
          <w:rFonts w:ascii="Arial" w:cs="Arial" w:eastAsia="Arial" w:hAnsi="Arial"/>
          <w:sz w:val="11"/>
          <w:szCs w:val="11"/>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Europe, the Middle East and Africa (“EMEA”)</w:t>
      </w:r>
    </w:p>
    <w:p>
      <w:pPr>
        <w:spacing w:after="0" w:line="43" w:lineRule="exact"/>
        <w:rPr>
          <w:rFonts w:ascii="Arial" w:cs="Arial" w:eastAsia="Arial" w:hAnsi="Arial"/>
          <w:sz w:val="11"/>
          <w:szCs w:val="11"/>
          <w:color w:val="auto"/>
        </w:rPr>
      </w:pPr>
    </w:p>
    <w:p>
      <w:pPr>
        <w:jc w:val="both"/>
        <w:ind w:left="260" w:hanging="255"/>
        <w:spacing w:after="0" w:line="308" w:lineRule="auto"/>
        <w:tabs>
          <w:tab w:leader="none" w:pos="254"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revenues from the United Kingdom of $16.2 million and $13.1 million for the three months ended September 30, 2023 and 2022, respectively, and from the Netherlands of $0.2 million and $1.3 million for the three months ended September 30, 2023 and 2022, respectively. Includes revenues from the United Kingdom of $46.8 million and $41.6 million for the nine months ended September 30, 2023 and 2022, respectively, and from the Netherlands of $0.8 million and $4.8 million for the nine months ended September 30, 2023 and 2022, respectively.</w:t>
      </w:r>
    </w:p>
    <w:p>
      <w:pPr>
        <w:spacing w:after="0" w:line="1" w:lineRule="exact"/>
        <w:rPr>
          <w:rFonts w:ascii="Arial" w:cs="Arial" w:eastAsia="Arial" w:hAnsi="Arial"/>
          <w:sz w:val="11"/>
          <w:szCs w:val="11"/>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Asia-Pacific (“APAC”)</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Information about Contract Balances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2"/>
          <w:szCs w:val="12"/>
          <w:color w:val="auto"/>
        </w:rPr>
        <w:t>Amounts collected in advance of services being provided are accounted for as deferred revenue. Nearly all of the Company’s deferred revenue balance is related to Hosted services revenue</w:t>
      </w:r>
      <w:r>
        <w:rPr>
          <w:rFonts w:ascii="Arial" w:cs="Arial" w:eastAsia="Arial" w:hAnsi="Arial"/>
          <w:sz w:val="12"/>
          <w:szCs w:val="12"/>
          <w:i w:val="1"/>
          <w:iCs w:val="1"/>
          <w:color w:val="auto"/>
        </w:rPr>
        <w:t>.</w:t>
      </w:r>
    </w:p>
    <w:p>
      <w:pPr>
        <w:spacing w:after="0" w:line="22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sheets. Contract acquisition costs represent prepaid sales commissions. The opening and closing balances of the Company’s accounts receivable, unbilled receivables, and deferred revenues are as follows:</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Contract Acquisition</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9"/>
              </w:rPr>
              <w:t>Deferred Revenue</w:t>
            </w:r>
          </w:p>
        </w:tc>
        <w:tc>
          <w:tcPr>
            <w:tcW w:w="140" w:type="dxa"/>
            <w:vAlign w:val="bottom"/>
          </w:tcPr>
          <w:p>
            <w:pPr>
              <w:spacing w:after="0"/>
              <w:rPr>
                <w:sz w:val="12"/>
                <w:szCs w:val="12"/>
                <w:color w:val="auto"/>
              </w:rPr>
            </w:pPr>
          </w:p>
        </w:tc>
        <w:tc>
          <w:tcPr>
            <w:tcW w:w="1240" w:type="dxa"/>
            <w:vAlign w:val="bottom"/>
            <w:vMerge w:val="restart"/>
          </w:tcPr>
          <w:p>
            <w:pPr>
              <w:jc w:val="right"/>
              <w:ind w:right="172"/>
              <w:spacing w:after="0"/>
              <w:rPr>
                <w:sz w:val="20"/>
                <w:szCs w:val="20"/>
                <w:color w:val="auto"/>
              </w:rPr>
            </w:pPr>
            <w:r>
              <w:rPr>
                <w:rFonts w:ascii="Arial" w:cs="Arial" w:eastAsia="Arial" w:hAnsi="Arial"/>
                <w:sz w:val="12"/>
                <w:szCs w:val="12"/>
                <w:b w:val="1"/>
                <w:bCs w:val="1"/>
                <w:color w:val="auto"/>
                <w:w w:val="95"/>
              </w:rPr>
              <w:t>Deferred Revenue</w:t>
            </w: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2"/>
          </w:tcPr>
          <w:p>
            <w:pPr>
              <w:jc w:val="center"/>
              <w:ind w:right="240"/>
              <w:spacing w:after="0" w:line="117" w:lineRule="exact"/>
              <w:rPr>
                <w:sz w:val="20"/>
                <w:szCs w:val="20"/>
                <w:color w:val="auto"/>
              </w:rPr>
            </w:pPr>
            <w:r>
              <w:rPr>
                <w:rFonts w:ascii="Arial" w:cs="Arial" w:eastAsia="Arial" w:hAnsi="Arial"/>
                <w:sz w:val="12"/>
                <w:szCs w:val="12"/>
                <w:b w:val="1"/>
                <w:bCs w:val="1"/>
                <w:color w:val="auto"/>
                <w:w w:val="83"/>
              </w:rPr>
              <w:t>Costs</w:t>
            </w:r>
          </w:p>
        </w:tc>
        <w:tc>
          <w:tcPr>
            <w:tcW w:w="14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w w:val="99"/>
              </w:rPr>
              <w:t>Accounts Receivable</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111"/>
              <w:spacing w:after="0"/>
              <w:rPr>
                <w:sz w:val="20"/>
                <w:szCs w:val="20"/>
                <w:color w:val="auto"/>
              </w:rPr>
            </w:pPr>
            <w:r>
              <w:rPr>
                <w:rFonts w:ascii="Arial" w:cs="Arial" w:eastAsia="Arial" w:hAnsi="Arial"/>
                <w:sz w:val="12"/>
                <w:szCs w:val="12"/>
                <w:b w:val="1"/>
                <w:bCs w:val="1"/>
                <w:color w:val="auto"/>
                <w:w w:val="91"/>
              </w:rPr>
              <w:t>Unbilled Receivable</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center"/>
              <w:ind w:right="33"/>
              <w:spacing w:after="0"/>
              <w:rPr>
                <w:sz w:val="20"/>
                <w:szCs w:val="20"/>
                <w:color w:val="auto"/>
              </w:rPr>
            </w:pPr>
            <w:r>
              <w:rPr>
                <w:rFonts w:ascii="Arial" w:cs="Arial" w:eastAsia="Arial" w:hAnsi="Arial"/>
                <w:sz w:val="12"/>
                <w:szCs w:val="12"/>
                <w:b w:val="1"/>
                <w:bCs w:val="1"/>
                <w:color w:val="auto"/>
                <w:w w:val="93"/>
              </w:rPr>
              <w:t>(Non-current)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w w:val="97"/>
              </w:rPr>
              <w:t>(Current)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72"/>
              <w:spacing w:after="0"/>
              <w:rPr>
                <w:sz w:val="20"/>
                <w:szCs w:val="20"/>
                <w:color w:val="auto"/>
              </w:rPr>
            </w:pPr>
            <w:r>
              <w:rPr>
                <w:rFonts w:ascii="Arial" w:cs="Arial" w:eastAsia="Arial" w:hAnsi="Arial"/>
                <w:sz w:val="12"/>
                <w:szCs w:val="12"/>
                <w:b w:val="1"/>
                <w:bCs w:val="1"/>
                <w:color w:val="auto"/>
              </w:rPr>
              <w:t>(Non-current)</w:t>
            </w:r>
          </w:p>
        </w:tc>
        <w:tc>
          <w:tcPr>
            <w:tcW w:w="0" w:type="dxa"/>
            <w:vAlign w:val="bottom"/>
          </w:tcPr>
          <w:p>
            <w:pPr>
              <w:spacing w:after="0"/>
              <w:rPr>
                <w:sz w:val="1"/>
                <w:szCs w:val="1"/>
                <w:color w:val="auto"/>
              </w:rPr>
            </w:pPr>
          </w:p>
        </w:tc>
      </w:tr>
      <w:tr>
        <w:trPr>
          <w:trHeight w:val="200"/>
        </w:trPr>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(In thousands)</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Opening balance as of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center"/>
              <w:ind w:left="671"/>
              <w:spacing w:after="0"/>
              <w:rPr>
                <w:sz w:val="20"/>
                <w:szCs w:val="20"/>
                <w:color w:val="auto"/>
              </w:rPr>
            </w:pPr>
            <w:r>
              <w:rPr>
                <w:rFonts w:ascii="Arial" w:cs="Arial" w:eastAsia="Arial" w:hAnsi="Arial"/>
                <w:sz w:val="14"/>
                <w:szCs w:val="14"/>
                <w:color w:val="auto"/>
                <w:w w:val="93"/>
              </w:rPr>
              <w:t>69,259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40,675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center"/>
              <w:ind w:left="652"/>
              <w:spacing w:after="0"/>
              <w:rPr>
                <w:sz w:val="20"/>
                <w:szCs w:val="20"/>
                <w:color w:val="auto"/>
              </w:rPr>
            </w:pPr>
            <w:r>
              <w:rPr>
                <w:rFonts w:ascii="Arial" w:cs="Arial" w:eastAsia="Arial" w:hAnsi="Arial"/>
                <w:sz w:val="14"/>
                <w:szCs w:val="14"/>
                <w:color w:val="auto"/>
                <w:w w:val="88"/>
              </w:rPr>
              <w:t>98,808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0"/>
        </w:trPr>
        <w:tc>
          <w:tcPr>
            <w:tcW w:w="3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Increase (decrease), net</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651"/>
              <w:spacing w:after="0"/>
              <w:rPr>
                <w:sz w:val="20"/>
                <w:szCs w:val="20"/>
                <w:color w:val="auto"/>
              </w:rPr>
            </w:pPr>
            <w:r>
              <w:rPr>
                <w:rFonts w:ascii="Arial" w:cs="Arial" w:eastAsia="Arial" w:hAnsi="Arial"/>
                <w:sz w:val="14"/>
                <w:szCs w:val="14"/>
                <w:color w:val="auto"/>
                <w:w w:val="95"/>
              </w:rPr>
              <w:t>(15,791)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632"/>
              <w:spacing w:after="0"/>
              <w:rPr>
                <w:sz w:val="20"/>
                <w:szCs w:val="20"/>
                <w:color w:val="auto"/>
              </w:rPr>
            </w:pPr>
            <w:r>
              <w:rPr>
                <w:rFonts w:ascii="Arial" w:cs="Arial" w:eastAsia="Arial" w:hAnsi="Arial"/>
                <w:sz w:val="14"/>
                <w:szCs w:val="14"/>
                <w:color w:val="auto"/>
                <w:w w:val="91"/>
              </w:rPr>
              <w:t>(14,314)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Opening balance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center"/>
              <w:ind w:left="671"/>
              <w:spacing w:after="0"/>
              <w:rPr>
                <w:sz w:val="20"/>
                <w:szCs w:val="20"/>
                <w:color w:val="auto"/>
              </w:rPr>
            </w:pPr>
            <w:r>
              <w:rPr>
                <w:rFonts w:ascii="Arial" w:cs="Arial" w:eastAsia="Arial" w:hAnsi="Arial"/>
                <w:sz w:val="14"/>
                <w:szCs w:val="14"/>
                <w:color w:val="auto"/>
                <w:w w:val="93"/>
              </w:rPr>
              <w:t>53,468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33,069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center"/>
              <w:ind w:left="652"/>
              <w:spacing w:after="0"/>
              <w:rPr>
                <w:sz w:val="20"/>
                <w:szCs w:val="20"/>
                <w:color w:val="auto"/>
              </w:rPr>
            </w:pPr>
            <w:r>
              <w:rPr>
                <w:rFonts w:ascii="Arial" w:cs="Arial" w:eastAsia="Arial" w:hAnsi="Arial"/>
                <w:sz w:val="14"/>
                <w:szCs w:val="14"/>
                <w:color w:val="auto"/>
                <w:w w:val="88"/>
              </w:rPr>
              <w:t>84,494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0"/>
        </w:trPr>
        <w:tc>
          <w:tcPr>
            <w:tcW w:w="39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Increase (decrease), net</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left="671"/>
              <w:spacing w:after="0"/>
              <w:rPr>
                <w:sz w:val="20"/>
                <w:szCs w:val="20"/>
                <w:color w:val="auto"/>
              </w:rPr>
            </w:pPr>
            <w:r>
              <w:rPr>
                <w:rFonts w:ascii="Arial" w:cs="Arial" w:eastAsia="Arial" w:hAnsi="Arial"/>
                <w:sz w:val="14"/>
                <w:szCs w:val="14"/>
                <w:color w:val="auto"/>
                <w:w w:val="93"/>
              </w:rPr>
              <w:t>26,351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left="652"/>
              <w:spacing w:after="0"/>
              <w:rPr>
                <w:sz w:val="20"/>
                <w:szCs w:val="20"/>
                <w:color w:val="auto"/>
              </w:rPr>
            </w:pPr>
            <w:r>
              <w:rPr>
                <w:rFonts w:ascii="Arial" w:cs="Arial" w:eastAsia="Arial" w:hAnsi="Arial"/>
                <w:sz w:val="14"/>
                <w:szCs w:val="14"/>
                <w:color w:val="auto"/>
                <w:w w:val="88"/>
              </w:rPr>
              <w:t>12,289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9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as of September 30, 2023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center"/>
              <w:ind w:left="671"/>
              <w:spacing w:after="0"/>
              <w:rPr>
                <w:sz w:val="20"/>
                <w:szCs w:val="20"/>
                <w:color w:val="auto"/>
              </w:rPr>
            </w:pPr>
            <w:r>
              <w:rPr>
                <w:rFonts w:ascii="Arial" w:cs="Arial" w:eastAsia="Arial" w:hAnsi="Arial"/>
                <w:sz w:val="14"/>
                <w:szCs w:val="14"/>
                <w:color w:val="auto"/>
                <w:w w:val="93"/>
              </w:rPr>
              <w:t>79,819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20,048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35,953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center"/>
              <w:ind w:left="652"/>
              <w:spacing w:after="0"/>
              <w:rPr>
                <w:sz w:val="20"/>
                <w:szCs w:val="20"/>
                <w:color w:val="auto"/>
              </w:rPr>
            </w:pPr>
            <w:r>
              <w:rPr>
                <w:rFonts w:ascii="Arial" w:cs="Arial" w:eastAsia="Arial" w:hAnsi="Arial"/>
                <w:sz w:val="14"/>
                <w:szCs w:val="14"/>
                <w:color w:val="auto"/>
                <w:w w:val="88"/>
              </w:rPr>
              <w:t>96,783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Accounts Receivable, Net</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Accounts receivable are recorded at the invoiced amount and do not bear interest. The allowance for credit losses is the Company’s best estimate of the amount of probable credit losses in the Company’s existing accounts receivable. The Company determines the allowance based on historical write-off experience. The Company reviews its allowance for credit losses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w:t>
      </w:r>
    </w:p>
    <w:p>
      <w:pPr>
        <w:spacing w:after="0" w:line="200" w:lineRule="exact"/>
        <w:rPr>
          <w:sz w:val="20"/>
          <w:szCs w:val="20"/>
          <w:color w:val="auto"/>
        </w:rPr>
      </w:pPr>
    </w:p>
    <w:p>
      <w:pPr>
        <w:spacing w:after="0" w:line="24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6" w:name="page17"/>
    <w:bookmarkEnd w:id="16"/>
    <w:p>
      <w:pPr>
        <w:jc w:val="center"/>
        <w:ind w:left="248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248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Balance at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-101600</wp:posOffset>
            </wp:positionV>
            <wp:extent cx="71145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4540" cy="11430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4"/>
          <w:szCs w:val="14"/>
          <w:color w:val="auto"/>
        </w:rPr>
        <w:t>Additions charged to costs and expenses</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Deductions/write-offs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-101600</wp:posOffset>
            </wp:positionV>
            <wp:extent cx="711454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4540" cy="11430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Balance as of September 30, 2023</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60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u w:val="single" w:color="auto"/>
          <w:color w:val="auto"/>
        </w:rPr>
        <w:t>Allowance for credit losses</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 thousands)</w:t>
      </w:r>
    </w:p>
    <w:p>
      <w:pPr>
        <w:spacing w:after="0" w:line="35" w:lineRule="exact"/>
        <w:rPr>
          <w:sz w:val="20"/>
          <w:szCs w:val="20"/>
          <w:color w:val="auto"/>
        </w:rPr>
      </w:pPr>
    </w:p>
    <w:p>
      <w:pPr>
        <w:ind w:left="1140" w:hanging="1138"/>
        <w:spacing w:after="0"/>
        <w:tabs>
          <w:tab w:leader="none" w:pos="1140" w:val="left"/>
        </w:tabs>
        <w:numPr>
          <w:ilvl w:val="0"/>
          <w:numId w:val="8"/>
        </w:numPr>
        <w:rPr>
          <w:rFonts w:ascii="Arial" w:cs="Arial" w:eastAsia="Arial" w:hAnsi="Arial"/>
          <w:sz w:val="14"/>
          <w:szCs w:val="14"/>
          <w:color w:val="auto"/>
        </w:rPr>
      </w:pPr>
      <w:r>
        <w:rPr>
          <w:rFonts w:ascii="Arial" w:cs="Arial" w:eastAsia="Arial" w:hAnsi="Arial"/>
          <w:sz w:val="14"/>
          <w:szCs w:val="14"/>
          <w:color w:val="auto"/>
        </w:rPr>
        <w:t>9,239</w:t>
      </w:r>
    </w:p>
    <w:p>
      <w:pPr>
        <w:spacing w:after="0" w:line="19" w:lineRule="exact"/>
        <w:rPr>
          <w:rFonts w:ascii="Arial" w:cs="Arial" w:eastAsia="Arial" w:hAnsi="Arial"/>
          <w:sz w:val="14"/>
          <w:szCs w:val="14"/>
          <w:color w:val="auto"/>
        </w:rPr>
      </w:pPr>
    </w:p>
    <w:p>
      <w:pPr>
        <w:ind w:left="1140"/>
        <w:spacing w:after="0"/>
        <w:rPr>
          <w:rFonts w:ascii="Arial" w:cs="Arial" w:eastAsia="Arial" w:hAnsi="Arial"/>
          <w:sz w:val="14"/>
          <w:szCs w:val="14"/>
          <w:color w:val="auto"/>
        </w:rPr>
      </w:pPr>
      <w:r>
        <w:rPr>
          <w:rFonts w:ascii="Arial" w:cs="Arial" w:eastAsia="Arial" w:hAnsi="Arial"/>
          <w:sz w:val="14"/>
          <w:szCs w:val="14"/>
          <w:color w:val="auto"/>
        </w:rPr>
        <w:t>2,653</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9766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pacing w:after="0" w:line="10" w:lineRule="exact"/>
        <w:rPr>
          <w:sz w:val="20"/>
          <w:szCs w:val="20"/>
          <w:color w:val="auto"/>
        </w:rPr>
      </w:pPr>
    </w:p>
    <w:p>
      <w:pPr>
        <w:ind w:left="1140" w:hanging="1138"/>
        <w:spacing w:after="0"/>
        <w:tabs>
          <w:tab w:leader="none" w:pos="1140" w:val="left"/>
        </w:tabs>
        <w:numPr>
          <w:ilvl w:val="0"/>
          <w:numId w:val="9"/>
        </w:numPr>
        <w:rPr>
          <w:rFonts w:ascii="Arial" w:cs="Arial" w:eastAsia="Arial" w:hAnsi="Arial"/>
          <w:sz w:val="14"/>
          <w:szCs w:val="14"/>
          <w:color w:val="auto"/>
        </w:rPr>
      </w:pPr>
      <w:r>
        <w:rPr>
          <w:rFonts w:ascii="Arial" w:cs="Arial" w:eastAsia="Arial" w:hAnsi="Arial"/>
          <w:sz w:val="14"/>
          <w:szCs w:val="14"/>
          <w:color w:val="auto"/>
        </w:rPr>
        <w:t>8,728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wp:posOffset>
            </wp:positionV>
            <wp:extent cx="9766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7663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32385</wp:posOffset>
            </wp:positionV>
            <wp:extent cx="9766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76630" cy="6985"/>
                    </a:xfrm>
                    <a:prstGeom prst="rect">
                      <a:avLst/>
                    </a:prstGeom>
                    <a:noFill/>
                  </pic:spPr>
                </pic:pic>
              </a:graphicData>
            </a:graphic>
          </wp:anchor>
        </w:drawing>
      </w:r>
    </w:p>
    <w:p>
      <w:pPr>
        <w:sectPr>
          <w:pgSz w:w="11900" w:h="16838" w:orient="portrait"/>
          <w:cols w:equalWidth="0" w:num="2">
            <w:col w:w="8860" w:space="720"/>
            <w:col w:w="1500"/>
          </w:cols>
          <w:pgMar w:left="440" w:top="167" w:right="379" w:bottom="1440" w:gutter="0" w:footer="0" w:header="0"/>
        </w:sectPr>
      </w:pPr>
    </w:p>
    <w:bookmarkStart w:id="17" w:name="page18"/>
    <w:bookmarkEnd w:id="17"/>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Net Loss Per Share</w:t>
      </w:r>
    </w:p>
    <w:p>
      <w:pPr>
        <w:spacing w:after="0" w:line="204"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 xml:space="preserve">Basic earnings per share (“EPS”) excludes dilution for common stock equivalents and is computed by dividing net income or loss attributable to common stockholders by the weighted average number of shares of common stock outstanding for the period. Diluted EPS is calculated based on the weighted average number of shares of common stock plus the effect of dilutive potential common shares outstanding during the period. Potentially dilutive securities consist of common stock options, restricted stock units, contingently issuable shares and convertible securities. The dilutive effect of stock options, restricted stock units and contingently issuable shares is reflected in diluted EPS by application of the treasury stock method. The dilutive effect of convertible securities is reflected in the diluted EPS by application of the “if-converted” method. The “if-converted” method is only assumed in periods where such application would be dilutive. In applying the “if-converted” method for diluted EPS, the Company would assume conversion of the 2024 Notes at a ratio of 25.9182 shares of its common stock per $1,000 principal amount of the 2024 Notes. The Company would assume conversion of the 2026 Notes at a ratio of 13.2933 shares of its common stock per $1,000 principal amount of the 2026 Notes. Assumed converted shares of the Company’s common stock are weighted for the period the Notes were outstanding. See Note 8 – </w:t>
      </w:r>
      <w:r>
        <w:rPr>
          <w:rFonts w:ascii="Arial" w:cs="Arial" w:eastAsia="Arial" w:hAnsi="Arial"/>
          <w:sz w:val="14"/>
          <w:szCs w:val="14"/>
          <w:i w:val="1"/>
          <w:iCs w:val="1"/>
          <w:color w:val="auto"/>
        </w:rPr>
        <w:t>Convertible Senior Notes, Net and Capped Call Transactions</w:t>
      </w:r>
      <w:r>
        <w:rPr>
          <w:rFonts w:ascii="Arial" w:cs="Arial" w:eastAsia="Arial" w:hAnsi="Arial"/>
          <w:sz w:val="14"/>
          <w:szCs w:val="14"/>
          <w:color w:val="auto"/>
        </w:rPr>
        <w:t xml:space="preserve"> for additional information about the Notes.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Reconciliation of shares used in calculating basic and diluted EPS for the three and nine months ended September 30, 2023 and 2022,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September 30,</w:t>
            </w:r>
          </w:p>
        </w:tc>
        <w:tc>
          <w:tcPr>
            <w:tcW w:w="220" w:type="dxa"/>
            <w:vAlign w:val="bottom"/>
          </w:tcPr>
          <w:p>
            <w:pPr>
              <w:spacing w:after="0"/>
              <w:rPr>
                <w:sz w:val="14"/>
                <w:szCs w:val="14"/>
                <w:color w:val="auto"/>
              </w:rPr>
            </w:pPr>
          </w:p>
        </w:tc>
        <w:tc>
          <w:tcPr>
            <w:tcW w:w="2340" w:type="dxa"/>
            <w:vAlign w:val="bottom"/>
            <w:gridSpan w:val="4"/>
          </w:tcPr>
          <w:p>
            <w:pPr>
              <w:jc w:val="right"/>
              <w:ind w:right="251"/>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60"/>
        </w:trPr>
        <w:tc>
          <w:tcPr>
            <w:tcW w:w="608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2022</w:t>
            </w:r>
          </w:p>
        </w:tc>
      </w:tr>
      <w:tr>
        <w:trPr>
          <w:trHeight w:val="198"/>
        </w:trPr>
        <w:tc>
          <w:tcPr>
            <w:tcW w:w="6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5"/>
          </w:tcPr>
          <w:p>
            <w:pPr>
              <w:ind w:left="40"/>
              <w:spacing w:after="0"/>
              <w:rPr>
                <w:sz w:val="20"/>
                <w:szCs w:val="20"/>
                <w:color w:val="auto"/>
              </w:rPr>
            </w:pPr>
            <w:r>
              <w:rPr>
                <w:rFonts w:ascii="Arial" w:cs="Arial" w:eastAsia="Arial" w:hAnsi="Arial"/>
                <w:sz w:val="13"/>
                <w:szCs w:val="13"/>
                <w:color w:val="auto"/>
              </w:rPr>
              <w:t>(In thousands, except per share amounts)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8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(43,248)</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(59,910)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(184,023)</w:t>
            </w:r>
          </w:p>
        </w:tc>
      </w:tr>
      <w:tr>
        <w:trPr>
          <w:trHeight w:val="18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 average number of shares outstanding, basic and diluted</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78,005,210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77,784,346</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76,902,316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76,969,629</w:t>
            </w:r>
          </w:p>
        </w:tc>
      </w:tr>
      <w:tr>
        <w:trPr>
          <w:trHeight w:val="196"/>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basic and diluted</w:t>
            </w:r>
          </w:p>
        </w:tc>
        <w:tc>
          <w:tcPr>
            <w:tcW w:w="18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During the three months ended September 30, 2023, the Company reached settlement agreements regarding the final portions of the VoiceBase and Tenfold earn-outs for approximately $15.0 million and $13.0 million, respectively. These settlements are to be paid in cash or shares as determined by the Company during the fourth quarter of 2023. Additionally, subsequent to September 30, 2023, the Company reached a settlement agreement regarding the eBot-7 earn-out for approximately $8.0 million, which was paid in shares. The assumed conversion of the earn-out settlements would have no impact on the basic and diluted EPS as presented in the table above. Further, the following securities were excluded from the computation of diluted EPS for the three and nine months ended September 30, 2023 and 2022, as their effect would have been anti-dilutive: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320" w:type="dxa"/>
            <w:vAlign w:val="bottom"/>
          </w:tcPr>
          <w:p>
            <w:pPr>
              <w:spacing w:after="0"/>
              <w:rPr>
                <w:sz w:val="14"/>
                <w:szCs w:val="14"/>
                <w:color w:val="auto"/>
              </w:rPr>
            </w:pPr>
          </w:p>
        </w:tc>
        <w:tc>
          <w:tcPr>
            <w:tcW w:w="1980" w:type="dxa"/>
            <w:vAlign w:val="bottom"/>
            <w:tcBorders>
              <w:bottom w:val="single" w:sz="8" w:color="auto"/>
            </w:tcBorders>
            <w:gridSpan w:val="3"/>
          </w:tcPr>
          <w:p>
            <w:pPr>
              <w:ind w:left="880"/>
              <w:spacing w:after="0"/>
              <w:rPr>
                <w:sz w:val="20"/>
                <w:szCs w:val="20"/>
                <w:color w:val="auto"/>
              </w:rPr>
            </w:pPr>
            <w:r>
              <w:rPr>
                <w:rFonts w:ascii="Arial" w:cs="Arial" w:eastAsia="Arial" w:hAnsi="Arial"/>
                <w:sz w:val="13"/>
                <w:szCs w:val="13"/>
                <w:b w:val="1"/>
                <w:bCs w:val="1"/>
                <w:color w:val="auto"/>
                <w:w w:val="88"/>
              </w:rPr>
              <w:t>As of September 30</w:t>
            </w:r>
          </w:p>
        </w:tc>
        <w:tc>
          <w:tcPr>
            <w:tcW w:w="840" w:type="dxa"/>
            <w:vAlign w:val="bottom"/>
            <w:tcBorders>
              <w:bottom w:val="single" w:sz="8" w:color="auto"/>
            </w:tcBorders>
          </w:tcPr>
          <w:p>
            <w:pPr>
              <w:spacing w:after="0"/>
              <w:rPr>
                <w:sz w:val="14"/>
                <w:szCs w:val="14"/>
                <w:color w:val="auto"/>
              </w:rPr>
            </w:pPr>
          </w:p>
        </w:tc>
      </w:tr>
      <w:tr>
        <w:trPr>
          <w:trHeight w:val="160"/>
        </w:trPr>
        <w:tc>
          <w:tcPr>
            <w:tcW w:w="832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49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w w:val="89"/>
              </w:rPr>
              <w:t>2022</w:t>
            </w:r>
          </w:p>
        </w:tc>
      </w:tr>
      <w:tr>
        <w:trPr>
          <w:trHeight w:val="17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subject to outstanding common stock options and employee stock purchase plan</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3,256,397</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4,514,229</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Restricted stock units</w:t>
            </w:r>
          </w:p>
        </w:tc>
        <w:tc>
          <w:tcPr>
            <w:tcW w:w="1360" w:type="dxa"/>
            <w:vAlign w:val="bottom"/>
          </w:tcPr>
          <w:p>
            <w:pPr>
              <w:jc w:val="right"/>
              <w:spacing w:after="0"/>
              <w:rPr>
                <w:sz w:val="20"/>
                <w:szCs w:val="20"/>
                <w:color w:val="auto"/>
              </w:rPr>
            </w:pPr>
            <w:r>
              <w:rPr>
                <w:rFonts w:ascii="Arial" w:cs="Arial" w:eastAsia="Arial" w:hAnsi="Arial"/>
                <w:sz w:val="14"/>
                <w:szCs w:val="14"/>
                <w:color w:val="auto"/>
              </w:rPr>
              <w:t>4,570,885</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5,246,300</w:t>
            </w: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Earn-outs</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8,255,818</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11,996,072</w:t>
            </w: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Conversion option of the 2024 Notes</w:t>
            </w:r>
          </w:p>
        </w:tc>
        <w:tc>
          <w:tcPr>
            <w:tcW w:w="1360" w:type="dxa"/>
            <w:vAlign w:val="bottom"/>
          </w:tcPr>
          <w:p>
            <w:pPr>
              <w:jc w:val="right"/>
              <w:spacing w:after="0"/>
              <w:rPr>
                <w:sz w:val="20"/>
                <w:szCs w:val="20"/>
                <w:color w:val="auto"/>
              </w:rPr>
            </w:pPr>
            <w:r>
              <w:rPr>
                <w:rFonts w:ascii="Arial" w:cs="Arial" w:eastAsia="Arial" w:hAnsi="Arial"/>
                <w:sz w:val="14"/>
                <w:szCs w:val="14"/>
                <w:color w:val="auto"/>
              </w:rPr>
              <w:t>1,878,862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5,961,186</w:t>
            </w:r>
          </w:p>
        </w:tc>
      </w:tr>
      <w:tr>
        <w:trPr>
          <w:trHeight w:val="180"/>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option of the 2026 Notes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6,879,283</w:t>
            </w:r>
          </w:p>
        </w:tc>
        <w:tc>
          <w:tcPr>
            <w:tcW w:w="10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6,879,283</w:t>
            </w:r>
          </w:p>
        </w:tc>
      </w:tr>
      <w:tr>
        <w:trPr>
          <w:trHeight w:val="171"/>
        </w:trPr>
        <w:tc>
          <w:tcPr>
            <w:tcW w:w="8320" w:type="dxa"/>
            <w:vAlign w:val="bottom"/>
          </w:tcPr>
          <w:p>
            <w:pPr>
              <w:ind w:left="20"/>
              <w:spacing w:after="0"/>
              <w:rPr>
                <w:sz w:val="20"/>
                <w:szCs w:val="20"/>
                <w:color w:val="auto"/>
              </w:rPr>
            </w:pPr>
            <w:r>
              <w:rPr>
                <w:rFonts w:ascii="Arial" w:cs="Arial" w:eastAsia="Arial" w:hAnsi="Arial"/>
                <w:sz w:val="14"/>
                <w:szCs w:val="14"/>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24,841,245</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34,597,070</w:t>
            </w:r>
          </w:p>
        </w:tc>
      </w:tr>
      <w:tr>
        <w:trPr>
          <w:trHeight w:val="20"/>
        </w:trPr>
        <w:tc>
          <w:tcPr>
            <w:tcW w:w="8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Segment Information</w:t>
      </w:r>
    </w:p>
    <w:p>
      <w:pPr>
        <w:spacing w:after="0" w:line="20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4"/>
          <w:szCs w:val="14"/>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was previously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facilitated online transactions between Experts and Users</w:t>
      </w:r>
    </w:p>
    <w:p>
      <w:pPr>
        <w:spacing w:after="0" w:line="200" w:lineRule="exact"/>
        <w:rPr>
          <w:sz w:val="20"/>
          <w:szCs w:val="20"/>
          <w:color w:val="auto"/>
        </w:rPr>
      </w:pPr>
    </w:p>
    <w:p>
      <w:pPr>
        <w:spacing w:after="0" w:line="352"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8" w:name="page19"/>
    <w:bookmarkEnd w:id="18"/>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73" w:lineRule="auto"/>
        <w:rPr>
          <w:sz w:val="20"/>
          <w:szCs w:val="20"/>
          <w:color w:val="auto"/>
        </w:rPr>
      </w:pPr>
      <w:r>
        <w:rPr>
          <w:rFonts w:ascii="Arial" w:cs="Arial" w:eastAsia="Arial" w:hAnsi="Arial"/>
          <w:sz w:val="14"/>
          <w:szCs w:val="14"/>
          <w:color w:val="auto"/>
        </w:rPr>
        <w:t xml:space="preserve">seeking information and knowledge for a fee via mobile and online messaging. During the first quarter of 2023, the Consumer segment (comprised solely of the Kasamba business) was divested (see Note 20 – </w:t>
      </w:r>
      <w:r>
        <w:rPr>
          <w:rFonts w:ascii="Arial" w:cs="Arial" w:eastAsia="Arial" w:hAnsi="Arial"/>
          <w:sz w:val="14"/>
          <w:szCs w:val="14"/>
          <w:i w:val="1"/>
          <w:iCs w:val="1"/>
          <w:color w:val="auto"/>
        </w:rPr>
        <w:t>Divestiture</w:t>
      </w:r>
      <w:r>
        <w:rPr>
          <w:rFonts w:ascii="Arial" w:cs="Arial" w:eastAsia="Arial" w:hAnsi="Arial"/>
          <w:sz w:val="14"/>
          <w:szCs w:val="14"/>
          <w:color w:val="auto"/>
        </w:rPr>
        <w:t>). The chief operating decision maker (“CODM”), who is the Company’s Chief Executive Officer, evaluates performance, makes operating decisions, and allocates resources based on the operating income of the remaining Business segment. The Business reporting segment follows the same accounting policies used in the preparation of the Company’s consolidated financial statements which are described in the summary of significant accounting policies.</w:t>
      </w:r>
    </w:p>
    <w:p>
      <w:pPr>
        <w:spacing w:after="0" w:line="95" w:lineRule="exact"/>
        <w:rPr>
          <w:sz w:val="20"/>
          <w:szCs w:val="20"/>
          <w:color w:val="auto"/>
        </w:rPr>
      </w:pPr>
    </w:p>
    <w:p>
      <w:pPr>
        <w:jc w:val="both"/>
        <w:ind w:firstLine="340"/>
        <w:spacing w:after="0" w:line="267" w:lineRule="auto"/>
        <w:rPr>
          <w:sz w:val="20"/>
          <w:szCs w:val="20"/>
          <w:color w:val="auto"/>
        </w:rPr>
      </w:pPr>
      <w:r>
        <w:rPr>
          <w:rFonts w:ascii="Arial" w:cs="Arial" w:eastAsia="Arial" w:hAnsi="Arial"/>
          <w:sz w:val="14"/>
          <w:szCs w:val="14"/>
          <w:color w:val="auto"/>
        </w:rPr>
        <w:t>During the first quarter of 2023, the Company completed the sale of Kasamba, which was reported under the Consumer segment, and had ceased recognizing revenues and expenses effective the transaction close date. As a result, the divestiture of Kasamba eliminates the Company’s Consumer segment as the Company focuses on the core Business segment. See Note 20 –</w:t>
      </w:r>
      <w:r>
        <w:rPr>
          <w:rFonts w:ascii="Arial" w:cs="Arial" w:eastAsia="Arial" w:hAnsi="Arial"/>
          <w:sz w:val="14"/>
          <w:szCs w:val="14"/>
          <w:i w:val="1"/>
          <w:iCs w:val="1"/>
          <w:color w:val="auto"/>
        </w:rPr>
        <w:t>Divestiture</w:t>
      </w:r>
      <w:r>
        <w:rPr>
          <w:rFonts w:ascii="Arial" w:cs="Arial" w:eastAsia="Arial" w:hAnsi="Arial"/>
          <w:sz w:val="14"/>
          <w:szCs w:val="14"/>
          <w:color w:val="auto"/>
        </w:rPr>
        <w:t>, for additional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Geographic Information</w:t>
      </w:r>
    </w:p>
    <w:p>
      <w:pPr>
        <w:spacing w:after="0" w:line="200" w:lineRule="exact"/>
        <w:rPr>
          <w:sz w:val="20"/>
          <w:szCs w:val="20"/>
          <w:color w:val="auto"/>
        </w:rPr>
      </w:pPr>
    </w:p>
    <w:p>
      <w:pPr>
        <w:jc w:val="both"/>
        <w:ind w:firstLine="340"/>
        <w:spacing w:after="0" w:line="281" w:lineRule="auto"/>
        <w:rPr>
          <w:sz w:val="20"/>
          <w:szCs w:val="20"/>
          <w:color w:val="auto"/>
        </w:rPr>
      </w:pPr>
      <w:r>
        <w:rPr>
          <w:rFonts w:ascii="Arial" w:cs="Arial" w:eastAsia="Arial" w:hAnsi="Arial"/>
          <w:sz w:val="14"/>
          <w:szCs w:val="14"/>
          <w:color w:val="auto"/>
        </w:rPr>
        <w:t>The Company is domiciled in the United States and has international operations around the globe. The following table presents the Company’s long-lived assets by geographic region as of the dates set forth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3"/>
                <w:szCs w:val="13"/>
                <w:color w:val="auto"/>
              </w:rPr>
            </w:pPr>
          </w:p>
        </w:tc>
        <w:tc>
          <w:tcPr>
            <w:tcW w:w="1220" w:type="dxa"/>
            <w:vAlign w:val="bottom"/>
          </w:tcPr>
          <w:p>
            <w:pPr>
              <w:jc w:val="center"/>
              <w:ind w:right="13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9"/>
              </w:rPr>
              <w:t>2022</w:t>
            </w:r>
          </w:p>
        </w:tc>
        <w:tc>
          <w:tcPr>
            <w:tcW w:w="0" w:type="dxa"/>
            <w:vAlign w:val="bottom"/>
          </w:tcPr>
          <w:p>
            <w:pPr>
              <w:spacing w:after="0"/>
              <w:rPr>
                <w:sz w:val="1"/>
                <w:szCs w:val="1"/>
                <w:color w:val="auto"/>
              </w:rPr>
            </w:pPr>
          </w:p>
        </w:tc>
      </w:tr>
      <w:tr>
        <w:trPr>
          <w:trHeight w:val="200"/>
        </w:trPr>
        <w:tc>
          <w:tcPr>
            <w:tcW w:w="8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60" w:type="dxa"/>
            <w:vAlign w:val="bottom"/>
            <w:gridSpan w:val="4"/>
          </w:tcPr>
          <w:p>
            <w:pPr>
              <w:jc w:val="right"/>
              <w:ind w:right="1030"/>
              <w:spacing w:after="0"/>
              <w:rPr>
                <w:sz w:val="20"/>
                <w:szCs w:val="20"/>
                <w:color w:val="auto"/>
              </w:rPr>
            </w:pPr>
            <w:r>
              <w:rPr>
                <w:rFonts w:ascii="Arial" w:cs="Arial" w:eastAsia="Arial" w:hAnsi="Arial"/>
                <w:sz w:val="13"/>
                <w:szCs w:val="13"/>
                <w:color w:val="auto"/>
              </w:rPr>
              <w:t>(In thousands)</w:t>
            </w:r>
          </w:p>
        </w:tc>
        <w:tc>
          <w:tcPr>
            <w:tcW w:w="0" w:type="dxa"/>
            <w:vAlign w:val="bottom"/>
          </w:tcPr>
          <w:p>
            <w:pPr>
              <w:spacing w:after="0"/>
              <w:rPr>
                <w:sz w:val="1"/>
                <w:szCs w:val="1"/>
                <w:color w:val="auto"/>
              </w:rPr>
            </w:pPr>
          </w:p>
        </w:tc>
      </w:tr>
      <w:tr>
        <w:trPr>
          <w:trHeight w:val="187"/>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476,040</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Germany</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46,323</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Israel</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4,064</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Australia</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11,313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12,057</w:t>
            </w: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Netherlands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 xml:space="preserve">Other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12,531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13,520</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long-lived assets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518,045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555,474</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8320" w:type="dxa"/>
            <w:vAlign w:val="bottom"/>
          </w:tcPr>
          <w:p>
            <w:pPr>
              <w:spacing w:after="0"/>
              <w:rPr>
                <w:sz w:val="20"/>
                <w:szCs w:val="20"/>
                <w:color w:val="auto"/>
              </w:rPr>
            </w:pPr>
            <w:r>
              <w:rPr>
                <w:rFonts w:ascii="Arial" w:cs="Arial" w:eastAsia="Arial" w:hAnsi="Arial"/>
                <w:sz w:val="11"/>
                <w:szCs w:val="11"/>
                <w:color w:val="auto"/>
              </w:rPr>
              <w:t>(1)  United Kingdom, Japan, France, Italy, Spain, Canada, and Singapore.</w:t>
            </w: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1"/>
        </w:trPr>
        <w:tc>
          <w:tcPr>
            <w:tcW w:w="8320" w:type="dxa"/>
            <w:vAlign w:val="bottom"/>
          </w:tcPr>
          <w:p>
            <w:pPr>
              <w:spacing w:after="0"/>
              <w:rPr>
                <w:sz w:val="20"/>
                <w:szCs w:val="20"/>
                <w:color w:val="auto"/>
              </w:rPr>
            </w:pPr>
            <w:r>
              <w:rPr>
                <w:rFonts w:ascii="Arial" w:cs="Arial" w:eastAsia="Arial" w:hAnsi="Arial"/>
                <w:sz w:val="14"/>
                <w:szCs w:val="14"/>
                <w:b w:val="1"/>
                <w:bCs w:val="1"/>
                <w:color w:val="auto"/>
              </w:rPr>
              <w:t>Note 5. Goodwill and Intangible Assets, Net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8320" w:type="dxa"/>
            <w:vAlign w:val="bottom"/>
          </w:tcPr>
          <w:p>
            <w:pPr>
              <w:spacing w:after="0"/>
              <w:rPr>
                <w:sz w:val="20"/>
                <w:szCs w:val="20"/>
                <w:color w:val="auto"/>
              </w:rPr>
            </w:pPr>
            <w:r>
              <w:rPr>
                <w:rFonts w:ascii="Arial" w:cs="Arial" w:eastAsia="Arial" w:hAnsi="Arial"/>
                <w:sz w:val="14"/>
                <w:szCs w:val="14"/>
                <w:b w:val="1"/>
                <w:bCs w:val="1"/>
                <w:i w:val="1"/>
                <w:iCs w:val="1"/>
                <w:color w:val="auto"/>
              </w:rPr>
              <w:t>Goodwill</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320" w:type="dxa"/>
            <w:vAlign w:val="bottom"/>
          </w:tcPr>
          <w:p>
            <w:pPr>
              <w:ind w:left="520"/>
              <w:spacing w:after="0"/>
              <w:rPr>
                <w:sz w:val="20"/>
                <w:szCs w:val="20"/>
                <w:color w:val="auto"/>
              </w:rPr>
            </w:pPr>
            <w:r>
              <w:rPr>
                <w:rFonts w:ascii="Arial" w:cs="Arial" w:eastAsia="Arial" w:hAnsi="Arial"/>
                <w:sz w:val="14"/>
                <w:szCs w:val="14"/>
                <w:color w:val="auto"/>
              </w:rPr>
              <w:t>The changes in the carrying amount of goodwill for the nine months ended September 30, 2023 are as follows: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9"/>
              </w:rPr>
              <w:t>Consolidated</w:t>
            </w:r>
          </w:p>
        </w:tc>
        <w:tc>
          <w:tcPr>
            <w:tcW w:w="0" w:type="dxa"/>
            <w:vAlign w:val="bottom"/>
          </w:tcPr>
          <w:p>
            <w:pPr>
              <w:spacing w:after="0"/>
              <w:rPr>
                <w:sz w:val="1"/>
                <w:szCs w:val="1"/>
                <w:color w:val="auto"/>
              </w:rPr>
            </w:pPr>
          </w:p>
        </w:tc>
      </w:tr>
      <w:tr>
        <w:trPr>
          <w:trHeight w:val="165"/>
        </w:trPr>
        <w:tc>
          <w:tcPr>
            <w:tcW w:w="8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ind w:right="130"/>
              <w:spacing w:after="0"/>
              <w:rPr>
                <w:sz w:val="20"/>
                <w:szCs w:val="20"/>
                <w:color w:val="auto"/>
              </w:rPr>
            </w:pPr>
            <w:r>
              <w:rPr>
                <w:rFonts w:ascii="Arial" w:cs="Arial" w:eastAsia="Arial" w:hAnsi="Arial"/>
                <w:sz w:val="13"/>
                <w:szCs w:val="13"/>
                <w:color w:val="auto"/>
                <w:w w:val="88"/>
              </w:rPr>
              <w:t>(In thousands)</w:t>
            </w:r>
          </w:p>
        </w:tc>
        <w:tc>
          <w:tcPr>
            <w:tcW w:w="0" w:type="dxa"/>
            <w:vAlign w:val="bottom"/>
          </w:tcPr>
          <w:p>
            <w:pPr>
              <w:spacing w:after="0"/>
              <w:rPr>
                <w:sz w:val="1"/>
                <w:szCs w:val="1"/>
                <w:color w:val="auto"/>
              </w:rPr>
            </w:pPr>
          </w:p>
        </w:tc>
      </w:tr>
      <w:tr>
        <w:trPr>
          <w:trHeight w:val="183"/>
        </w:trPr>
        <w:tc>
          <w:tcPr>
            <w:tcW w:w="8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2022</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296,214</w:t>
            </w:r>
          </w:p>
        </w:tc>
        <w:tc>
          <w:tcPr>
            <w:tcW w:w="0" w:type="dxa"/>
            <w:vAlign w:val="bottom"/>
          </w:tcPr>
          <w:p>
            <w:pPr>
              <w:spacing w:after="0"/>
              <w:rPr>
                <w:sz w:val="1"/>
                <w:szCs w:val="1"/>
                <w:color w:val="auto"/>
              </w:rPr>
            </w:pPr>
          </w:p>
        </w:tc>
      </w:tr>
      <w:tr>
        <w:trPr>
          <w:trHeight w:val="180"/>
        </w:trPr>
        <w:tc>
          <w:tcPr>
            <w:tcW w:w="8320" w:type="dxa"/>
            <w:vAlign w:val="bottom"/>
          </w:tcPr>
          <w:p>
            <w:pPr>
              <w:ind w:left="20"/>
              <w:spacing w:after="0"/>
              <w:rPr>
                <w:sz w:val="20"/>
                <w:szCs w:val="20"/>
                <w:color w:val="auto"/>
              </w:rPr>
            </w:pPr>
            <w:r>
              <w:rPr>
                <w:rFonts w:ascii="Arial" w:cs="Arial" w:eastAsia="Arial" w:hAnsi="Arial"/>
                <w:sz w:val="14"/>
                <w:szCs w:val="14"/>
                <w:color w:val="auto"/>
              </w:rPr>
              <w:t>Adjustments to goodwill:</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83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 xml:space="preserve">Goodwill impairment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(11,895)</w:t>
            </w:r>
          </w:p>
        </w:tc>
        <w:tc>
          <w:tcPr>
            <w:tcW w:w="0" w:type="dxa"/>
            <w:vAlign w:val="bottom"/>
          </w:tcPr>
          <w:p>
            <w:pPr>
              <w:spacing w:after="0"/>
              <w:rPr>
                <w:sz w:val="1"/>
                <w:szCs w:val="1"/>
                <w:color w:val="auto"/>
              </w:rPr>
            </w:pPr>
          </w:p>
        </w:tc>
      </w:tr>
      <w:tr>
        <w:trPr>
          <w:trHeight w:val="180"/>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Foreign exchange adjustment</w:t>
            </w:r>
          </w:p>
        </w:tc>
        <w:tc>
          <w:tcPr>
            <w:tcW w:w="20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0" w:type="dxa"/>
            <w:vAlign w:val="bottom"/>
          </w:tcPr>
          <w:p>
            <w:pPr>
              <w:spacing w:after="0"/>
              <w:rPr>
                <w:sz w:val="1"/>
                <w:szCs w:val="1"/>
                <w:color w:val="auto"/>
              </w:rPr>
            </w:pPr>
          </w:p>
        </w:tc>
      </w:tr>
      <w:tr>
        <w:trPr>
          <w:trHeight w:val="196"/>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2023</w:t>
            </w:r>
          </w:p>
        </w:tc>
        <w:tc>
          <w:tcPr>
            <w:tcW w:w="20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283,759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tabs>
          <w:tab w:leader="none" w:pos="240" w:val="left"/>
        </w:tabs>
        <w:rPr>
          <w:sz w:val="20"/>
          <w:szCs w:val="20"/>
          <w:color w:val="auto"/>
        </w:rPr>
      </w:pPr>
      <w:r>
        <w:rPr>
          <w:rFonts w:ascii="Arial" w:cs="Arial" w:eastAsia="Arial" w:hAnsi="Arial"/>
          <w:sz w:val="11"/>
          <w:szCs w:val="11"/>
          <w:color w:val="auto"/>
        </w:rPr>
        <w:t>(1)</w:t>
        <w:tab/>
        <w:t>The amount represents the entire accumulated goodwill impairment balance as of September 30, 2023.</w:t>
      </w:r>
    </w:p>
    <w:p>
      <w:pPr>
        <w:spacing w:after="0" w:line="249"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Goodwill is not amortized, but is tested for impairment at the reporting unit level using either a qualitative or quantitative assessment on an annual basis during third quarter of each fiscal year, and whenever events or changes in circumstances indicate that the carrying value may not be recoverable. Impairment of goodwill is measured at the reporting unit level by comparing the carrying amount, including goodwill, to the fair market value of the reporting unit. As of September 30, 2023, our reporting units consisted of Business and WildHealth.</w:t>
      </w:r>
    </w:p>
    <w:p>
      <w:pPr>
        <w:spacing w:after="0" w:line="200" w:lineRule="exact"/>
        <w:rPr>
          <w:sz w:val="20"/>
          <w:szCs w:val="20"/>
          <w:color w:val="auto"/>
        </w:rPr>
      </w:pPr>
    </w:p>
    <w:p>
      <w:pPr>
        <w:spacing w:after="0" w:line="22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19" w:name="page20"/>
    <w:bookmarkEnd w:id="19"/>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In connection with the annual impairment test completed as of September 30, 2023 using the quantitative “Step 1” assessment, we determined the fair value of our reporting units, using both an income approach and a market approach. The income approach uses a discounted cash flow model that reflects our assumptions regarding revenue growth rates, operating margins, risk-adjusted discount rate, terminal period growth rate, economic and market trends and other expectations about the anticipated operating results of the reporting units. Under the market approach, we estimate the fair value based on market multiples of revenues derived from comparable publicly traded companies with operating characteristics similar to the reporting units.</w:t>
      </w:r>
    </w:p>
    <w:p>
      <w:pPr>
        <w:spacing w:after="0" w:line="15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Based on our 2023 annual goodwill impairment test, the Company recorded a non-cash impairment charge of $11.9 million in our condensed consolidated statements of operations, representing a portion of goodwill related to the WildHealth reporting unit. This conclusion was primarily based upon slower growth in existing revenue streams and strategic decisions to reduce or eliminate investment in new and existing revenue streams previously planned for expansion. Our latest available financial forecasts at the time of the annual goodwill impairment test reflected lower cash flows than previously projected related to the WildHealth reporting unit.</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impairments of our Business reporting unit, as the fair value of this reporting unit substantially exceeded its carrying value.</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 xml:space="preserve">In connection with the divestiture of Kasamba under the Consumer segment, the Company recorded a reduction to its goodwill of $8.0 million during the year ended December 31, 2022, based on the relative fair value of the segment. See Note 20 - </w:t>
      </w:r>
      <w:r>
        <w:rPr>
          <w:rFonts w:ascii="Arial" w:cs="Arial" w:eastAsia="Arial" w:hAnsi="Arial"/>
          <w:sz w:val="14"/>
          <w:szCs w:val="14"/>
          <w:i w:val="1"/>
          <w:iCs w:val="1"/>
          <w:color w:val="auto"/>
        </w:rPr>
        <w:t>Divestiture</w:t>
      </w:r>
      <w:r>
        <w:rPr>
          <w:rFonts w:ascii="Arial" w:cs="Arial" w:eastAsia="Arial" w:hAnsi="Arial"/>
          <w:sz w:val="14"/>
          <w:szCs w:val="14"/>
          <w:color w:val="auto"/>
        </w:rPr>
        <w:t>, for additional information.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Intangible assets are summarized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3"/>
                <w:szCs w:val="13"/>
                <w:b w:val="1"/>
                <w:bCs w:val="1"/>
                <w:color w:val="auto"/>
              </w:rPr>
              <w:t>As of September 30, 2023</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5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2"/>
          </w:tcPr>
          <w:p>
            <w:pPr>
              <w:jc w:val="center"/>
              <w:ind w:right="360"/>
              <w:spacing w:after="0" w:line="110" w:lineRule="exact"/>
              <w:rPr>
                <w:sz w:val="20"/>
                <w:szCs w:val="20"/>
                <w:color w:val="auto"/>
              </w:rPr>
            </w:pPr>
            <w:r>
              <w:rPr>
                <w:rFonts w:ascii="Arial" w:cs="Arial" w:eastAsia="Arial" w:hAnsi="Arial"/>
                <w:sz w:val="12"/>
                <w:szCs w:val="12"/>
                <w:b w:val="1"/>
                <w:bCs w:val="1"/>
                <w:color w:val="auto"/>
                <w:w w:val="92"/>
              </w:rPr>
              <w:t>Gross</w:t>
            </w:r>
          </w:p>
        </w:tc>
        <w:tc>
          <w:tcPr>
            <w:tcW w:w="200" w:type="dxa"/>
            <w:vAlign w:val="bottom"/>
          </w:tcPr>
          <w:p>
            <w:pPr>
              <w:spacing w:after="0"/>
              <w:rPr>
                <w:sz w:val="9"/>
                <w:szCs w:val="9"/>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Weighted</w:t>
            </w:r>
          </w:p>
        </w:tc>
        <w:tc>
          <w:tcPr>
            <w:tcW w:w="0" w:type="dxa"/>
            <w:vAlign w:val="bottom"/>
          </w:tcPr>
          <w:p>
            <w:pPr>
              <w:spacing w:after="0"/>
              <w:rPr>
                <w:sz w:val="1"/>
                <w:szCs w:val="1"/>
                <w:color w:val="auto"/>
              </w:rPr>
            </w:pPr>
          </w:p>
        </w:tc>
      </w:tr>
      <w:tr>
        <w:trPr>
          <w:trHeight w:val="127"/>
        </w:trPr>
        <w:tc>
          <w:tcPr>
            <w:tcW w:w="5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jc w:val="center"/>
              <w:ind w:right="380"/>
              <w:spacing w:after="0" w:line="128" w:lineRule="exact"/>
              <w:rPr>
                <w:sz w:val="20"/>
                <w:szCs w:val="20"/>
                <w:color w:val="auto"/>
              </w:rPr>
            </w:pPr>
            <w:r>
              <w:rPr>
                <w:rFonts w:ascii="Arial" w:cs="Arial" w:eastAsia="Arial" w:hAnsi="Arial"/>
                <w:sz w:val="13"/>
                <w:szCs w:val="13"/>
                <w:b w:val="1"/>
                <w:bCs w:val="1"/>
                <w:color w:val="auto"/>
                <w:w w:val="93"/>
              </w:rPr>
              <w:t>Carrying</w:t>
            </w:r>
          </w:p>
        </w:tc>
        <w:tc>
          <w:tcPr>
            <w:tcW w:w="2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91"/>
              </w:rPr>
              <w:t>Net Carrying Amount</w:t>
            </w:r>
          </w:p>
        </w:tc>
        <w:tc>
          <w:tcPr>
            <w:tcW w:w="10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12"/>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3"/>
              </w:rPr>
              <w:t>Amortization</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Useful Life</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color w:val="auto"/>
                <w:w w:val="91"/>
              </w:rPr>
              <w:t>(In thousands)</w:t>
            </w: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4"/>
              </w:rPr>
              <w:t>(In years)</w:t>
            </w:r>
          </w:p>
        </w:tc>
        <w:tc>
          <w:tcPr>
            <w:tcW w:w="0" w:type="dxa"/>
            <w:vAlign w:val="bottom"/>
          </w:tcPr>
          <w:p>
            <w:pPr>
              <w:spacing w:after="0"/>
              <w:rPr>
                <w:sz w:val="1"/>
                <w:szCs w:val="1"/>
                <w:color w:val="auto"/>
              </w:rPr>
            </w:pPr>
          </w:p>
        </w:tc>
      </w:tr>
      <w:tr>
        <w:trPr>
          <w:trHeight w:val="187"/>
        </w:trPr>
        <w:tc>
          <w:tcPr>
            <w:tcW w:w="5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Amortizing intangible assets:</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28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97,475</w:t>
            </w:r>
          </w:p>
        </w:tc>
        <w:tc>
          <w:tcPr>
            <w:tcW w:w="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(59,936)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37,539</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Customer relationships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13,022</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10.0</w:t>
            </w:r>
          </w:p>
        </w:tc>
        <w:tc>
          <w:tcPr>
            <w:tcW w:w="0" w:type="dxa"/>
            <w:vAlign w:val="bottom"/>
          </w:tcPr>
          <w:p>
            <w:pPr>
              <w:spacing w:after="0"/>
              <w:rPr>
                <w:sz w:val="1"/>
                <w:szCs w:val="1"/>
                <w:color w:val="auto"/>
              </w:rPr>
            </w:pPr>
          </w:p>
        </w:tc>
      </w:tr>
      <w:tr>
        <w:trPr>
          <w:trHeight w:val="180"/>
        </w:trPr>
        <w:tc>
          <w:tcPr>
            <w:tcW w:w="5280" w:type="dxa"/>
            <w:vAlign w:val="bottom"/>
          </w:tcPr>
          <w:p>
            <w:pPr>
              <w:ind w:left="120"/>
              <w:spacing w:after="0"/>
              <w:rPr>
                <w:sz w:val="20"/>
                <w:szCs w:val="20"/>
                <w:color w:val="auto"/>
              </w:rPr>
            </w:pPr>
            <w:r>
              <w:rPr>
                <w:rFonts w:ascii="Arial" w:cs="Arial" w:eastAsia="Arial" w:hAnsi="Arial"/>
                <w:sz w:val="14"/>
                <w:szCs w:val="14"/>
                <w:color w:val="auto"/>
              </w:rPr>
              <w:t>Patents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14,342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12,572</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5"/>
              </w:rPr>
              <w:t>12.9</w:t>
            </w:r>
          </w:p>
        </w:tc>
        <w:tc>
          <w:tcPr>
            <w:tcW w:w="0" w:type="dxa"/>
            <w:vAlign w:val="bottom"/>
          </w:tcPr>
          <w:p>
            <w:pPr>
              <w:spacing w:after="0"/>
              <w:rPr>
                <w:sz w:val="1"/>
                <w:szCs w:val="1"/>
                <w:color w:val="auto"/>
              </w:rPr>
            </w:pPr>
          </w:p>
        </w:tc>
      </w:tr>
      <w:tr>
        <w:trPr>
          <w:trHeight w:val="181"/>
        </w:trPr>
        <w:tc>
          <w:tcPr>
            <w:tcW w:w="5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Trademarks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280" w:type="dxa"/>
            <w:vAlign w:val="bottom"/>
          </w:tcPr>
          <w:p>
            <w:pPr>
              <w:ind w:left="120"/>
              <w:spacing w:after="0"/>
              <w:rPr>
                <w:sz w:val="20"/>
                <w:szCs w:val="20"/>
                <w:color w:val="auto"/>
              </w:rPr>
            </w:pPr>
            <w:r>
              <w:rPr>
                <w:rFonts w:ascii="Arial" w:cs="Arial" w:eastAsia="Arial" w:hAnsi="Arial"/>
                <w:sz w:val="14"/>
                <w:szCs w:val="14"/>
                <w:color w:val="auto"/>
              </w:rPr>
              <w:t>Trade names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417</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80"/>
        </w:trPr>
        <w:tc>
          <w:tcPr>
            <w:tcW w:w="5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71"/>
        </w:trPr>
        <w:tc>
          <w:tcPr>
            <w:tcW w:w="5280" w:type="dxa"/>
            <w:vAlign w:val="bottom"/>
          </w:tcPr>
          <w:p>
            <w:pPr>
              <w:ind w:left="1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147,029</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(82,248)</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64,781</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0" w:name="page21"/>
    <w:bookmarkEnd w:id="20"/>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3"/>
                <w:szCs w:val="13"/>
                <w:b w:val="1"/>
                <w:bCs w:val="1"/>
                <w:color w:val="auto"/>
              </w:rPr>
              <w:t>As of December 31, 2022</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3"/>
                <w:szCs w:val="13"/>
                <w:b w:val="1"/>
                <w:bCs w:val="1"/>
                <w:color w:val="auto"/>
                <w:w w:val="85"/>
              </w:rPr>
              <w:t>Gross</w:t>
            </w:r>
          </w:p>
        </w:tc>
        <w:tc>
          <w:tcPr>
            <w:tcW w:w="220" w:type="dxa"/>
            <w:vAlign w:val="bottom"/>
          </w:tcPr>
          <w:p>
            <w:pPr>
              <w:spacing w:after="0"/>
              <w:rPr>
                <w:sz w:val="11"/>
                <w:szCs w:val="11"/>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60"/>
              <w:spacing w:after="0" w:line="128" w:lineRule="exact"/>
              <w:rPr>
                <w:sz w:val="20"/>
                <w:szCs w:val="20"/>
                <w:color w:val="auto"/>
              </w:rPr>
            </w:pPr>
            <w:r>
              <w:rPr>
                <w:rFonts w:ascii="Arial" w:cs="Arial" w:eastAsia="Arial" w:hAnsi="Arial"/>
                <w:sz w:val="13"/>
                <w:szCs w:val="13"/>
                <w:b w:val="1"/>
                <w:bCs w:val="1"/>
                <w:color w:val="auto"/>
                <w:w w:val="93"/>
              </w:rPr>
              <w:t>Carrying</w:t>
            </w:r>
          </w:p>
        </w:tc>
        <w:tc>
          <w:tcPr>
            <w:tcW w:w="22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w w:val="91"/>
              </w:rPr>
              <w:t>Net Carrying Amount</w:t>
            </w:r>
          </w:p>
        </w:tc>
        <w:tc>
          <w:tcPr>
            <w:tcW w:w="100" w:type="dxa"/>
            <w:vAlign w:val="bottom"/>
          </w:tcPr>
          <w:p>
            <w:pPr>
              <w:spacing w:after="0"/>
              <w:rPr>
                <w:sz w:val="11"/>
                <w:szCs w:val="11"/>
                <w:color w:val="auto"/>
              </w:rPr>
            </w:pPr>
          </w:p>
        </w:tc>
        <w:tc>
          <w:tcPr>
            <w:tcW w:w="1420" w:type="dxa"/>
            <w:vAlign w:val="bottom"/>
          </w:tcPr>
          <w:p>
            <w:pPr>
              <w:jc w:val="center"/>
              <w:spacing w:after="0" w:line="128"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59"/>
        </w:trPr>
        <w:tc>
          <w:tcPr>
            <w:tcW w:w="5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211"/>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Useful Life</w:t>
            </w:r>
          </w:p>
        </w:tc>
        <w:tc>
          <w:tcPr>
            <w:tcW w:w="0" w:type="dxa"/>
            <w:vAlign w:val="bottom"/>
          </w:tcPr>
          <w:p>
            <w:pPr>
              <w:spacing w:after="0"/>
              <w:rPr>
                <w:sz w:val="1"/>
                <w:szCs w:val="1"/>
                <w:color w:val="auto"/>
              </w:rPr>
            </w:pPr>
          </w:p>
        </w:tc>
      </w:tr>
      <w:tr>
        <w:trPr>
          <w:trHeight w:val="190"/>
        </w:trPr>
        <w:tc>
          <w:tcPr>
            <w:tcW w:w="5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120"/>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90"/>
              </w:rPr>
              <w:t>(In years)</w:t>
            </w:r>
          </w:p>
        </w:tc>
        <w:tc>
          <w:tcPr>
            <w:tcW w:w="0" w:type="dxa"/>
            <w:vAlign w:val="bottom"/>
          </w:tcPr>
          <w:p>
            <w:pPr>
              <w:spacing w:after="0"/>
              <w:rPr>
                <w:sz w:val="1"/>
                <w:szCs w:val="1"/>
                <w:color w:val="auto"/>
              </w:rPr>
            </w:pPr>
          </w:p>
        </w:tc>
      </w:tr>
      <w:tr>
        <w:trPr>
          <w:trHeight w:val="183"/>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Amortizing intangible assets: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97,454</w:t>
            </w:r>
          </w:p>
        </w:tc>
        <w:tc>
          <w:tcPr>
            <w:tcW w:w="10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(45,907)</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51,547</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Customer relationships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31,987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14,595</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5"/>
              </w:rPr>
              <w:t>10.0</w:t>
            </w:r>
          </w:p>
        </w:tc>
        <w:tc>
          <w:tcPr>
            <w:tcW w:w="0" w:type="dxa"/>
            <w:vAlign w:val="bottom"/>
          </w:tcPr>
          <w:p>
            <w:pPr>
              <w:spacing w:after="0"/>
              <w:rPr>
                <w:sz w:val="1"/>
                <w:szCs w:val="1"/>
                <w:color w:val="auto"/>
              </w:rPr>
            </w:pPr>
          </w:p>
        </w:tc>
      </w:tr>
      <w:tr>
        <w:trPr>
          <w:trHeight w:val="180"/>
        </w:trPr>
        <w:tc>
          <w:tcPr>
            <w:tcW w:w="5260" w:type="dxa"/>
            <w:vAlign w:val="bottom"/>
          </w:tcPr>
          <w:p>
            <w:pPr>
              <w:ind w:left="120"/>
              <w:spacing w:after="0"/>
              <w:rPr>
                <w:sz w:val="20"/>
                <w:szCs w:val="20"/>
                <w:color w:val="auto"/>
              </w:rPr>
            </w:pPr>
            <w:r>
              <w:rPr>
                <w:rFonts w:ascii="Arial" w:cs="Arial" w:eastAsia="Arial" w:hAnsi="Arial"/>
                <w:sz w:val="14"/>
                <w:szCs w:val="14"/>
                <w:color w:val="auto"/>
              </w:rPr>
              <w:t>Patents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11,088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9,669</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5"/>
              </w:rPr>
              <w:t>12.8</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Trademarks</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5.0</w:t>
            </w:r>
          </w:p>
        </w:tc>
        <w:tc>
          <w:tcPr>
            <w:tcW w:w="0" w:type="dxa"/>
            <w:vAlign w:val="bottom"/>
          </w:tcPr>
          <w:p>
            <w:pPr>
              <w:spacing w:after="0"/>
              <w:rPr>
                <w:sz w:val="1"/>
                <w:szCs w:val="1"/>
                <w:color w:val="auto"/>
              </w:rPr>
            </w:pPr>
          </w:p>
        </w:tc>
      </w:tr>
      <w:tr>
        <w:trPr>
          <w:trHeight w:val="180"/>
        </w:trPr>
        <w:tc>
          <w:tcPr>
            <w:tcW w:w="5260" w:type="dxa"/>
            <w:vAlign w:val="bottom"/>
          </w:tcPr>
          <w:p>
            <w:pPr>
              <w:ind w:left="120"/>
              <w:spacing w:after="0"/>
              <w:rPr>
                <w:sz w:val="20"/>
                <w:szCs w:val="20"/>
                <w:color w:val="auto"/>
              </w:rPr>
            </w:pPr>
            <w:r>
              <w:rPr>
                <w:rFonts w:ascii="Arial" w:cs="Arial" w:eastAsia="Arial" w:hAnsi="Arial"/>
                <w:sz w:val="14"/>
                <w:szCs w:val="14"/>
                <w:color w:val="auto"/>
              </w:rPr>
              <w:t>Trade names</w:t>
            </w: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976</w:t>
            </w:r>
          </w:p>
        </w:tc>
        <w:tc>
          <w:tcPr>
            <w:tcW w:w="1520" w:type="dxa"/>
            <w:vAlign w:val="bottom"/>
            <w:gridSpan w:val="2"/>
          </w:tcPr>
          <w:p>
            <w:pPr>
              <w:jc w:val="center"/>
              <w:ind w:left="29"/>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180"/>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520" w:type="dxa"/>
            <w:vAlign w:val="bottom"/>
            <w:gridSpan w:val="2"/>
            <w:shd w:val="clear" w:color="auto" w:fill="CCEEFF"/>
          </w:tcPr>
          <w:p>
            <w:pPr>
              <w:jc w:val="center"/>
              <w:ind w:left="29"/>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171"/>
        </w:trPr>
        <w:tc>
          <w:tcPr>
            <w:tcW w:w="5260" w:type="dxa"/>
            <w:vAlign w:val="bottom"/>
          </w:tcPr>
          <w:p>
            <w:pPr>
              <w:ind w:left="1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143,930</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(65,827)</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78,103</w:t>
            </w: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Amortization expense is calculated over the estimated useful life of the asset. Aggregate amortization expense for intangible assets and finance leases, net, including impairments, was $8.4 million and $5.7 million for the three months ended September 30, 2023 and 2022, respectively, and $19.3 million and $16.5 million for the nine months ended September 30, 2023 and 2022, respectively, a portion of this amortization was included in cost of revenue in the condensed consolidated statements of operations.</w:t>
      </w:r>
    </w:p>
    <w:p>
      <w:pPr>
        <w:spacing w:after="0" w:line="163"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Our intangible assets are tested for impairment whenever events or changes in circumstances indicate that the carrying amount of the asset or asset group may not be recoverable and the carrying amount of the asset exceeds the estimated expected undiscounted future cash flows that are expected to result from the use of the asset. Based on our impairment test as of September 30, 2023, the Company recognized a immaterial non-cash impairment charge of $3.0 million in the cost of revenue line in our condensed consolidated statements of operations, related to our intangible assets - developed technology associated with WildHealth, due to updated forecasts as explained above. The fair value of our intangible assets as of September 30, 2023 was estimated using a relief from royalty method. A terminal multiple was applied on an assumed sale of the asset group subsequent to the life of the primary asset.</w:t>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impairments of intangible assets during the three and nine months ended September 30, 2022.</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 of September 30, 2023, estimated annual amortization expense for the next five years and thereafter is as follows:</w:t>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9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right="51"/>
              <w:spacing w:after="0"/>
              <w:rPr>
                <w:sz w:val="20"/>
                <w:szCs w:val="20"/>
                <w:color w:val="auto"/>
              </w:rPr>
            </w:pPr>
            <w:r>
              <w:rPr>
                <w:rFonts w:ascii="Arial" w:cs="Arial" w:eastAsia="Arial" w:hAnsi="Arial"/>
                <w:sz w:val="13"/>
                <w:szCs w:val="13"/>
                <w:b w:val="1"/>
                <w:bCs w:val="1"/>
                <w:color w:val="auto"/>
                <w:w w:val="90"/>
              </w:rPr>
              <w:t>Estimated Amortization</w:t>
            </w:r>
          </w:p>
        </w:tc>
      </w:tr>
      <w:tr>
        <w:trPr>
          <w:trHeight w:val="168"/>
        </w:trPr>
        <w:tc>
          <w:tcPr>
            <w:tcW w:w="9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2"/>
              </w:rPr>
              <w:t>Expense</w:t>
            </w:r>
          </w:p>
        </w:tc>
      </w:tr>
      <w:tr>
        <w:trPr>
          <w:trHeight w:val="160"/>
        </w:trPr>
        <w:tc>
          <w:tcPr>
            <w:tcW w:w="9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right="51"/>
              <w:spacing w:after="0"/>
              <w:rPr>
                <w:sz w:val="20"/>
                <w:szCs w:val="20"/>
                <w:color w:val="auto"/>
              </w:rPr>
            </w:pPr>
            <w:r>
              <w:rPr>
                <w:rFonts w:ascii="Arial" w:cs="Arial" w:eastAsia="Arial" w:hAnsi="Arial"/>
                <w:sz w:val="13"/>
                <w:szCs w:val="13"/>
                <w:color w:val="auto"/>
                <w:w w:val="86"/>
              </w:rPr>
              <w:t>(In thousands)</w:t>
            </w:r>
          </w:p>
        </w:tc>
      </w:tr>
      <w:tr>
        <w:trPr>
          <w:trHeight w:val="183"/>
        </w:trPr>
        <w:tc>
          <w:tcPr>
            <w:tcW w:w="9140" w:type="dxa"/>
            <w:vAlign w:val="bottom"/>
            <w:shd w:val="clear" w:color="auto" w:fill="CCEEFF"/>
          </w:tcPr>
          <w:p>
            <w:pPr>
              <w:spacing w:after="0"/>
              <w:rPr>
                <w:sz w:val="20"/>
                <w:szCs w:val="20"/>
                <w:color w:val="auto"/>
              </w:rPr>
            </w:pPr>
            <w:r>
              <w:rPr>
                <w:rFonts w:ascii="Arial" w:cs="Arial" w:eastAsia="Arial" w:hAnsi="Arial"/>
                <w:sz w:val="14"/>
                <w:szCs w:val="14"/>
                <w:color w:val="auto"/>
              </w:rPr>
              <w:t>Remainder of 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4,283</w:t>
            </w:r>
          </w:p>
        </w:tc>
      </w:tr>
      <w:tr>
        <w:trPr>
          <w:trHeight w:val="180"/>
        </w:trPr>
        <w:tc>
          <w:tcPr>
            <w:tcW w:w="9140" w:type="dxa"/>
            <w:vAlign w:val="bottom"/>
          </w:tcPr>
          <w:p>
            <w:pPr>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15,355</w:t>
            </w:r>
          </w:p>
        </w:tc>
      </w:tr>
      <w:tr>
        <w:trPr>
          <w:trHeight w:val="181"/>
        </w:trPr>
        <w:tc>
          <w:tcPr>
            <w:tcW w:w="9140" w:type="dxa"/>
            <w:vAlign w:val="bottom"/>
            <w:shd w:val="clear" w:color="auto" w:fill="CCEEFF"/>
          </w:tcPr>
          <w:p>
            <w:pPr>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14,912</w:t>
            </w:r>
          </w:p>
        </w:tc>
      </w:tr>
      <w:tr>
        <w:trPr>
          <w:trHeight w:val="180"/>
        </w:trPr>
        <w:tc>
          <w:tcPr>
            <w:tcW w:w="9140" w:type="dxa"/>
            <w:vAlign w:val="bottom"/>
          </w:tcPr>
          <w:p>
            <w:pPr>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12,211</w:t>
            </w:r>
          </w:p>
        </w:tc>
      </w:tr>
      <w:tr>
        <w:trPr>
          <w:trHeight w:val="181"/>
        </w:trPr>
        <w:tc>
          <w:tcPr>
            <w:tcW w:w="9140" w:type="dxa"/>
            <w:vAlign w:val="bottom"/>
            <w:shd w:val="clear" w:color="auto" w:fill="CCEEFF"/>
          </w:tcPr>
          <w:p>
            <w:pPr>
              <w:spacing w:after="0"/>
              <w:rPr>
                <w:sz w:val="20"/>
                <w:szCs w:val="20"/>
                <w:color w:val="auto"/>
              </w:rPr>
            </w:pPr>
            <w:r>
              <w:rPr>
                <w:rFonts w:ascii="Arial" w:cs="Arial" w:eastAsia="Arial" w:hAnsi="Arial"/>
                <w:sz w:val="14"/>
                <w:szCs w:val="14"/>
                <w:color w:val="auto"/>
              </w:rPr>
              <w:t>2027</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1,436</w:t>
            </w:r>
          </w:p>
        </w:tc>
      </w:tr>
      <w:tr>
        <w:trPr>
          <w:trHeight w:val="180"/>
        </w:trPr>
        <w:tc>
          <w:tcPr>
            <w:tcW w:w="9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16,584</w:t>
            </w:r>
          </w:p>
        </w:tc>
      </w:tr>
      <w:tr>
        <w:trPr>
          <w:trHeight w:val="196"/>
        </w:trPr>
        <w:tc>
          <w:tcPr>
            <w:tcW w:w="91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64,781</w:t>
            </w:r>
          </w:p>
        </w:tc>
      </w:tr>
      <w:tr>
        <w:trPr>
          <w:trHeight w:val="20"/>
        </w:trPr>
        <w:tc>
          <w:tcPr>
            <w:tcW w:w="9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1" w:name="page22"/>
    <w:bookmarkEnd w:id="21"/>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Property and Equipment, Net</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detail of property and equipment, net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3"/>
                <w:szCs w:val="13"/>
                <w:color w:val="auto"/>
              </w:rPr>
            </w:pPr>
          </w:p>
        </w:tc>
        <w:tc>
          <w:tcPr>
            <w:tcW w:w="1160" w:type="dxa"/>
            <w:vAlign w:val="bottom"/>
          </w:tcPr>
          <w:p>
            <w:pPr>
              <w:jc w:val="right"/>
              <w:ind w:right="311"/>
              <w:spacing w:after="0"/>
              <w:rPr>
                <w:sz w:val="20"/>
                <w:szCs w:val="20"/>
                <w:color w:val="auto"/>
              </w:rPr>
            </w:pPr>
            <w:r>
              <w:rPr>
                <w:rFonts w:ascii="Arial" w:cs="Arial" w:eastAsia="Arial" w:hAnsi="Arial"/>
                <w:sz w:val="13"/>
                <w:szCs w:val="13"/>
                <w:b w:val="1"/>
                <w:bCs w:val="1"/>
                <w:color w:val="auto"/>
                <w:w w:val="89"/>
              </w:rPr>
              <w:t>December 31,</w:t>
            </w:r>
          </w:p>
        </w:tc>
      </w:tr>
      <w:tr>
        <w:trPr>
          <w:trHeight w:val="168"/>
        </w:trPr>
        <w:tc>
          <w:tcPr>
            <w:tcW w:w="8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2022</w:t>
            </w:r>
          </w:p>
        </w:tc>
      </w:tr>
      <w:tr>
        <w:trPr>
          <w:trHeight w:val="198"/>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1160" w:type="dxa"/>
            <w:vAlign w:val="bottom"/>
          </w:tcPr>
          <w:p>
            <w:pPr>
              <w:spacing w:after="0"/>
              <w:rPr>
                <w:sz w:val="17"/>
                <w:szCs w:val="17"/>
                <w:color w:val="auto"/>
              </w:rPr>
            </w:pPr>
          </w:p>
        </w:tc>
      </w:tr>
      <w:tr>
        <w:trPr>
          <w:trHeight w:val="18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Computer equipment and software</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121,658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128,206</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Internal-use software development costs</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180,812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161,633</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right of use assets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Furniture, equipment, and building improvements</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w:t>
            </w:r>
          </w:p>
        </w:tc>
      </w:tr>
      <w:tr>
        <w:trPr>
          <w:trHeight w:val="171"/>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at cost</w:t>
            </w:r>
          </w:p>
        </w:tc>
        <w:tc>
          <w:tcPr>
            <w:tcW w:w="2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303,111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293,428</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(179,643)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(155,706)</w:t>
            </w:r>
          </w:p>
        </w:tc>
      </w:tr>
      <w:tr>
        <w:trPr>
          <w:trHeight w:val="171"/>
        </w:trPr>
        <w:tc>
          <w:tcPr>
            <w:tcW w:w="8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137,722</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Less: assets held for sale</w:t>
            </w:r>
          </w:p>
        </w:tc>
        <w:tc>
          <w:tcPr>
            <w:tcW w:w="22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(11,223)</w:t>
            </w:r>
          </w:p>
        </w:tc>
      </w:tr>
      <w:tr>
        <w:trPr>
          <w:trHeight w:val="196"/>
        </w:trPr>
        <w:tc>
          <w:tcPr>
            <w:tcW w:w="81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Property and equipment, net</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123,468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Depreciation and amortization expense of property and equipment was $7.8 million and $7.1 million during the three months ended September 30, 2023 and 2022, respectively, and $24.9 million and $21.4 million during the nine months ended September 30, 2023 and 2022, respectively.</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impairments of property and equipment during the three and nine months ended September 30, 2023 and 2022.</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Accrued Expenses and Other Current Liabilities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presents the detail of accrued expenses and other current liabilities for the periods presented: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2"/>
                <w:szCs w:val="12"/>
                <w:color w:val="auto"/>
              </w:rPr>
            </w:pPr>
          </w:p>
        </w:tc>
        <w:tc>
          <w:tcPr>
            <w:tcW w:w="1160" w:type="dxa"/>
            <w:vAlign w:val="bottom"/>
          </w:tcPr>
          <w:p>
            <w:pPr>
              <w:jc w:val="right"/>
              <w:ind w:right="311"/>
              <w:spacing w:after="0"/>
              <w:rPr>
                <w:sz w:val="20"/>
                <w:szCs w:val="20"/>
                <w:color w:val="auto"/>
              </w:rPr>
            </w:pPr>
            <w:r>
              <w:rPr>
                <w:rFonts w:ascii="Arial" w:cs="Arial" w:eastAsia="Arial" w:hAnsi="Arial"/>
                <w:sz w:val="13"/>
                <w:szCs w:val="13"/>
                <w:b w:val="1"/>
                <w:bCs w:val="1"/>
                <w:color w:val="auto"/>
                <w:w w:val="89"/>
              </w:rPr>
              <w:t>December 31,</w:t>
            </w:r>
          </w:p>
        </w:tc>
      </w:tr>
      <w:tr>
        <w:trPr>
          <w:trHeight w:val="168"/>
        </w:trPr>
        <w:tc>
          <w:tcPr>
            <w:tcW w:w="8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2022</w:t>
            </w:r>
          </w:p>
        </w:tc>
      </w:tr>
      <w:tr>
        <w:trPr>
          <w:trHeight w:val="198"/>
        </w:trPr>
        <w:tc>
          <w:tcPr>
            <w:tcW w:w="8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1160" w:type="dxa"/>
            <w:vAlign w:val="bottom"/>
          </w:tcPr>
          <w:p>
            <w:pPr>
              <w:spacing w:after="0"/>
              <w:rPr>
                <w:sz w:val="17"/>
                <w:szCs w:val="17"/>
                <w:color w:val="auto"/>
              </w:rPr>
            </w:pPr>
          </w:p>
        </w:tc>
      </w:tr>
      <w:tr>
        <w:trPr>
          <w:trHeight w:val="187"/>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Professional services and consulting and other vendor fees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63,890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51,067</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Short-term contingent earn-out</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32,364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47,819</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Payroll and other employee-related costs</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20,798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19,182</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Restructuring</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2,160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803</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 Income tax</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1,148</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Sales commissions</w:t>
            </w:r>
          </w:p>
        </w:tc>
        <w:tc>
          <w:tcPr>
            <w:tcW w:w="2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4,402</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Financing lease liability</w:t>
            </w:r>
          </w:p>
        </w:tc>
        <w:tc>
          <w:tcPr>
            <w:tcW w:w="2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2,254</w:t>
            </w:r>
          </w:p>
        </w:tc>
      </w:tr>
      <w:tr>
        <w:trPr>
          <w:trHeight w:val="196"/>
        </w:trPr>
        <w:tc>
          <w:tcPr>
            <w:tcW w:w="8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accrued expenses and other current liabilities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123,132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129,244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Convertible Senior Notes, Net and Capped Call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Senior Notes due 2024 and Capped Calls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 March 2019, the Company issued $230.0 million aggregate principal amount of its 0.750% Convertible Senior Notes due 2024 (the “2024 Notes”) in a private placement. Interest on the 2024 Notes is payable semi-annually in arrears on March 1 and September 1 of each year.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2" w:name="page23"/>
    <w:bookmarkEnd w:id="22"/>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2024 Notes will mature on March 1, 2024, unless earlier repurchased or redeemed by the Company or converted pursuant to their terms. The total net proceeds from the offering of the 2024 Notes, after deducting debt issuance costs, was approximately $221.4 million.</w:t>
      </w:r>
    </w:p>
    <w:p>
      <w:pPr>
        <w:spacing w:after="0" w:line="1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2024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72" w:lineRule="exact"/>
        <w:rPr>
          <w:sz w:val="20"/>
          <w:szCs w:val="20"/>
          <w:color w:val="auto"/>
        </w:rPr>
      </w:pPr>
    </w:p>
    <w:p>
      <w:pPr>
        <w:jc w:val="both"/>
        <w:ind w:firstLine="509"/>
        <w:spacing w:after="0" w:line="304" w:lineRule="auto"/>
        <w:rPr>
          <w:sz w:val="20"/>
          <w:szCs w:val="20"/>
          <w:color w:val="auto"/>
        </w:rPr>
      </w:pPr>
      <w:r>
        <w:rPr>
          <w:rFonts w:ascii="Arial" w:cs="Arial" w:eastAsia="Arial" w:hAnsi="Arial"/>
          <w:sz w:val="12"/>
          <w:szCs w:val="12"/>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three and nine months ended September 30, 2023, the conditions allowing holders of the 2024 Notes to convert were not met.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2024 Notes are senior unsecured obligations of the Company.</w:t>
      </w:r>
    </w:p>
    <w:p>
      <w:pPr>
        <w:spacing w:after="0" w:line="20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Prior to the adoption of ASU 2020-06 on January 1, 2022, the Company separated the 2024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$52.9 million and was determined by deducting the fair value of the liability component from the par value of the 2024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2024 Notes. This accounting treatment no longer applies under ASU 2020-06.</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Prior to the adoption of ASU 2020-06 on January 1, 2022, the Company allocated the total amount of issuance costs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were amortized to interest expense using the effective interest method over the contractual term of the 2024 Notes. Issuance costs attributable to the equity component were approximately $2.0 million and recorded as a reduction of additional paid in capital in stockholders’ equity. This accounting treatment no longer applies under ASU 2020-06.</w:t>
      </w:r>
    </w:p>
    <w:p>
      <w:pPr>
        <w:spacing w:after="0" w:line="16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As a result of the adoption of ASU 2020-06, the 2024 Notes are accounted for as a single liability, and the carrying amount of the 2024 Notes, after giving effect to the March 2023 repurchases described below, is $72.2 million as of September 30, 2023, consisting of principal of $72.5 million, net of unamortized debt issuance costs of $0.3 million. The 2024 Notes were classified as short term liabilities in the accompanying condensed consolidated balance sheets as of September 30,</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3" w:name="page24"/>
    <w:bookmarkEnd w:id="23"/>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color w:val="auto"/>
        </w:rPr>
        <w:t>2023. The remaining term over which the 2024 Notes’ debt issuance costs will be amortized is 0.4 years at an effective interest rate of 1.57% for the three months ended September 30, 2023.</w:t>
      </w:r>
    </w:p>
    <w:p>
      <w:pPr>
        <w:spacing w:after="0" w:line="211"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In connection with the offering of the 2024 Notes, the Company entered into privately-negotiated capped call option transactions with certain counterparties (the “2024 capped calls”).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condensed consolidated balance sheets.</w:t>
      </w:r>
    </w:p>
    <w:p>
      <w:pPr>
        <w:spacing w:after="0" w:line="16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On March 21, 2023, the Company entered into individual privately negotiated transactions (the “Note Repurchase Agreements”) with certain holders of its 2024 Notes, pursuant to which the Company agreed to pay an aggregate of approximately $149.7 million in cash for the repurchase of approximately $157.5 million in aggregate principal amount of the 2024 Notes (the “Note Repurchases”). As of September 30, 2023, the Company recognized a $7.2 million gain, net of transaction costs of $0.5 million on debt extinguishment, which represented the difference between the carrying value and the fair value of the 2024 Notes just prior to Note Repurchases.</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Upon completion of the Note Repurchases, the aggregate principal amount of the 2024 Notes was reduced by $157.5 million to $72.5 million and the carrying amount of the 2024 Notes reduced by $228.3 million to $72.0 million. A corresponding portion of the 2024 capped calls were terminated in connection following the Note Repurchases as required by their terms for minimal consideration.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Convertible Senior Notes due 2026 and Capped Calls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 December 2020, the Company issued $517.5 million aggregate principal amount of its 0% Convertible Senior Notes due 2026 (the “2026 Notes” and together with the 2024 Notes, the “Notes”) in a private placement.</w:t>
      </w:r>
    </w:p>
    <w:p>
      <w:pPr>
        <w:spacing w:after="0" w:line="15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2026 Notes will mature on December 15, 2026, unless earlier repurchased or redeemed by the Company or converted pursuant to their terms. The total net proceeds from the offering of the 2026 Notes, after deducting debt issuance costs, was approximately $505.3 million.</w:t>
      </w:r>
    </w:p>
    <w:p>
      <w:pPr>
        <w:spacing w:after="0" w:line="15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Each $1,000 in principal amount of the 2026 Notes is initially convertible into 13.2933 shares of the Company’s common stock par value $0.001, which is equivalent to an initial conversion price of approximately $75.23 per share. The conversion 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2026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7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w:t>
      </w:r>
    </w:p>
    <w:p>
      <w:pPr>
        <w:spacing w:after="0" w:line="200" w:lineRule="exact"/>
        <w:rPr>
          <w:sz w:val="20"/>
          <w:szCs w:val="20"/>
          <w:color w:val="auto"/>
        </w:rPr>
      </w:pPr>
    </w:p>
    <w:p>
      <w:pPr>
        <w:spacing w:after="0" w:line="2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4" w:name="page25"/>
    <w:bookmarkEnd w:id="24"/>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2026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During the three and nine months ended September 30, 2023, the conditions allowing holders of the 2026 Notes to convert were not met.</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2026 Notes are senior unsecured obligations of the Company.</w:t>
      </w:r>
    </w:p>
    <w:p>
      <w:pPr>
        <w:spacing w:after="0" w:line="20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Prior to the adoption of ASU 2020-06 on January 1, 2022, the Company separated the 2026 Notes into liability and equity components. The carrying amount of the liability component was calculated by measuring the fair value of a similar debt instrument that did not have an associated convertible feature. The carrying amount of the equity component representing the conversion option was $162.5 million and was determined by deducting the fair value of the liability component from the par value of the 2026 Notes. The equity component was not remeasured as long as it continued to meet the conditions for equity classification. The excess of the principal amount of the liability component over its carrying amount, or the debt discount, was amortized to interest expense at an effective interest rate over the contractual term of the 2026 Notes. This accounting treatment no longer applies under ASU 2020-06.</w:t>
      </w:r>
    </w:p>
    <w:p>
      <w:pPr>
        <w:spacing w:after="0" w:line="15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Prior to the adoption of ASU 2020-06 on January 1, 2022, the Company allocated the total amount of issuance costs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 of the 2026 Notes. Issuance costs attributable to the equity component were approximately $3.7 million and recorded as a reduction of additional paid in capital in stockholders’ equity. This accounting treatment no longer applies under ASU 2020-06.</w:t>
      </w:r>
    </w:p>
    <w:p>
      <w:pPr>
        <w:spacing w:after="0" w:line="168"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a result of the adoption of ASU 2020-06, the 2026 Notes are accounted for as a single liability, and the carrying amount of the 2026 Notes is $511.1 million as of September 30, 2023, consisting of principal of $517.5 million, net of unamortized issuance costs of $6.4 million. The 2026 Notes were classified as long term liabilities in the accompanying condensed consolidated balance sheets as of September 30, 2023. The remaining term over which the 2026 Notes’ debt issuance costs will be amortized is 3.2 years at an effective interest rate of 0.40% for the three months ended September 30, 2023.</w:t>
      </w:r>
    </w:p>
    <w:p>
      <w:pPr>
        <w:spacing w:after="0" w:line="167"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In connection with the offering of the 2026 Notes, the Company entered into privately-negotiated capped call option transactions with certain counterparties (the “2026 capped calls”).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 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5" w:name="page26"/>
    <w:bookmarkEnd w:id="25"/>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net carrying amount of the liability component of the Notes as of September 30, 2023 and December 31, 2022 was as follows: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4"/>
          </w:tcPr>
          <w:p>
            <w:pPr>
              <w:ind w:left="100"/>
              <w:spacing w:after="0"/>
              <w:rPr>
                <w:sz w:val="20"/>
                <w:szCs w:val="20"/>
                <w:color w:val="auto"/>
              </w:rPr>
            </w:pPr>
            <w:r>
              <w:rPr>
                <w:rFonts w:ascii="Arial" w:cs="Arial" w:eastAsia="Arial" w:hAnsi="Arial"/>
                <w:sz w:val="13"/>
                <w:szCs w:val="13"/>
                <w:b w:val="1"/>
                <w:bCs w:val="1"/>
                <w:color w:val="auto"/>
              </w:rPr>
              <w:t>September 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31"/>
              <w:spacing w:after="0"/>
              <w:rPr>
                <w:sz w:val="20"/>
                <w:szCs w:val="20"/>
                <w:color w:val="auto"/>
              </w:rPr>
            </w:pPr>
            <w:r>
              <w:rPr>
                <w:rFonts w:ascii="Arial" w:cs="Arial" w:eastAsia="Arial" w:hAnsi="Arial"/>
                <w:sz w:val="13"/>
                <w:szCs w:val="13"/>
                <w:b w:val="1"/>
                <w:bCs w:val="1"/>
                <w:color w:val="auto"/>
                <w:w w:val="87"/>
              </w:rPr>
              <w:t>December 31,</w:t>
            </w:r>
          </w:p>
        </w:tc>
        <w:tc>
          <w:tcPr>
            <w:tcW w:w="0" w:type="dxa"/>
            <w:vAlign w:val="bottom"/>
          </w:tcPr>
          <w:p>
            <w:pPr>
              <w:spacing w:after="0"/>
              <w:rPr>
                <w:sz w:val="1"/>
                <w:szCs w:val="1"/>
                <w:color w:val="auto"/>
              </w:rPr>
            </w:pPr>
          </w:p>
        </w:tc>
      </w:tr>
      <w:tr>
        <w:trPr>
          <w:trHeight w:val="168"/>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5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5"/>
          </w:tcPr>
          <w:p>
            <w:pPr>
              <w:jc w:val="right"/>
              <w:spacing w:after="0"/>
              <w:rPr>
                <w:sz w:val="20"/>
                <w:szCs w:val="20"/>
                <w:color w:val="auto"/>
              </w:rPr>
            </w:pPr>
            <w:r>
              <w:rPr>
                <w:rFonts w:ascii="Arial" w:cs="Arial" w:eastAsia="Arial" w:hAnsi="Arial"/>
                <w:sz w:val="13"/>
                <w:szCs w:val="13"/>
                <w:color w:val="auto"/>
              </w:rPr>
              <w:t>(In thousands)</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589,992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747,500</w:t>
            </w:r>
          </w:p>
        </w:tc>
        <w:tc>
          <w:tcPr>
            <w:tcW w:w="0" w:type="dxa"/>
            <w:vAlign w:val="bottom"/>
          </w:tcPr>
          <w:p>
            <w:pPr>
              <w:spacing w:after="0"/>
              <w:rPr>
                <w:sz w:val="1"/>
                <w:szCs w:val="1"/>
                <w:color w:val="auto"/>
              </w:rPr>
            </w:pP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Unamortized issuance costs</w:t>
            </w:r>
          </w:p>
        </w:tc>
        <w:tc>
          <w:tcPr>
            <w:tcW w:w="9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(6,692)</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(10,077)</w:t>
            </w:r>
          </w:p>
        </w:tc>
        <w:tc>
          <w:tcPr>
            <w:tcW w:w="0" w:type="dxa"/>
            <w:vAlign w:val="bottom"/>
          </w:tcPr>
          <w:p>
            <w:pPr>
              <w:spacing w:after="0"/>
              <w:rPr>
                <w:sz w:val="1"/>
                <w:szCs w:val="1"/>
                <w:color w:val="auto"/>
              </w:rPr>
            </w:pPr>
          </w:p>
        </w:tc>
      </w:tr>
      <w:tr>
        <w:trPr>
          <w:trHeight w:val="17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carrying value</w:t>
            </w:r>
          </w:p>
        </w:tc>
        <w:tc>
          <w:tcPr>
            <w:tcW w:w="9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jc w:val="center"/>
              <w:ind w:right="89"/>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583,300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737,423</w:t>
            </w:r>
          </w:p>
        </w:tc>
        <w:tc>
          <w:tcPr>
            <w:tcW w:w="0" w:type="dxa"/>
            <w:vAlign w:val="bottom"/>
          </w:tcPr>
          <w:p>
            <w:pPr>
              <w:spacing w:after="0"/>
              <w:rPr>
                <w:sz w:val="1"/>
                <w:szCs w:val="1"/>
                <w:color w:val="auto"/>
              </w:rPr>
            </w:pPr>
          </w:p>
        </w:tc>
      </w:tr>
      <w:tr>
        <w:trPr>
          <w:trHeight w:val="180"/>
        </w:trPr>
        <w:tc>
          <w:tcPr>
            <w:tcW w:w="5660" w:type="dxa"/>
            <w:vAlign w:val="bottom"/>
          </w:tcPr>
          <w:p>
            <w:pPr>
              <w:ind w:left="100"/>
              <w:spacing w:after="0"/>
              <w:rPr>
                <w:sz w:val="20"/>
                <w:szCs w:val="20"/>
                <w:color w:val="auto"/>
              </w:rPr>
            </w:pPr>
            <w:r>
              <w:rPr>
                <w:rFonts w:ascii="Arial" w:cs="Arial" w:eastAsia="Arial" w:hAnsi="Arial"/>
                <w:sz w:val="14"/>
                <w:szCs w:val="14"/>
                <w:color w:val="auto"/>
              </w:rPr>
              <w:t>Less: short-term debt, net</w:t>
            </w: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gridSpan w:val="2"/>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72,245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 net</w:t>
            </w: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9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center"/>
              <w:ind w:right="89"/>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511,055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737,423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480"/>
              <w:spacing w:after="0"/>
              <w:rPr>
                <w:sz w:val="20"/>
                <w:szCs w:val="20"/>
                <w:color w:val="auto"/>
              </w:rPr>
            </w:pPr>
            <w:r>
              <w:rPr>
                <w:rFonts w:ascii="Arial" w:cs="Arial" w:eastAsia="Arial" w:hAnsi="Arial"/>
                <w:sz w:val="14"/>
                <w:szCs w:val="14"/>
                <w:color w:val="auto"/>
              </w:rPr>
              <w:t>The following table sets forth the interest expense recognized related to the Notes:</w:t>
            </w:r>
          </w:p>
        </w:tc>
        <w:tc>
          <w:tcPr>
            <w:tcW w:w="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56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660" w:type="dxa"/>
            <w:vAlign w:val="bottom"/>
          </w:tcPr>
          <w:p>
            <w:pPr>
              <w:spacing w:after="0"/>
              <w:rPr>
                <w:sz w:val="23"/>
                <w:szCs w:val="23"/>
                <w:color w:val="auto"/>
              </w:rPr>
            </w:pPr>
          </w:p>
        </w:tc>
        <w:tc>
          <w:tcPr>
            <w:tcW w:w="234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60" w:type="dxa"/>
            <w:vAlign w:val="bottom"/>
            <w:tcBorders>
              <w:bottom w:val="single" w:sz="8" w:color="auto"/>
            </w:tcBorders>
            <w:gridSpan w:val="6"/>
          </w:tcPr>
          <w:p>
            <w:pPr>
              <w:jc w:val="right"/>
              <w:ind w:right="351"/>
              <w:spacing w:after="0"/>
              <w:rPr>
                <w:sz w:val="20"/>
                <w:szCs w:val="20"/>
                <w:color w:val="auto"/>
              </w:rPr>
            </w:pPr>
            <w:r>
              <w:rPr>
                <w:rFonts w:ascii="Arial" w:cs="Arial" w:eastAsia="Arial" w:hAnsi="Arial"/>
                <w:sz w:val="13"/>
                <w:szCs w:val="13"/>
                <w:b w:val="1"/>
                <w:bCs w:val="1"/>
                <w:color w:val="auto"/>
                <w:w w:val="99"/>
              </w:rPr>
              <w:t>Nine Months Ended September 30,</w:t>
            </w:r>
          </w:p>
        </w:tc>
        <w:tc>
          <w:tcPr>
            <w:tcW w:w="0" w:type="dxa"/>
            <w:vAlign w:val="bottom"/>
          </w:tcPr>
          <w:p>
            <w:pPr>
              <w:spacing w:after="0"/>
              <w:rPr>
                <w:sz w:val="1"/>
                <w:szCs w:val="1"/>
                <w:color w:val="auto"/>
              </w:rPr>
            </w:pPr>
          </w:p>
        </w:tc>
      </w:tr>
      <w:tr>
        <w:trPr>
          <w:trHeight w:val="160"/>
        </w:trPr>
        <w:tc>
          <w:tcPr>
            <w:tcW w:w="5660" w:type="dxa"/>
            <w:vAlign w:val="bottom"/>
          </w:tcPr>
          <w:p>
            <w:pPr>
              <w:spacing w:after="0"/>
              <w:rPr>
                <w:sz w:val="13"/>
                <w:szCs w:val="13"/>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720" w:type="dxa"/>
            <w:vAlign w:val="bottom"/>
            <w:gridSpan w:val="6"/>
          </w:tcPr>
          <w:p>
            <w:pPr>
              <w:ind w:left="40"/>
              <w:spacing w:after="0"/>
              <w:rPr>
                <w:sz w:val="20"/>
                <w:szCs w:val="20"/>
                <w:color w:val="auto"/>
              </w:rPr>
            </w:pPr>
            <w:r>
              <w:rPr>
                <w:rFonts w:ascii="Arial" w:cs="Arial" w:eastAsia="Arial" w:hAnsi="Arial"/>
                <w:sz w:val="13"/>
                <w:szCs w:val="13"/>
                <w:color w:val="auto"/>
              </w:rPr>
              <w:t>(In thousands)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interest expense</w:t>
            </w:r>
          </w:p>
        </w:tc>
        <w:tc>
          <w:tcPr>
            <w:tcW w:w="920" w:type="dxa"/>
            <w:vAlign w:val="bottom"/>
            <w:shd w:val="clear" w:color="auto" w:fill="CCEEFF"/>
          </w:tcPr>
          <w:p>
            <w:pPr>
              <w:jc w:val="right"/>
              <w:ind w:right="773"/>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72"/>
              <w:spacing w:after="0"/>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debt issuance costs</w:t>
            </w:r>
          </w:p>
        </w:tc>
        <w:tc>
          <w:tcPr>
            <w:tcW w:w="9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946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3,384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2,831</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interest expense</w:t>
            </w:r>
          </w:p>
        </w:tc>
        <w:tc>
          <w:tcPr>
            <w:tcW w:w="920" w:type="dxa"/>
            <w:vAlign w:val="bottom"/>
            <w:tcBorders>
              <w:bottom w:val="single" w:sz="8" w:color="auto"/>
            </w:tcBorders>
            <w:shd w:val="clear" w:color="auto" w:fill="CCEEFF"/>
          </w:tcPr>
          <w:p>
            <w:pPr>
              <w:jc w:val="right"/>
              <w:ind w:right="773"/>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72"/>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1"/>
              </w:rPr>
              <w:t>1,377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4,089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Interest expense of $0.8 million and $4.1 million is reflected as a component of interest expense, net in the accompanying condensed consolidated statements of operations for the three and nine months ended September 30, 2023, respectively. Interest expense was $1.4 million and $4.1 million for the three and nine months ended September 30, 2022,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Acquisitions</w:t>
      </w:r>
    </w:p>
    <w:p>
      <w:pPr>
        <w:spacing w:after="0" w:line="20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In February 2022, the Company completed the acquisition of 100% of the equity of WildHealth, Inc. (“WildHealth”), a precision medicine company operating in the United States, for a total purchase price of $22.3 million. The purchase price consisted of approximately $4.6 million in cash and $17.7 million in shares of common stock of the Company. As part of the purchase price, the Company issued 776,825 common shares that had a total fair value of $20.8 million based on the closing market price of $26.81 per share on the acquisition date of February 7, 2022. The transaction was accounted for as a business combination. In connection with the acquisition, the Company entered into stock forfeiture agreements with certain employees of WildHealth, under which a portion of the purchase price would be subject to vesting conditions based on continuing employment post-acquisition. The Company allocated the purchase consideration subject to the stock forfeiture agreements between pre- and post-combination periods.</w:t>
      </w:r>
    </w:p>
    <w:p>
      <w:pPr>
        <w:spacing w:after="0" w:line="171"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purchase price allocation resulted in approximately $15.5 million of goodwill and $8.3 million of intangible assets. WildHealth is part of the Business segment and is a separate reporting unit. Goodwill is primarily attributed to synergies from future expected economic benefits, including enhanced revenue growth from expanded capabilities. The goodwill will not be deductible for tax purposes. The intangible assets are being amortized over their expected period of benefit. A deferred tax liability for the identified intangibles has been recorded for $1.6 million and an indemnification asset of $1.2 million relating to a pre-acquisition liability assumed as of December 31, 2022. Based on our 2023 annual goodwill impairment test, the Company recorded a non-cash impairment charge of $11.9 million in our condensed consolidated statements of operations, representing a portion of goodwill related to the WildHealth reporting unit. See Note 5 – “</w:t>
      </w:r>
      <w:r>
        <w:rPr>
          <w:rFonts w:ascii="Arial" w:cs="Arial" w:eastAsia="Arial" w:hAnsi="Arial"/>
          <w:sz w:val="14"/>
          <w:szCs w:val="14"/>
          <w:i w:val="1"/>
          <w:iCs w:val="1"/>
          <w:color w:val="auto"/>
        </w:rPr>
        <w:t>Goodwill and</w:t>
      </w:r>
      <w:r>
        <w:rPr>
          <w:rFonts w:ascii="Arial" w:cs="Arial" w:eastAsia="Arial" w:hAnsi="Arial"/>
          <w:sz w:val="14"/>
          <w:szCs w:val="14"/>
          <w:color w:val="auto"/>
        </w:rPr>
        <w:t xml:space="preserve"> </w:t>
      </w:r>
      <w:r>
        <w:rPr>
          <w:rFonts w:ascii="Arial" w:cs="Arial" w:eastAsia="Arial" w:hAnsi="Arial"/>
          <w:sz w:val="14"/>
          <w:szCs w:val="14"/>
          <w:i w:val="1"/>
          <w:iCs w:val="1"/>
          <w:color w:val="auto"/>
        </w:rPr>
        <w:t>Intangible Assets, Net</w:t>
      </w:r>
      <w:r>
        <w:rPr>
          <w:rFonts w:ascii="Arial" w:cs="Arial" w:eastAsia="Arial" w:hAnsi="Arial"/>
          <w:sz w:val="14"/>
          <w:szCs w:val="14"/>
          <w:color w:val="auto"/>
        </w:rPr>
        <w:t>” for additional details.</w:t>
      </w:r>
    </w:p>
    <w:p>
      <w:pPr>
        <w:spacing w:after="0" w:line="17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Additionally, former stockholders of WildHealth had the right to receive in the aggregate up to an additional $120.0 million earn-out (to be settled in the Company’s equity or cash at the Company’s election, but with the cash election restricted to 18.0 percent of the total earn-out) based upon satisfaction of certain financial milestones over the period from October 31, 2022 through December 31, 2025. The Company accounted for the earn-out as a compensation arrangement in</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6" w:name="page27"/>
    <w:bookmarkEnd w:id="26"/>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accordance with ASC 718, “Compensation - Stock Compensation,” pursuant to which such earn-out payments are classified as liability awards to be recognized over the requisite service periods. On May 30, 2023, the Company and stockholders of WildHealth agreed to amend the terms of the merger agreement with respect to certain contingent potential earn-out payments under the agreement. Pursuant to the amended terms, in full satisfaction of all potential earn-out payments under the merger agreement, the parties agreed that the Company would pay (a) a lump sum cash payment of $12.0 million, less applicable withholding taxes to pre-acquisition stockholders, and (b) in the event of a future direct or indirect sale of WildHealth on or before May 30, 2033, the former WildHealth stockholders will receive an additional cash payment equal to 30% of the then-current equity value of WildHealth less all applicable escrows and closing payments and costs, up to a maximum payment of $23.0 million. On May 31, 2023, the Company made the lump sum payment of $12.0 million in connection with the settlement and reversed the preexisting accrued stock-based compensation of $40.2 million. As of September 30, 2023, there is no remaining earn-out liability related to WildHealth. The contingent cash settlement feature was deemed not probable as of September 30, 2023 and, therefore, the award was not recorded as a liability.</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Leases</w:t>
      </w:r>
    </w:p>
    <w:p>
      <w:pPr>
        <w:spacing w:after="0" w:line="20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has operating and finance leases for its corporate offices and other service agreements. Its leases have remaining lease terms of less than one to five years, some of which include options to extend.</w:t>
      </w:r>
    </w:p>
    <w:p>
      <w:pPr>
        <w:spacing w:after="0" w:line="15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Supplemental cash flow information related to leases for the three and nine months ended September 30, 2023 and 2022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640" w:type="dxa"/>
            <w:vAlign w:val="bottom"/>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3"/>
                <w:szCs w:val="13"/>
                <w:b w:val="1"/>
                <w:bCs w:val="1"/>
                <w:color w:val="auto"/>
                <w:w w:val="89"/>
              </w:rPr>
              <w:t>Nine Months Ended September 30,</w:t>
            </w:r>
          </w:p>
        </w:tc>
      </w:tr>
      <w:tr>
        <w:trPr>
          <w:trHeight w:val="160"/>
        </w:trPr>
        <w:tc>
          <w:tcPr>
            <w:tcW w:w="5640" w:type="dxa"/>
            <w:vAlign w:val="bottom"/>
          </w:tcPr>
          <w:p>
            <w:pPr>
              <w:spacing w:after="0"/>
              <w:rPr>
                <w:sz w:val="13"/>
                <w:szCs w:val="1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2022</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r>
      <w:tr>
        <w:trPr>
          <w:trHeight w:val="198"/>
        </w:trPr>
        <w:tc>
          <w:tcPr>
            <w:tcW w:w="5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w w:val="96"/>
              </w:rPr>
              <w:t>(In thousands)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paid for amounts included in the measurement of lease liabilities:</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5640" w:type="dxa"/>
            <w:vAlign w:val="bottom"/>
          </w:tcPr>
          <w:p>
            <w:pPr>
              <w:ind w:left="120"/>
              <w:spacing w:after="0"/>
              <w:rPr>
                <w:sz w:val="20"/>
                <w:szCs w:val="20"/>
                <w:color w:val="auto"/>
              </w:rPr>
            </w:pPr>
            <w:r>
              <w:rPr>
                <w:rFonts w:ascii="Arial" w:cs="Arial" w:eastAsia="Arial" w:hAnsi="Arial"/>
                <w:sz w:val="14"/>
                <w:szCs w:val="14"/>
                <w:color w:val="auto"/>
              </w:rPr>
              <w:t>Operating cash flows for operating leases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5"/>
              </w:rPr>
              <w:t>1,201</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2,655</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3,584</w:t>
            </w:r>
          </w:p>
        </w:tc>
      </w:tr>
      <w:tr>
        <w:trPr>
          <w:trHeight w:val="181"/>
        </w:trPr>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Operating cash flows for finance leases</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0"/>
        </w:trPr>
        <w:tc>
          <w:tcPr>
            <w:tcW w:w="5640" w:type="dxa"/>
            <w:vAlign w:val="bottom"/>
          </w:tcPr>
          <w:p>
            <w:pPr>
              <w:ind w:left="120"/>
              <w:spacing w:after="0"/>
              <w:rPr>
                <w:sz w:val="20"/>
                <w:szCs w:val="20"/>
                <w:color w:val="auto"/>
              </w:rPr>
            </w:pPr>
            <w:r>
              <w:rPr>
                <w:rFonts w:ascii="Arial" w:cs="Arial" w:eastAsia="Arial" w:hAnsi="Arial"/>
                <w:sz w:val="14"/>
                <w:szCs w:val="14"/>
                <w:color w:val="auto"/>
              </w:rPr>
              <w:t>Financing cash flows for finance leases</w:t>
            </w:r>
          </w:p>
        </w:tc>
        <w:tc>
          <w:tcPr>
            <w:tcW w:w="8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2,468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2,785</w:t>
            </w:r>
          </w:p>
        </w:tc>
      </w:tr>
      <w:tr>
        <w:trPr>
          <w:trHeight w:val="435"/>
        </w:trPr>
        <w:tc>
          <w:tcPr>
            <w:tcW w:w="5640" w:type="dxa"/>
            <w:vAlign w:val="bottom"/>
          </w:tcPr>
          <w:p>
            <w:pPr>
              <w:ind w:left="520"/>
              <w:spacing w:after="0"/>
              <w:rPr>
                <w:sz w:val="20"/>
                <w:szCs w:val="20"/>
                <w:color w:val="auto"/>
              </w:rPr>
            </w:pPr>
            <w:r>
              <w:rPr>
                <w:rFonts w:ascii="Arial" w:cs="Arial" w:eastAsia="Arial" w:hAnsi="Arial"/>
                <w:sz w:val="14"/>
                <w:szCs w:val="14"/>
                <w:color w:val="auto"/>
              </w:rPr>
              <w:t>The components of lease costs for the periods listed are as follows:</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4"/>
        </w:trPr>
        <w:tc>
          <w:tcPr>
            <w:tcW w:w="5640" w:type="dxa"/>
            <w:vAlign w:val="bottom"/>
          </w:tcPr>
          <w:p>
            <w:pPr>
              <w:spacing w:after="0"/>
              <w:rPr>
                <w:sz w:val="23"/>
                <w:szCs w:val="23"/>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3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3"/>
                <w:szCs w:val="13"/>
                <w:b w:val="1"/>
                <w:bCs w:val="1"/>
                <w:color w:val="auto"/>
                <w:w w:val="89"/>
              </w:rPr>
              <w:t>Nine Months Ended September 30,</w:t>
            </w:r>
          </w:p>
        </w:tc>
      </w:tr>
      <w:tr>
        <w:trPr>
          <w:trHeight w:val="160"/>
        </w:trPr>
        <w:tc>
          <w:tcPr>
            <w:tcW w:w="5640" w:type="dxa"/>
            <w:vAlign w:val="bottom"/>
          </w:tcPr>
          <w:p>
            <w:pPr>
              <w:spacing w:after="0"/>
              <w:rPr>
                <w:sz w:val="13"/>
                <w:szCs w:val="1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3"/>
                <w:szCs w:val="13"/>
                <w:b w:val="1"/>
                <w:bCs w:val="1"/>
                <w:color w:val="auto"/>
              </w:rPr>
              <w:t>2022</w:t>
            </w: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r>
      <w:tr>
        <w:trPr>
          <w:trHeight w:val="198"/>
        </w:trPr>
        <w:tc>
          <w:tcPr>
            <w:tcW w:w="5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w w:val="96"/>
              </w:rPr>
              <w:t>(In thousands)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8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 cost:</w:t>
            </w:r>
          </w:p>
        </w:tc>
        <w:tc>
          <w:tcPr>
            <w:tcW w:w="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180"/>
        </w:trPr>
        <w:tc>
          <w:tcPr>
            <w:tcW w:w="5640" w:type="dxa"/>
            <w:vAlign w:val="bottom"/>
          </w:tcPr>
          <w:p>
            <w:pPr>
              <w:ind w:left="120"/>
              <w:spacing w:after="0"/>
              <w:rPr>
                <w:sz w:val="20"/>
                <w:szCs w:val="20"/>
                <w:color w:val="auto"/>
              </w:rPr>
            </w:pPr>
            <w:r>
              <w:rPr>
                <w:rFonts w:ascii="Arial" w:cs="Arial" w:eastAsia="Arial" w:hAnsi="Arial"/>
                <w:sz w:val="14"/>
                <w:szCs w:val="14"/>
                <w:color w:val="auto"/>
              </w:rPr>
              <w:t>Amortization of right of use assets</w:t>
            </w:r>
          </w:p>
        </w:tc>
        <w:tc>
          <w:tcPr>
            <w:tcW w:w="880" w:type="dxa"/>
            <w:vAlign w:val="bottom"/>
          </w:tcPr>
          <w:p>
            <w:pPr>
              <w:jc w:val="right"/>
              <w:ind w:right="713"/>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960" w:type="dxa"/>
            <w:vAlign w:val="bottom"/>
          </w:tcPr>
          <w:p>
            <w:pPr>
              <w:jc w:val="right"/>
              <w:ind w:right="812"/>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929</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2,759</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2,762</w:t>
            </w:r>
          </w:p>
        </w:tc>
      </w:tr>
      <w:tr>
        <w:trPr>
          <w:trHeight w:val="181"/>
        </w:trPr>
        <w:tc>
          <w:tcPr>
            <w:tcW w:w="56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w:t>
            </w: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8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lease cost</w:t>
            </w: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2,937</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1,211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8,564</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5,621</w:t>
            </w:r>
          </w:p>
        </w:tc>
      </w:tr>
      <w:tr>
        <w:trPr>
          <w:trHeight w:val="196"/>
        </w:trPr>
        <w:tc>
          <w:tcPr>
            <w:tcW w:w="5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lease cost</w:t>
            </w:r>
          </w:p>
        </w:tc>
        <w:tc>
          <w:tcPr>
            <w:tcW w:w="880" w:type="dxa"/>
            <w:vAlign w:val="bottom"/>
            <w:tcBorders>
              <w:bottom w:val="single" w:sz="8" w:color="auto"/>
            </w:tcBorders>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3,872</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2"/>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2,184</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11,366</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7" w:name="page28"/>
    <w:bookmarkEnd w:id="27"/>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4"/>
              </w:rPr>
              <w:t>September 30,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290"/>
              <w:spacing w:after="0"/>
              <w:rPr>
                <w:sz w:val="20"/>
                <w:szCs w:val="20"/>
                <w:color w:val="auto"/>
              </w:rPr>
            </w:pPr>
            <w:r>
              <w:rPr>
                <w:rFonts w:ascii="Arial" w:cs="Arial" w:eastAsia="Arial" w:hAnsi="Arial"/>
                <w:sz w:val="13"/>
                <w:szCs w:val="13"/>
                <w:b w:val="1"/>
                <w:bCs w:val="1"/>
                <w:color w:val="auto"/>
                <w:w w:val="98"/>
              </w:rPr>
              <w:t>September 30,</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34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162"/>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3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680" w:type="dxa"/>
            <w:vAlign w:val="bottom"/>
            <w:gridSpan w:val="2"/>
          </w:tcPr>
          <w:p>
            <w:pPr>
              <w:ind w:left="100"/>
              <w:spacing w:after="0"/>
              <w:rPr>
                <w:sz w:val="20"/>
                <w:szCs w:val="20"/>
                <w:color w:val="auto"/>
              </w:rPr>
            </w:pPr>
            <w:r>
              <w:rPr>
                <w:rFonts w:ascii="Arial" w:cs="Arial" w:eastAsia="Arial" w:hAnsi="Arial"/>
                <w:sz w:val="14"/>
                <w:szCs w:val="14"/>
                <w:color w:val="auto"/>
              </w:rPr>
              <w:t>Operating leases</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color w:val="auto"/>
              </w:rPr>
              <w:t>2.3 years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 years</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leases</w:t>
            </w: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 years</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 years</w:t>
            </w:r>
          </w:p>
        </w:tc>
        <w:tc>
          <w:tcPr>
            <w:tcW w:w="0" w:type="dxa"/>
            <w:vAlign w:val="bottom"/>
          </w:tcPr>
          <w:p>
            <w:pPr>
              <w:spacing w:after="0"/>
              <w:rPr>
                <w:sz w:val="1"/>
                <w:szCs w:val="1"/>
                <w:color w:val="auto"/>
              </w:rPr>
            </w:pPr>
          </w:p>
        </w:tc>
      </w:tr>
      <w:tr>
        <w:trPr>
          <w:trHeight w:val="212"/>
        </w:trPr>
        <w:tc>
          <w:tcPr>
            <w:tcW w:w="3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Discount Rate:</w:t>
            </w: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tcPr>
          <w:p>
            <w:pPr>
              <w:ind w:left="100"/>
              <w:spacing w:after="0"/>
              <w:rPr>
                <w:sz w:val="20"/>
                <w:szCs w:val="20"/>
                <w:color w:val="auto"/>
              </w:rPr>
            </w:pPr>
            <w:r>
              <w:rPr>
                <w:rFonts w:ascii="Arial" w:cs="Arial" w:eastAsia="Arial" w:hAnsi="Arial"/>
                <w:sz w:val="14"/>
                <w:szCs w:val="14"/>
                <w:color w:val="auto"/>
              </w:rPr>
              <w:t>Operating leases</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leases</w:t>
            </w: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435"/>
        </w:trPr>
        <w:tc>
          <w:tcPr>
            <w:tcW w:w="4680" w:type="dxa"/>
            <w:vAlign w:val="bottom"/>
            <w:gridSpan w:val="2"/>
          </w:tcPr>
          <w:p>
            <w:pPr>
              <w:ind w:left="520"/>
              <w:spacing w:after="0"/>
              <w:rPr>
                <w:sz w:val="20"/>
                <w:szCs w:val="20"/>
                <w:color w:val="auto"/>
              </w:rPr>
            </w:pPr>
            <w:r>
              <w:rPr>
                <w:rFonts w:ascii="Arial" w:cs="Arial" w:eastAsia="Arial" w:hAnsi="Arial"/>
                <w:sz w:val="14"/>
                <w:szCs w:val="14"/>
                <w:color w:val="auto"/>
                <w:w w:val="91"/>
              </w:rPr>
              <w:t>Supplemental balance sheet information related to leases was as follows:</w:t>
            </w: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40" w:type="dxa"/>
            <w:vAlign w:val="bottom"/>
            <w:vMerge w:val="restart"/>
          </w:tcPr>
          <w:p>
            <w:pPr>
              <w:jc w:val="center"/>
              <w:ind w:right="650"/>
              <w:spacing w:after="0"/>
              <w:rPr>
                <w:sz w:val="20"/>
                <w:szCs w:val="20"/>
                <w:color w:val="auto"/>
              </w:rPr>
            </w:pPr>
            <w:r>
              <w:rPr>
                <w:rFonts w:ascii="Arial" w:cs="Arial" w:eastAsia="Arial" w:hAnsi="Arial"/>
                <w:sz w:val="13"/>
                <w:szCs w:val="13"/>
                <w:b w:val="1"/>
                <w:bCs w:val="1"/>
                <w:color w:val="auto"/>
                <w:w w:val="92"/>
              </w:rPr>
              <w:t>Financial Statement Classification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September 30,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3"/>
                <w:szCs w:val="13"/>
                <w:b w:val="1"/>
                <w:bCs w:val="1"/>
                <w:color w:val="auto"/>
                <w:w w:val="92"/>
              </w:rPr>
              <w:t>December 31,</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2023</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9"/>
              </w:rPr>
              <w:t>2022</w:t>
            </w:r>
          </w:p>
        </w:tc>
        <w:tc>
          <w:tcPr>
            <w:tcW w:w="0" w:type="dxa"/>
            <w:vAlign w:val="bottom"/>
          </w:tcPr>
          <w:p>
            <w:pPr>
              <w:spacing w:after="0"/>
              <w:rPr>
                <w:sz w:val="1"/>
                <w:szCs w:val="1"/>
                <w:color w:val="auto"/>
              </w:rPr>
            </w:pPr>
          </w:p>
        </w:tc>
      </w:tr>
      <w:tr>
        <w:trPr>
          <w:trHeight w:val="204"/>
        </w:trPr>
        <w:tc>
          <w:tcPr>
            <w:tcW w:w="3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7"/>
          </w:tcPr>
          <w:p>
            <w:pPr>
              <w:jc w:val="center"/>
              <w:ind w:right="30"/>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tcPr>
          <w:p>
            <w:pPr>
              <w:ind w:left="100"/>
              <w:spacing w:after="0"/>
              <w:rPr>
                <w:sz w:val="20"/>
                <w:szCs w:val="20"/>
                <w:color w:val="auto"/>
              </w:rPr>
            </w:pPr>
            <w:r>
              <w:rPr>
                <w:rFonts w:ascii="Arial" w:cs="Arial" w:eastAsia="Arial" w:hAnsi="Arial"/>
                <w:sz w:val="14"/>
                <w:szCs w:val="14"/>
                <w:color w:val="auto"/>
              </w:rPr>
              <w:t>Operating right of use assets</w:t>
            </w:r>
          </w:p>
        </w:tc>
        <w:tc>
          <w:tcPr>
            <w:tcW w:w="3440" w:type="dxa"/>
            <w:vAlign w:val="bottom"/>
          </w:tcPr>
          <w:p>
            <w:pPr>
              <w:jc w:val="center"/>
              <w:ind w:right="650"/>
              <w:spacing w:after="0"/>
              <w:rPr>
                <w:sz w:val="20"/>
                <w:szCs w:val="20"/>
                <w:color w:val="auto"/>
              </w:rPr>
            </w:pPr>
            <w:r>
              <w:rPr>
                <w:rFonts w:ascii="Arial" w:cs="Arial" w:eastAsia="Arial" w:hAnsi="Arial"/>
                <w:sz w:val="14"/>
                <w:szCs w:val="14"/>
                <w:color w:val="auto"/>
                <w:w w:val="88"/>
              </w:rPr>
              <w:t>Operating lease right of use assets</w:t>
            </w:r>
          </w:p>
        </w:tc>
        <w:tc>
          <w:tcPr>
            <w:tcW w:w="3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4,386</w:t>
            </w:r>
          </w:p>
        </w:tc>
        <w:tc>
          <w:tcPr>
            <w:tcW w:w="28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Finance right of use assets</w:t>
            </w:r>
          </w:p>
        </w:tc>
        <w:tc>
          <w:tcPr>
            <w:tcW w:w="3440" w:type="dxa"/>
            <w:vAlign w:val="bottom"/>
            <w:shd w:val="clear" w:color="auto" w:fill="CCEEFF"/>
          </w:tcPr>
          <w:p>
            <w:pPr>
              <w:jc w:val="center"/>
              <w:ind w:right="650"/>
              <w:spacing w:after="0"/>
              <w:rPr>
                <w:sz w:val="20"/>
                <w:szCs w:val="20"/>
                <w:color w:val="auto"/>
              </w:rPr>
            </w:pPr>
            <w:r>
              <w:rPr>
                <w:rFonts w:ascii="Arial" w:cs="Arial" w:eastAsia="Arial" w:hAnsi="Arial"/>
                <w:sz w:val="14"/>
                <w:szCs w:val="14"/>
                <w:color w:val="auto"/>
                <w:w w:val="90"/>
              </w:rPr>
              <w:t>Property and equipment, net</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311</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180"/>
        </w:trPr>
        <w:tc>
          <w:tcPr>
            <w:tcW w:w="46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Current:</w:t>
            </w: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680" w:type="dxa"/>
            <w:vAlign w:val="bottom"/>
            <w:gridSpan w:val="2"/>
          </w:tcPr>
          <w:p>
            <w:pPr>
              <w:ind w:left="280"/>
              <w:spacing w:after="0"/>
              <w:rPr>
                <w:sz w:val="20"/>
                <w:szCs w:val="20"/>
                <w:color w:val="auto"/>
              </w:rPr>
            </w:pPr>
            <w:r>
              <w:rPr>
                <w:rFonts w:ascii="Arial" w:cs="Arial" w:eastAsia="Arial" w:hAnsi="Arial"/>
                <w:sz w:val="14"/>
                <w:szCs w:val="14"/>
                <w:color w:val="auto"/>
              </w:rPr>
              <w:t>Operating lease liabilities</w:t>
            </w:r>
          </w:p>
        </w:tc>
        <w:tc>
          <w:tcPr>
            <w:tcW w:w="3440" w:type="dxa"/>
            <w:vAlign w:val="bottom"/>
          </w:tcPr>
          <w:p>
            <w:pPr>
              <w:jc w:val="center"/>
              <w:ind w:right="650"/>
              <w:spacing w:after="0"/>
              <w:rPr>
                <w:sz w:val="20"/>
                <w:szCs w:val="20"/>
                <w:color w:val="auto"/>
              </w:rPr>
            </w:pPr>
            <w:r>
              <w:rPr>
                <w:rFonts w:ascii="Arial" w:cs="Arial" w:eastAsia="Arial" w:hAnsi="Arial"/>
                <w:sz w:val="14"/>
                <w:szCs w:val="14"/>
                <w:color w:val="auto"/>
                <w:w w:val="92"/>
              </w:rPr>
              <w:t>Operating lease liabilities</w:t>
            </w:r>
          </w:p>
        </w:tc>
        <w:tc>
          <w:tcPr>
            <w:tcW w:w="320" w:type="dxa"/>
            <w:vAlign w:val="bottom"/>
            <w:gridSpan w:val="4"/>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2,194</w:t>
            </w:r>
          </w:p>
        </w:tc>
        <w:tc>
          <w:tcPr>
            <w:tcW w:w="280" w:type="dxa"/>
            <w:vAlign w:val="bottom"/>
            <w:gridSpan w:val="4"/>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Finance lease liabilities</w:t>
            </w:r>
          </w:p>
        </w:tc>
        <w:tc>
          <w:tcPr>
            <w:tcW w:w="3440" w:type="dxa"/>
            <w:vAlign w:val="bottom"/>
            <w:shd w:val="clear" w:color="auto" w:fill="CCEEFF"/>
          </w:tcPr>
          <w:p>
            <w:pPr>
              <w:jc w:val="center"/>
              <w:ind w:right="650"/>
              <w:spacing w:after="0"/>
              <w:rPr>
                <w:sz w:val="20"/>
                <w:szCs w:val="20"/>
                <w:color w:val="auto"/>
              </w:rPr>
            </w:pPr>
            <w:r>
              <w:rPr>
                <w:rFonts w:ascii="Arial" w:cs="Arial" w:eastAsia="Arial" w:hAnsi="Arial"/>
                <w:sz w:val="14"/>
                <w:szCs w:val="14"/>
                <w:color w:val="auto"/>
                <w:w w:val="92"/>
              </w:rPr>
              <w:t>Accrued expenses and other current liabilities</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w:t>
            </w:r>
          </w:p>
        </w:tc>
        <w:tc>
          <w:tcPr>
            <w:tcW w:w="0" w:type="dxa"/>
            <w:vAlign w:val="bottom"/>
          </w:tcPr>
          <w:p>
            <w:pPr>
              <w:spacing w:after="0"/>
              <w:rPr>
                <w:sz w:val="1"/>
                <w:szCs w:val="1"/>
                <w:color w:val="auto"/>
              </w:rPr>
            </w:pPr>
          </w:p>
        </w:tc>
      </w:tr>
      <w:tr>
        <w:trPr>
          <w:trHeight w:val="180"/>
        </w:trPr>
        <w:tc>
          <w:tcPr>
            <w:tcW w:w="4680" w:type="dxa"/>
            <w:vAlign w:val="bottom"/>
            <w:gridSpan w:val="2"/>
          </w:tcPr>
          <w:p>
            <w:pPr>
              <w:ind w:left="100"/>
              <w:spacing w:after="0"/>
              <w:rPr>
                <w:sz w:val="20"/>
                <w:szCs w:val="20"/>
                <w:color w:val="auto"/>
              </w:rPr>
            </w:pPr>
            <w:r>
              <w:rPr>
                <w:rFonts w:ascii="Arial" w:cs="Arial" w:eastAsia="Arial" w:hAnsi="Arial"/>
                <w:sz w:val="14"/>
                <w:szCs w:val="14"/>
                <w:color w:val="auto"/>
              </w:rPr>
              <w:t>Non-current:</w:t>
            </w: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Operating lease liabilities</w:t>
            </w:r>
          </w:p>
        </w:tc>
        <w:tc>
          <w:tcPr>
            <w:tcW w:w="3440" w:type="dxa"/>
            <w:vAlign w:val="bottom"/>
            <w:shd w:val="clear" w:color="auto" w:fill="CCEEFF"/>
          </w:tcPr>
          <w:p>
            <w:pPr>
              <w:jc w:val="center"/>
              <w:ind w:right="650"/>
              <w:spacing w:after="0"/>
              <w:rPr>
                <w:sz w:val="20"/>
                <w:szCs w:val="20"/>
                <w:color w:val="auto"/>
              </w:rPr>
            </w:pPr>
            <w:r>
              <w:rPr>
                <w:rFonts w:ascii="Arial" w:cs="Arial" w:eastAsia="Arial" w:hAnsi="Arial"/>
                <w:sz w:val="14"/>
                <w:szCs w:val="14"/>
                <w:color w:val="auto"/>
                <w:w w:val="93"/>
              </w:rPr>
              <w:t>Operating lease liability, net of current portion</w:t>
            </w:r>
          </w:p>
        </w:tc>
        <w:tc>
          <w:tcPr>
            <w:tcW w:w="32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2,932</w:t>
            </w:r>
          </w:p>
        </w:tc>
        <w:tc>
          <w:tcPr>
            <w:tcW w:w="280" w:type="dxa"/>
            <w:vAlign w:val="bottom"/>
            <w:gridSpan w:val="4"/>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80"/>
        </w:trPr>
        <w:tc>
          <w:tcPr>
            <w:tcW w:w="4680" w:type="dxa"/>
            <w:vAlign w:val="bottom"/>
            <w:gridSpan w:val="2"/>
          </w:tcPr>
          <w:p>
            <w:pPr>
              <w:ind w:left="280"/>
              <w:spacing w:after="0"/>
              <w:rPr>
                <w:sz w:val="20"/>
                <w:szCs w:val="20"/>
                <w:color w:val="auto"/>
              </w:rPr>
            </w:pPr>
            <w:r>
              <w:rPr>
                <w:rFonts w:ascii="Arial" w:cs="Arial" w:eastAsia="Arial" w:hAnsi="Arial"/>
                <w:sz w:val="14"/>
                <w:szCs w:val="14"/>
                <w:color w:val="auto"/>
              </w:rPr>
              <w:t>Finance lease liabilities</w:t>
            </w:r>
          </w:p>
        </w:tc>
        <w:tc>
          <w:tcPr>
            <w:tcW w:w="3440" w:type="dxa"/>
            <w:vAlign w:val="bottom"/>
          </w:tcPr>
          <w:p>
            <w:pPr>
              <w:jc w:val="center"/>
              <w:ind w:right="650"/>
              <w:spacing w:after="0"/>
              <w:rPr>
                <w:sz w:val="20"/>
                <w:szCs w:val="20"/>
                <w:color w:val="auto"/>
              </w:rPr>
            </w:pPr>
            <w:r>
              <w:rPr>
                <w:rFonts w:ascii="Arial" w:cs="Arial" w:eastAsia="Arial" w:hAnsi="Arial"/>
                <w:sz w:val="14"/>
                <w:szCs w:val="14"/>
                <w:color w:val="auto"/>
                <w:w w:val="95"/>
              </w:rPr>
              <w:t>Other liabilities</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435"/>
        </w:trPr>
        <w:tc>
          <w:tcPr>
            <w:tcW w:w="9740" w:type="dxa"/>
            <w:vAlign w:val="bottom"/>
            <w:gridSpan w:val="9"/>
          </w:tcPr>
          <w:p>
            <w:pPr>
              <w:ind w:left="520"/>
              <w:spacing w:after="0"/>
              <w:rPr>
                <w:sz w:val="20"/>
                <w:szCs w:val="20"/>
                <w:color w:val="auto"/>
              </w:rPr>
            </w:pPr>
            <w:r>
              <w:rPr>
                <w:rFonts w:ascii="Arial" w:cs="Arial" w:eastAsia="Arial" w:hAnsi="Arial"/>
                <w:sz w:val="14"/>
                <w:szCs w:val="14"/>
                <w:color w:val="auto"/>
                <w:w w:val="91"/>
              </w:rPr>
              <w:t>Future minimum lease payments under non-cancellable operating and finance leases (with an initial or remaining lease term in excess of one year) are as follows: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3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3"/>
                <w:szCs w:val="13"/>
                <w:b w:val="1"/>
                <w:bCs w:val="1"/>
                <w:color w:val="auto"/>
                <w:w w:val="92"/>
              </w:rPr>
              <w:t>September 30, 2023</w:t>
            </w:r>
          </w:p>
        </w:tc>
        <w:tc>
          <w:tcPr>
            <w:tcW w:w="0" w:type="dxa"/>
            <w:vAlign w:val="bottom"/>
          </w:tcPr>
          <w:p>
            <w:pPr>
              <w:spacing w:after="0"/>
              <w:rPr>
                <w:sz w:val="1"/>
                <w:szCs w:val="1"/>
                <w:color w:val="auto"/>
              </w:rPr>
            </w:pPr>
          </w:p>
        </w:tc>
      </w:tr>
      <w:tr>
        <w:trPr>
          <w:trHeight w:val="124"/>
        </w:trPr>
        <w:tc>
          <w:tcPr>
            <w:tcW w:w="38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tcPr>
          <w:p>
            <w:pPr>
              <w:jc w:val="right"/>
              <w:ind w:right="420"/>
              <w:spacing w:after="0" w:line="124" w:lineRule="exact"/>
              <w:rPr>
                <w:sz w:val="20"/>
                <w:szCs w:val="20"/>
                <w:color w:val="auto"/>
              </w:rPr>
            </w:pPr>
            <w:r>
              <w:rPr>
                <w:rFonts w:ascii="Arial" w:cs="Arial" w:eastAsia="Arial" w:hAnsi="Arial"/>
                <w:sz w:val="13"/>
                <w:szCs w:val="13"/>
                <w:b w:val="1"/>
                <w:bCs w:val="1"/>
                <w:color w:val="auto"/>
              </w:rPr>
              <w:t>Operating</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ind w:right="430"/>
              <w:spacing w:after="0" w:line="124" w:lineRule="exact"/>
              <w:rPr>
                <w:sz w:val="20"/>
                <w:szCs w:val="20"/>
                <w:color w:val="auto"/>
              </w:rPr>
            </w:pPr>
            <w:r>
              <w:rPr>
                <w:rFonts w:ascii="Arial" w:cs="Arial" w:eastAsia="Arial" w:hAnsi="Arial"/>
                <w:sz w:val="13"/>
                <w:szCs w:val="13"/>
                <w:b w:val="1"/>
                <w:bCs w:val="1"/>
                <w:color w:val="auto"/>
              </w:rPr>
              <w:t>Finance</w:t>
            </w:r>
          </w:p>
        </w:tc>
        <w:tc>
          <w:tcPr>
            <w:tcW w:w="0" w:type="dxa"/>
            <w:vAlign w:val="bottom"/>
          </w:tcPr>
          <w:p>
            <w:pPr>
              <w:spacing w:after="0"/>
              <w:rPr>
                <w:sz w:val="1"/>
                <w:szCs w:val="1"/>
                <w:color w:val="auto"/>
              </w:rPr>
            </w:pPr>
          </w:p>
        </w:tc>
      </w:tr>
      <w:tr>
        <w:trPr>
          <w:trHeight w:val="177"/>
        </w:trPr>
        <w:tc>
          <w:tcPr>
            <w:tcW w:w="3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6"/>
              </w:rPr>
              <w:t>Leases</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86"/>
              </w:rPr>
              <w:t>Leases</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7"/>
          </w:tcPr>
          <w:p>
            <w:pPr>
              <w:jc w:val="center"/>
              <w:ind w:right="50"/>
              <w:spacing w:after="0"/>
              <w:rPr>
                <w:sz w:val="20"/>
                <w:szCs w:val="20"/>
                <w:color w:val="auto"/>
              </w:rPr>
            </w:pPr>
            <w:r>
              <w:rPr>
                <w:rFonts w:ascii="Arial" w:cs="Arial" w:eastAsia="Arial" w:hAnsi="Arial"/>
                <w:sz w:val="14"/>
                <w:szCs w:val="14"/>
                <w:color w:val="auto"/>
                <w:w w:val="89"/>
              </w:rPr>
              <w:t>(In thousands)</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2023 (remaining three months for September 30, 2023)</w:t>
            </w:r>
          </w:p>
        </w:tc>
        <w:tc>
          <w:tcPr>
            <w:tcW w:w="3440" w:type="dxa"/>
            <w:vAlign w:val="bottom"/>
            <w:shd w:val="clear" w:color="auto" w:fill="CCEEFF"/>
          </w:tcPr>
          <w:p>
            <w:pPr>
              <w:spacing w:after="0"/>
              <w:rPr>
                <w:sz w:val="15"/>
                <w:szCs w:val="15"/>
                <w:color w:val="auto"/>
              </w:rPr>
            </w:pPr>
          </w:p>
        </w:tc>
        <w:tc>
          <w:tcPr>
            <w:tcW w:w="32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714</w:t>
            </w:r>
          </w:p>
        </w:tc>
        <w:tc>
          <w:tcPr>
            <w:tcW w:w="280" w:type="dxa"/>
            <w:vAlign w:val="bottom"/>
            <w:gridSpan w:val="4"/>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2024</w:t>
            </w:r>
          </w:p>
        </w:tc>
        <w:tc>
          <w:tcPr>
            <w:tcW w:w="8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2,719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1,667</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2026</w:t>
            </w:r>
          </w:p>
        </w:tc>
        <w:tc>
          <w:tcPr>
            <w:tcW w:w="8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86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262</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Total minimum lease payments</w:t>
            </w:r>
          </w:p>
        </w:tc>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4"/>
                <w:szCs w:val="14"/>
                <w:color w:val="auto"/>
              </w:rPr>
              <w:t>5,675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81"/>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Less: present value adjustment</w:t>
            </w:r>
          </w:p>
        </w:tc>
        <w:tc>
          <w:tcPr>
            <w:tcW w:w="3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(549)</w:t>
            </w: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4680" w:type="dxa"/>
            <w:vAlign w:val="bottom"/>
            <w:gridSpan w:val="2"/>
          </w:tcPr>
          <w:p>
            <w:pPr>
              <w:ind w:left="140"/>
              <w:spacing w:after="0"/>
              <w:rPr>
                <w:sz w:val="20"/>
                <w:szCs w:val="20"/>
                <w:color w:val="auto"/>
              </w:rPr>
            </w:pPr>
            <w:r>
              <w:rPr>
                <w:rFonts w:ascii="Arial" w:cs="Arial" w:eastAsia="Arial" w:hAnsi="Arial"/>
                <w:sz w:val="14"/>
                <w:szCs w:val="14"/>
                <w:color w:val="auto"/>
              </w:rPr>
              <w:t>Present value of lease liabilities</w:t>
            </w:r>
          </w:p>
        </w:tc>
        <w:tc>
          <w:tcPr>
            <w:tcW w:w="3440" w:type="dxa"/>
            <w:vAlign w:val="bottom"/>
          </w:tcPr>
          <w:p>
            <w:pPr>
              <w:spacing w:after="0"/>
              <w:rPr>
                <w:sz w:val="14"/>
                <w:szCs w:val="14"/>
                <w:color w:val="auto"/>
              </w:rPr>
            </w:pPr>
          </w:p>
        </w:tc>
        <w:tc>
          <w:tcPr>
            <w:tcW w:w="200" w:type="dxa"/>
            <w:vAlign w:val="bottom"/>
            <w:gridSpan w:val="2"/>
          </w:tcPr>
          <w:p>
            <w:pPr>
              <w:spacing w:after="0"/>
              <w:rPr>
                <w:sz w:val="14"/>
                <w:szCs w:val="14"/>
                <w:color w:val="auto"/>
              </w:rPr>
            </w:pPr>
          </w:p>
        </w:tc>
        <w:tc>
          <w:tcPr>
            <w:tcW w:w="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5,126</w:t>
            </w:r>
          </w:p>
        </w:tc>
        <w:tc>
          <w:tcPr>
            <w:tcW w:w="20" w:type="dxa"/>
            <w:vAlign w:val="bottom"/>
            <w:tcBorders>
              <w:bottom w:val="single" w:sz="8" w:color="auto"/>
            </w:tcBorders>
          </w:tcPr>
          <w:p>
            <w:pPr>
              <w:spacing w:after="0"/>
              <w:rPr>
                <w:sz w:val="14"/>
                <w:szCs w:val="14"/>
                <w:color w:val="auto"/>
              </w:rPr>
            </w:pPr>
          </w:p>
        </w:tc>
        <w:tc>
          <w:tcPr>
            <w:tcW w:w="100" w:type="dxa"/>
            <w:vAlign w:val="bottom"/>
            <w:gridSpan w:val="2"/>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Fair Value Measurements</w:t>
      </w:r>
    </w:p>
    <w:p>
      <w:pPr>
        <w:spacing w:after="0" w:line="204"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w:t>
      </w:r>
    </w:p>
    <w:p>
      <w:pPr>
        <w:spacing w:after="0" w:line="200" w:lineRule="exact"/>
        <w:rPr>
          <w:sz w:val="20"/>
          <w:szCs w:val="20"/>
          <w:color w:val="auto"/>
        </w:rPr>
      </w:pPr>
    </w:p>
    <w:p>
      <w:pPr>
        <w:spacing w:after="0" w:line="3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8" w:name="page29"/>
    <w:bookmarkEnd w:id="28"/>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color w:val="auto"/>
        </w:rPr>
        <w:t>whereby inputs, used in valuation techniques, are assigned a hierarchical level. The following are the hierarchical levels of inputs to measure fair value:</w:t>
      </w:r>
    </w:p>
    <w:p>
      <w:pPr>
        <w:spacing w:after="0" w:line="94" w:lineRule="exact"/>
        <w:rPr>
          <w:sz w:val="20"/>
          <w:szCs w:val="20"/>
          <w:color w:val="auto"/>
        </w:rPr>
      </w:pPr>
    </w:p>
    <w:p>
      <w:pPr>
        <w:ind w:left="900" w:hanging="259"/>
        <w:spacing w:after="0"/>
        <w:tabs>
          <w:tab w:leader="none" w:pos="9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Level 1: Observable inputs that reflect quoted prices (unadjusted) for identical assets or liabilities in active markets.</w:t>
      </w:r>
    </w:p>
    <w:p>
      <w:pPr>
        <w:spacing w:after="0" w:line="93" w:lineRule="exact"/>
        <w:rPr>
          <w:rFonts w:ascii="Arial" w:cs="Arial" w:eastAsia="Arial" w:hAnsi="Arial"/>
          <w:sz w:val="14"/>
          <w:szCs w:val="14"/>
          <w:color w:val="auto"/>
        </w:rPr>
      </w:pPr>
    </w:p>
    <w:p>
      <w:pPr>
        <w:ind w:left="900" w:hanging="259"/>
        <w:spacing w:after="0" w:line="321" w:lineRule="auto"/>
        <w:tabs>
          <w:tab w:leader="none" w:pos="896" w:val="left"/>
        </w:tabs>
        <w:numPr>
          <w:ilvl w:val="0"/>
          <w:numId w:val="10"/>
        </w:numPr>
        <w:rPr>
          <w:rFonts w:ascii="Arial" w:cs="Arial" w:eastAsia="Arial" w:hAnsi="Arial"/>
          <w:sz w:val="13"/>
          <w:szCs w:val="13"/>
          <w:color w:val="auto"/>
        </w:rPr>
      </w:pPr>
      <w:r>
        <w:rPr>
          <w:rFonts w:ascii="Arial" w:cs="Arial" w:eastAsia="Arial" w:hAnsi="Arial"/>
          <w:sz w:val="13"/>
          <w:szCs w:val="13"/>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4" w:lineRule="exact"/>
        <w:rPr>
          <w:rFonts w:ascii="Arial" w:cs="Arial" w:eastAsia="Arial" w:hAnsi="Arial"/>
          <w:sz w:val="13"/>
          <w:szCs w:val="13"/>
          <w:color w:val="auto"/>
        </w:rPr>
      </w:pPr>
    </w:p>
    <w:p>
      <w:pPr>
        <w:ind w:left="900" w:hanging="259"/>
        <w:spacing w:after="0" w:line="281" w:lineRule="auto"/>
        <w:tabs>
          <w:tab w:leader="none" w:pos="896"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Assets and Liabilities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2023 and December 31, 2022, are summarized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w w:val="87"/>
              </w:rPr>
              <w:t>September 30, 2023</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r>
      <w:tr>
        <w:trPr>
          <w:trHeight w:val="160"/>
        </w:trPr>
        <w:tc>
          <w:tcPr>
            <w:tcW w:w="1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3"/>
                <w:szCs w:val="13"/>
                <w:b w:val="1"/>
                <w:bCs w:val="1"/>
                <w:color w:val="auto"/>
              </w:rPr>
              <w:t>Level 1</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w w:val="90"/>
              </w:rPr>
              <w:t>Level 2</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3"/>
                <w:szCs w:val="13"/>
                <w:b w:val="1"/>
                <w:bCs w:val="1"/>
                <w:color w:val="auto"/>
              </w:rPr>
              <w:t>Level 3</w:t>
            </w:r>
          </w:p>
        </w:tc>
      </w:tr>
      <w:tr>
        <w:trPr>
          <w:trHeight w:val="198"/>
        </w:trPr>
        <w:tc>
          <w:tcPr>
            <w:tcW w:w="1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(In thousands)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160" w:type="dxa"/>
            <w:vAlign w:val="bottom"/>
          </w:tcPr>
          <w:p>
            <w:pPr>
              <w:spacing w:after="0"/>
              <w:rPr>
                <w:sz w:val="16"/>
                <w:szCs w:val="16"/>
                <w:color w:val="auto"/>
              </w:rPr>
            </w:pPr>
          </w:p>
        </w:tc>
        <w:tc>
          <w:tcPr>
            <w:tcW w:w="6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0"/>
        </w:trPr>
        <w:tc>
          <w:tcPr>
            <w:tcW w:w="160" w:type="dxa"/>
            <w:vAlign w:val="bottom"/>
          </w:tcPr>
          <w:p>
            <w:pPr>
              <w:spacing w:after="0"/>
              <w:rPr>
                <w:sz w:val="15"/>
                <w:szCs w:val="15"/>
                <w:color w:val="auto"/>
              </w:rPr>
            </w:pPr>
          </w:p>
        </w:tc>
        <w:tc>
          <w:tcPr>
            <w:tcW w:w="6720" w:type="dxa"/>
            <w:vAlign w:val="bottom"/>
          </w:tcPr>
          <w:p>
            <w:pPr>
              <w:ind w:left="100"/>
              <w:spacing w:after="0"/>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160" w:type="dxa"/>
            <w:vAlign w:val="bottom"/>
          </w:tcPr>
          <w:p>
            <w:pPr>
              <w:spacing w:after="0"/>
              <w:rPr>
                <w:sz w:val="15"/>
                <w:szCs w:val="15"/>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155,383</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w w:val="99"/>
              </w:rPr>
              <w:t>—</w:t>
            </w:r>
          </w:p>
        </w:tc>
        <w:tc>
          <w:tcPr>
            <w:tcW w:w="34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71"/>
        </w:trPr>
        <w:tc>
          <w:tcPr>
            <w:tcW w:w="160" w:type="dxa"/>
            <w:vAlign w:val="bottom"/>
          </w:tcPr>
          <w:p>
            <w:pPr>
              <w:spacing w:after="0"/>
              <w:rPr>
                <w:sz w:val="14"/>
                <w:szCs w:val="14"/>
                <w:color w:val="auto"/>
              </w:rPr>
            </w:pPr>
          </w:p>
        </w:tc>
        <w:tc>
          <w:tcPr>
            <w:tcW w:w="672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155,383</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2"/>
          </w:tcPr>
          <w:p>
            <w:pPr>
              <w:ind w:left="1020"/>
              <w:spacing w:after="0"/>
              <w:rPr>
                <w:sz w:val="20"/>
                <w:szCs w:val="20"/>
                <w:color w:val="auto"/>
              </w:rPr>
            </w:pPr>
            <w:r>
              <w:rPr>
                <w:rFonts w:ascii="Arial" w:cs="Arial" w:eastAsia="Arial" w:hAnsi="Arial"/>
                <w:sz w:val="14"/>
                <w:szCs w:val="14"/>
                <w:color w:val="auto"/>
                <w:w w:val="99"/>
              </w:rPr>
              <w:t>—</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20"/>
        </w:trPr>
        <w:tc>
          <w:tcPr>
            <w:tcW w:w="160" w:type="dxa"/>
            <w:vAlign w:val="bottom"/>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63"/>
        </w:trPr>
        <w:tc>
          <w:tcPr>
            <w:tcW w:w="160" w:type="dxa"/>
            <w:vAlign w:val="bottom"/>
          </w:tcPr>
          <w:p>
            <w:pPr>
              <w:spacing w:after="0"/>
              <w:rPr>
                <w:sz w:val="14"/>
                <w:szCs w:val="14"/>
                <w:color w:val="auto"/>
              </w:rPr>
            </w:pPr>
          </w:p>
        </w:tc>
        <w:tc>
          <w:tcPr>
            <w:tcW w:w="6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0"/>
        </w:trPr>
        <w:tc>
          <w:tcPr>
            <w:tcW w:w="160" w:type="dxa"/>
            <w:vAlign w:val="bottom"/>
          </w:tcPr>
          <w:p>
            <w:pPr>
              <w:spacing w:after="0"/>
              <w:rPr>
                <w:sz w:val="15"/>
                <w:szCs w:val="15"/>
                <w:color w:val="auto"/>
              </w:rPr>
            </w:pPr>
          </w:p>
        </w:tc>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160" w:type="dxa"/>
            <w:vAlign w:val="bottom"/>
          </w:tcPr>
          <w:p>
            <w:pPr>
              <w:spacing w:after="0"/>
              <w:rPr>
                <w:sz w:val="15"/>
                <w:szCs w:val="15"/>
                <w:color w:val="auto"/>
              </w:rPr>
            </w:pPr>
          </w:p>
        </w:tc>
        <w:tc>
          <w:tcPr>
            <w:tcW w:w="67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Earn-outs treated as contingent consideration</w:t>
            </w:r>
          </w:p>
        </w:tc>
        <w:tc>
          <w:tcPr>
            <w:tcW w:w="32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1020"/>
              <w:spacing w:after="0"/>
              <w:rPr>
                <w:sz w:val="20"/>
                <w:szCs w:val="20"/>
                <w:color w:val="auto"/>
              </w:rPr>
            </w:pPr>
            <w:r>
              <w:rPr>
                <w:rFonts w:ascii="Arial" w:cs="Arial" w:eastAsia="Arial" w:hAnsi="Arial"/>
                <w:sz w:val="14"/>
                <w:szCs w:val="14"/>
                <w:color w:val="auto"/>
                <w:w w:val="99"/>
              </w:rPr>
              <w:t>—</w:t>
            </w:r>
          </w:p>
        </w:tc>
        <w:tc>
          <w:tcPr>
            <w:tcW w:w="340" w:type="dxa"/>
            <w:vAlign w:val="bottom"/>
            <w:gridSpan w:val="3"/>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22,482</w:t>
            </w:r>
          </w:p>
        </w:tc>
      </w:tr>
      <w:tr>
        <w:trPr>
          <w:trHeight w:val="180"/>
        </w:trPr>
        <w:tc>
          <w:tcPr>
            <w:tcW w:w="160" w:type="dxa"/>
            <w:vAlign w:val="bottom"/>
          </w:tcPr>
          <w:p>
            <w:pPr>
              <w:spacing w:after="0"/>
              <w:rPr>
                <w:sz w:val="15"/>
                <w:szCs w:val="15"/>
                <w:color w:val="auto"/>
              </w:rPr>
            </w:pPr>
          </w:p>
        </w:tc>
        <w:tc>
          <w:tcPr>
            <w:tcW w:w="67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Earn-outs treated as liability awards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9,882</w:t>
            </w:r>
          </w:p>
        </w:tc>
      </w:tr>
      <w:tr>
        <w:trPr>
          <w:trHeight w:val="196"/>
        </w:trPr>
        <w:tc>
          <w:tcPr>
            <w:tcW w:w="160" w:type="dxa"/>
            <w:vAlign w:val="bottom"/>
          </w:tcPr>
          <w:p>
            <w:pPr>
              <w:spacing w:after="0"/>
              <w:rPr>
                <w:sz w:val="16"/>
                <w:szCs w:val="16"/>
                <w:color w:val="auto"/>
              </w:rPr>
            </w:pPr>
          </w:p>
        </w:tc>
        <w:tc>
          <w:tcPr>
            <w:tcW w:w="6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2"/>
            <w:shd w:val="clear" w:color="auto" w:fill="CCEEFF"/>
          </w:tcPr>
          <w:p>
            <w:pPr>
              <w:ind w:left="1020"/>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32,364</w:t>
            </w:r>
          </w:p>
        </w:tc>
      </w:tr>
      <w:tr>
        <w:trPr>
          <w:trHeight w:val="20"/>
        </w:trPr>
        <w:tc>
          <w:tcPr>
            <w:tcW w:w="160" w:type="dxa"/>
            <w:vAlign w:val="bottom"/>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r>
      <w:tr>
        <w:trPr>
          <w:trHeight w:val="586"/>
        </w:trPr>
        <w:tc>
          <w:tcPr>
            <w:tcW w:w="16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 2022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0"/>
        </w:trPr>
        <w:tc>
          <w:tcPr>
            <w:tcW w:w="16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Level 2</w:t>
            </w: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Level 3</w:t>
            </w:r>
          </w:p>
        </w:tc>
        <w:tc>
          <w:tcPr>
            <w:tcW w:w="120" w:type="dxa"/>
            <w:vAlign w:val="bottom"/>
          </w:tcPr>
          <w:p>
            <w:pPr>
              <w:spacing w:after="0"/>
              <w:rPr>
                <w:sz w:val="13"/>
                <w:szCs w:val="13"/>
                <w:color w:val="auto"/>
              </w:rPr>
            </w:pPr>
          </w:p>
        </w:tc>
      </w:tr>
      <w:tr>
        <w:trPr>
          <w:trHeight w:val="198"/>
        </w:trPr>
        <w:tc>
          <w:tcPr>
            <w:tcW w:w="16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3"/>
                <w:szCs w:val="13"/>
                <w:color w:val="auto"/>
              </w:rPr>
              <w:t>(In thousands)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7"/>
        </w:trPr>
        <w:tc>
          <w:tcPr>
            <w:tcW w:w="68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180"/>
        </w:trPr>
        <w:tc>
          <w:tcPr>
            <w:tcW w:w="6880" w:type="dxa"/>
            <w:vAlign w:val="bottom"/>
            <w:gridSpan w:val="2"/>
          </w:tcPr>
          <w:p>
            <w:pPr>
              <w:ind w:left="100"/>
              <w:spacing w:after="0"/>
              <w:rPr>
                <w:sz w:val="20"/>
                <w:szCs w:val="20"/>
                <w:color w:val="auto"/>
              </w:rPr>
            </w:pPr>
            <w:r>
              <w:rPr>
                <w:rFonts w:ascii="Arial" w:cs="Arial" w:eastAsia="Arial" w:hAnsi="Arial"/>
                <w:sz w:val="14"/>
                <w:szCs w:val="14"/>
                <w:color w:val="auto"/>
              </w:rPr>
              <w:t>Cash equivalents: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1"/>
        </w:trPr>
        <w:tc>
          <w:tcPr>
            <w:tcW w:w="6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308,295</w:t>
            </w:r>
          </w:p>
        </w:tc>
        <w:tc>
          <w:tcPr>
            <w:tcW w:w="80" w:type="dxa"/>
            <w:vAlign w:val="bottom"/>
            <w:shd w:val="clear" w:color="auto" w:fill="CCEEFF"/>
          </w:tcPr>
          <w:p>
            <w:pPr>
              <w:spacing w:after="0"/>
              <w:rPr>
                <w:sz w:val="15"/>
                <w:szCs w:val="15"/>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171"/>
        </w:trPr>
        <w:tc>
          <w:tcPr>
            <w:tcW w:w="160" w:type="dxa"/>
            <w:vAlign w:val="bottom"/>
          </w:tcPr>
          <w:p>
            <w:pPr>
              <w:spacing w:after="0"/>
              <w:rPr>
                <w:sz w:val="14"/>
                <w:szCs w:val="14"/>
                <w:color w:val="auto"/>
              </w:rPr>
            </w:pPr>
          </w:p>
        </w:tc>
        <w:tc>
          <w:tcPr>
            <w:tcW w:w="67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308,295</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68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r>
      <w:tr>
        <w:trPr>
          <w:trHeight w:val="180"/>
        </w:trPr>
        <w:tc>
          <w:tcPr>
            <w:tcW w:w="6880" w:type="dxa"/>
            <w:vAlign w:val="bottom"/>
            <w:gridSpan w:val="2"/>
          </w:tcPr>
          <w:p>
            <w:pPr>
              <w:ind w:left="100"/>
              <w:spacing w:after="0"/>
              <w:rPr>
                <w:sz w:val="20"/>
                <w:szCs w:val="20"/>
                <w:color w:val="auto"/>
              </w:rPr>
            </w:pPr>
            <w:r>
              <w:rPr>
                <w:rFonts w:ascii="Arial" w:cs="Arial" w:eastAsia="Arial" w:hAnsi="Arial"/>
                <w:sz w:val="14"/>
                <w:szCs w:val="14"/>
                <w:color w:val="auto"/>
              </w:rPr>
              <w:t>Earn-outs treated as contingent consideration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5"/>
                <w:szCs w:val="15"/>
                <w:color w:val="auto"/>
              </w:rPr>
            </w:pPr>
          </w:p>
        </w:tc>
        <w:tc>
          <w:tcPr>
            <w:tcW w:w="11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20" w:type="dxa"/>
            <w:vAlign w:val="bottom"/>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20,722</w:t>
            </w:r>
          </w:p>
        </w:tc>
        <w:tc>
          <w:tcPr>
            <w:tcW w:w="120" w:type="dxa"/>
            <w:vAlign w:val="bottom"/>
          </w:tcPr>
          <w:p>
            <w:pPr>
              <w:spacing w:after="0"/>
              <w:rPr>
                <w:sz w:val="15"/>
                <w:szCs w:val="15"/>
                <w:color w:val="auto"/>
              </w:rPr>
            </w:pPr>
          </w:p>
        </w:tc>
      </w:tr>
      <w:tr>
        <w:trPr>
          <w:trHeight w:val="181"/>
        </w:trPr>
        <w:tc>
          <w:tcPr>
            <w:tcW w:w="68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Earn-outs treated as liability awards</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51,499</w:t>
            </w:r>
          </w:p>
        </w:tc>
        <w:tc>
          <w:tcPr>
            <w:tcW w:w="120" w:type="dxa"/>
            <w:vAlign w:val="bottom"/>
          </w:tcPr>
          <w:p>
            <w:pPr>
              <w:spacing w:after="0"/>
              <w:rPr>
                <w:sz w:val="15"/>
                <w:szCs w:val="15"/>
                <w:color w:val="auto"/>
              </w:rPr>
            </w:pPr>
          </w:p>
        </w:tc>
      </w:tr>
      <w:tr>
        <w:trPr>
          <w:trHeight w:val="171"/>
        </w:trPr>
        <w:tc>
          <w:tcPr>
            <w:tcW w:w="160" w:type="dxa"/>
            <w:vAlign w:val="bottom"/>
          </w:tcPr>
          <w:p>
            <w:pPr>
              <w:spacing w:after="0"/>
              <w:rPr>
                <w:sz w:val="14"/>
                <w:szCs w:val="14"/>
                <w:color w:val="auto"/>
              </w:rPr>
            </w:pPr>
          </w:p>
        </w:tc>
        <w:tc>
          <w:tcPr>
            <w:tcW w:w="672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72,221</w:t>
            </w:r>
          </w:p>
        </w:tc>
        <w:tc>
          <w:tcPr>
            <w:tcW w:w="120" w:type="dxa"/>
            <w:vAlign w:val="bottom"/>
          </w:tcPr>
          <w:p>
            <w:pPr>
              <w:spacing w:after="0"/>
              <w:rPr>
                <w:sz w:val="14"/>
                <w:szCs w:val="14"/>
                <w:color w:val="auto"/>
              </w:rPr>
            </w:pPr>
          </w:p>
        </w:tc>
      </w:tr>
      <w:tr>
        <w:trPr>
          <w:trHeight w:val="20"/>
        </w:trPr>
        <w:tc>
          <w:tcPr>
            <w:tcW w:w="1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Company’s money market funds are measured at fair value on a recurring basis based on quoted market prices in active markets and are classified as Level 1 within the fair value hierarchy. The Company’s contingent earn-out liability is</w:t>
      </w:r>
    </w:p>
    <w:p>
      <w:pPr>
        <w:spacing w:after="0" w:line="200" w:lineRule="exact"/>
        <w:rPr>
          <w:sz w:val="20"/>
          <w:szCs w:val="20"/>
          <w:color w:val="auto"/>
        </w:rPr>
      </w:pPr>
    </w:p>
    <w:p>
      <w:pPr>
        <w:spacing w:after="0" w:line="22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29" w:name="page30"/>
    <w:bookmarkEnd w:id="29"/>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measured at fair value on a recurring basis and is classified as Level 3 within the fair value hierarchy. During 2022, the unobservable inputs used for valuation of the earn-outs primarily included asset volatility, revenue volatility, weighted-average cost of capital and market price of risk for revenue. For 2023, the fair value was based on the negotiated contracts with the selling shareholders.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estimated fair value of outstanding balances of our 2024 Notes and 2026 Notes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Level of Hierarchy</w:t>
            </w:r>
          </w:p>
        </w:tc>
        <w:tc>
          <w:tcPr>
            <w:tcW w:w="8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vMerge w:val="restart"/>
          </w:tcPr>
          <w:p>
            <w:pPr>
              <w:jc w:val="right"/>
              <w:ind w:right="350"/>
              <w:spacing w:after="0"/>
              <w:rPr>
                <w:sz w:val="20"/>
                <w:szCs w:val="20"/>
                <w:color w:val="auto"/>
              </w:rPr>
            </w:pPr>
            <w:r>
              <w:rPr>
                <w:rFonts w:ascii="Arial" w:cs="Arial" w:eastAsia="Arial" w:hAnsi="Arial"/>
                <w:sz w:val="13"/>
                <w:szCs w:val="13"/>
                <w:b w:val="1"/>
                <w:bCs w:val="1"/>
                <w:color w:val="auto"/>
              </w:rPr>
              <w:t>Fair Value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3"/>
                <w:szCs w:val="13"/>
                <w:b w:val="1"/>
                <w:bCs w:val="1"/>
                <w:color w:val="auto"/>
                <w:w w:val="97"/>
              </w:rPr>
              <w:t>Principal Balance</w:t>
            </w:r>
          </w:p>
        </w:tc>
        <w:tc>
          <w:tcPr>
            <w:tcW w:w="100" w:type="dxa"/>
            <w:vAlign w:val="bottom"/>
            <w:vMerge w:val="restart"/>
          </w:tcPr>
          <w:p>
            <w:pPr>
              <w:spacing w:after="0"/>
              <w:rPr>
                <w:sz w:val="13"/>
                <w:szCs w:val="13"/>
                <w:color w:val="auto"/>
              </w:rPr>
            </w:pPr>
          </w:p>
        </w:tc>
        <w:tc>
          <w:tcPr>
            <w:tcW w:w="1540" w:type="dxa"/>
            <w:vAlign w:val="bottom"/>
            <w:gridSpan w:val="3"/>
          </w:tcPr>
          <w:p>
            <w:pPr>
              <w:ind w:left="80"/>
              <w:spacing w:after="0"/>
              <w:rPr>
                <w:sz w:val="20"/>
                <w:szCs w:val="20"/>
                <w:color w:val="auto"/>
              </w:rPr>
            </w:pPr>
            <w:r>
              <w:rPr>
                <w:rFonts w:ascii="Arial" w:cs="Arial" w:eastAsia="Arial" w:hAnsi="Arial"/>
                <w:sz w:val="13"/>
                <w:szCs w:val="13"/>
                <w:b w:val="1"/>
                <w:bCs w:val="1"/>
                <w:color w:val="auto"/>
              </w:rPr>
              <w:t>Unamortized Issuance</w:t>
            </w:r>
          </w:p>
        </w:tc>
        <w:tc>
          <w:tcPr>
            <w:tcW w:w="120" w:type="dxa"/>
            <w:vAlign w:val="bottom"/>
          </w:tcPr>
          <w:p>
            <w:pPr>
              <w:spacing w:after="0"/>
              <w:rPr>
                <w:sz w:val="13"/>
                <w:szCs w:val="13"/>
                <w:color w:val="auto"/>
              </w:rPr>
            </w:pPr>
          </w:p>
        </w:tc>
        <w:tc>
          <w:tcPr>
            <w:tcW w:w="130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w w:val="96"/>
              </w:rPr>
              <w:t>Net Carrying Value</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0"/>
              <w:spacing w:after="0"/>
              <w:rPr>
                <w:sz w:val="20"/>
                <w:szCs w:val="20"/>
                <w:color w:val="auto"/>
              </w:rPr>
            </w:pPr>
            <w:r>
              <w:rPr>
                <w:rFonts w:ascii="Arial" w:cs="Arial" w:eastAsia="Arial" w:hAnsi="Arial"/>
                <w:sz w:val="13"/>
                <w:szCs w:val="13"/>
                <w:b w:val="1"/>
                <w:bCs w:val="1"/>
                <w:color w:val="auto"/>
              </w:rPr>
              <w:t>Costs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3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gridSpan w:val="3"/>
          </w:tcPr>
          <w:p>
            <w:pPr>
              <w:jc w:val="right"/>
              <w:ind w:right="30"/>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September 30, 2023</w:t>
            </w: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Arial" w:cs="Arial" w:eastAsia="Arial" w:hAnsi="Arial"/>
                <w:sz w:val="14"/>
                <w:szCs w:val="14"/>
                <w:color w:val="auto"/>
              </w:rPr>
              <w:t>2024 and 2026 Notes</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414,159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589,992</w:t>
            </w:r>
          </w:p>
        </w:tc>
        <w:tc>
          <w:tcPr>
            <w:tcW w:w="10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(6,692)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583,300</w:t>
            </w:r>
          </w:p>
        </w:tc>
        <w:tc>
          <w:tcPr>
            <w:tcW w:w="0" w:type="dxa"/>
            <w:vAlign w:val="bottom"/>
          </w:tcPr>
          <w:p>
            <w:pPr>
              <w:spacing w:after="0"/>
              <w:rPr>
                <w:sz w:val="1"/>
                <w:szCs w:val="1"/>
                <w:color w:val="auto"/>
              </w:rPr>
            </w:pPr>
          </w:p>
        </w:tc>
      </w:tr>
      <w:tr>
        <w:trPr>
          <w:trHeight w:val="181"/>
        </w:trPr>
        <w:tc>
          <w:tcPr>
            <w:tcW w:w="38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2022</w:t>
            </w: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Arial" w:cs="Arial" w:eastAsia="Arial" w:hAnsi="Arial"/>
                <w:sz w:val="14"/>
                <w:szCs w:val="14"/>
                <w:color w:val="auto"/>
              </w:rPr>
              <w:t>2024 and 2026 Notes</w:t>
            </w:r>
          </w:p>
        </w:tc>
        <w:tc>
          <w:tcPr>
            <w:tcW w:w="13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512,900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747,500</w:t>
            </w:r>
          </w:p>
        </w:tc>
        <w:tc>
          <w:tcPr>
            <w:tcW w:w="10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(10,077)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737,423</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 xml:space="preserve">Management determines the fair value by using Level 2 inputs based on antithetic variable technique done by an independent valuation specialist. Refer to Note 8 – </w:t>
      </w:r>
      <w:r>
        <w:rPr>
          <w:rFonts w:ascii="Arial" w:cs="Arial" w:eastAsia="Arial" w:hAnsi="Arial"/>
          <w:sz w:val="14"/>
          <w:szCs w:val="14"/>
          <w:i w:val="1"/>
          <w:iCs w:val="1"/>
          <w:color w:val="auto"/>
        </w:rPr>
        <w:t>Convertible Senior Notes,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Net and Capped Call Transactions </w:t>
      </w:r>
      <w:r>
        <w:rPr>
          <w:rFonts w:ascii="Arial" w:cs="Arial" w:eastAsia="Arial" w:hAnsi="Arial"/>
          <w:sz w:val="14"/>
          <w:szCs w:val="14"/>
          <w:color w:val="auto"/>
        </w:rPr>
        <w:t>for additional details.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fair value of the Level 3 liabilities are as follows:</w:t>
      </w:r>
    </w:p>
    <w:p>
      <w:pPr>
        <w:spacing w:after="0" w:line="10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7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3"/>
                <w:szCs w:val="13"/>
                <w:color w:val="auto"/>
              </w:rPr>
            </w:pPr>
          </w:p>
        </w:tc>
        <w:tc>
          <w:tcPr>
            <w:tcW w:w="1160" w:type="dxa"/>
            <w:vAlign w:val="bottom"/>
          </w:tcPr>
          <w:p>
            <w:pPr>
              <w:jc w:val="right"/>
              <w:ind w:right="331"/>
              <w:spacing w:after="0"/>
              <w:rPr>
                <w:sz w:val="20"/>
                <w:szCs w:val="20"/>
                <w:color w:val="auto"/>
              </w:rPr>
            </w:pPr>
            <w:r>
              <w:rPr>
                <w:rFonts w:ascii="Arial" w:cs="Arial" w:eastAsia="Arial" w:hAnsi="Arial"/>
                <w:sz w:val="13"/>
                <w:szCs w:val="13"/>
                <w:b w:val="1"/>
                <w:bCs w:val="1"/>
                <w:color w:val="auto"/>
                <w:w w:val="87"/>
              </w:rPr>
              <w:t>December 31,</w:t>
            </w:r>
          </w:p>
        </w:tc>
      </w:tr>
      <w:tr>
        <w:trPr>
          <w:trHeight w:val="168"/>
        </w:trPr>
        <w:tc>
          <w:tcPr>
            <w:tcW w:w="79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2022</w:t>
            </w:r>
          </w:p>
        </w:tc>
      </w:tr>
      <w:tr>
        <w:trPr>
          <w:trHeight w:val="198"/>
        </w:trPr>
        <w:tc>
          <w:tcPr>
            <w:tcW w:w="7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1160" w:type="dxa"/>
            <w:vAlign w:val="bottom"/>
          </w:tcPr>
          <w:p>
            <w:pPr>
              <w:spacing w:after="0"/>
              <w:rPr>
                <w:sz w:val="17"/>
                <w:szCs w:val="17"/>
                <w:color w:val="auto"/>
              </w:rPr>
            </w:pPr>
          </w:p>
        </w:tc>
      </w:tr>
      <w:tr>
        <w:trPr>
          <w:trHeight w:val="18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year</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72,221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29,830</w:t>
            </w:r>
          </w:p>
        </w:tc>
      </w:tr>
      <w:tr>
        <w:trPr>
          <w:trHeight w:val="180"/>
        </w:trPr>
        <w:tc>
          <w:tcPr>
            <w:tcW w:w="7900" w:type="dxa"/>
            <w:vAlign w:val="bottom"/>
          </w:tcPr>
          <w:p>
            <w:pPr>
              <w:ind w:left="80"/>
              <w:spacing w:after="0"/>
              <w:rPr>
                <w:sz w:val="20"/>
                <w:szCs w:val="20"/>
                <w:color w:val="auto"/>
              </w:rPr>
            </w:pPr>
            <w:r>
              <w:rPr>
                <w:rFonts w:ascii="Arial" w:cs="Arial" w:eastAsia="Arial" w:hAnsi="Arial"/>
                <w:sz w:val="14"/>
                <w:szCs w:val="14"/>
                <w:color w:val="auto"/>
              </w:rPr>
              <w:t>Additions in the period</w:t>
            </w:r>
          </w:p>
        </w:tc>
        <w:tc>
          <w:tcPr>
            <w:tcW w:w="2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61,920</w:t>
            </w:r>
          </w:p>
        </w:tc>
      </w:tr>
      <w:tr>
        <w:trPr>
          <w:trHeight w:val="181"/>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Change in fair value of contingent consideration</w:t>
            </w: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(8,516)</w:t>
            </w:r>
          </w:p>
        </w:tc>
      </w:tr>
      <w:tr>
        <w:trPr>
          <w:trHeight w:val="180"/>
        </w:trPr>
        <w:tc>
          <w:tcPr>
            <w:tcW w:w="7900" w:type="dxa"/>
            <w:vAlign w:val="bottom"/>
          </w:tcPr>
          <w:p>
            <w:pPr>
              <w:ind w:left="80"/>
              <w:spacing w:after="0"/>
              <w:rPr>
                <w:sz w:val="20"/>
                <w:szCs w:val="20"/>
                <w:color w:val="auto"/>
              </w:rPr>
            </w:pPr>
            <w:r>
              <w:rPr>
                <w:rFonts w:ascii="Arial" w:cs="Arial" w:eastAsia="Arial" w:hAnsi="Arial"/>
                <w:sz w:val="14"/>
                <w:szCs w:val="14"/>
                <w:color w:val="auto"/>
              </w:rPr>
              <w:t>Change in fair value of liability awards</w:t>
            </w: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(27,731)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(11,013)</w:t>
            </w:r>
          </w:p>
        </w:tc>
      </w:tr>
      <w:tr>
        <w:trPr>
          <w:trHeight w:val="18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Payments</w:t>
            </w: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(17,568)</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900" w:type="dxa"/>
            <w:vAlign w:val="bottom"/>
          </w:tcPr>
          <w:p>
            <w:pPr>
              <w:spacing w:after="0"/>
              <w:rPr>
                <w:sz w:val="20"/>
                <w:szCs w:val="20"/>
                <w:color w:val="auto"/>
              </w:rPr>
            </w:pPr>
            <w:r>
              <w:rPr>
                <w:rFonts w:ascii="Arial" w:cs="Arial" w:eastAsia="Arial" w:hAnsi="Arial"/>
                <w:sz w:val="14"/>
                <w:szCs w:val="14"/>
                <w:color w:val="auto"/>
              </w:rPr>
              <w:t>Balance, end of period</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32,364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72,221</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Certain former stakeholders of the Company’s acquisitions are eligible to receive additional cash or share considerations based on the attainment of certain operating metrics in the periods subsequent to the acquisitions. These earn-out arrangements are accounted for as either contingent considerations arrangements or compensation arrangements. Contingent considerations are fair valued using significant inputs that are not observable in the market.</w:t>
      </w:r>
    </w:p>
    <w:p>
      <w:pPr>
        <w:spacing w:after="0" w:line="89"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The earn-outs determined to be compensatory are remeasured each reporting period based on whether the performance targets are probable of being achieved and recognized over the related service periods. During the three months ended September 30, 2023, the Company reached settlement agreements regarding the final portions of the VoiceBase and Tenfold earn-outs for approximately $15.0 million and $13.0 million, respectively.</w:t>
      </w:r>
    </w:p>
    <w:p>
      <w:pPr>
        <w:jc w:val="both"/>
        <w:ind w:firstLine="509"/>
        <w:spacing w:after="0" w:line="266" w:lineRule="auto"/>
        <w:rPr>
          <w:sz w:val="20"/>
          <w:szCs w:val="20"/>
          <w:color w:val="auto"/>
        </w:rPr>
      </w:pPr>
      <w:r>
        <w:rPr>
          <w:rFonts w:ascii="Arial" w:cs="Arial" w:eastAsia="Arial" w:hAnsi="Arial"/>
          <w:sz w:val="14"/>
          <w:szCs w:val="14"/>
          <w:color w:val="auto"/>
        </w:rPr>
        <w:t xml:space="preserve">As of September 30, 2023, we paid approximately $12.0 million in connection with the WildHealth settlement (refer to Note 9 – </w:t>
      </w:r>
      <w:r>
        <w:rPr>
          <w:rFonts w:ascii="Arial" w:cs="Arial" w:eastAsia="Arial" w:hAnsi="Arial"/>
          <w:sz w:val="14"/>
          <w:szCs w:val="14"/>
          <w:i w:val="1"/>
          <w:iCs w:val="1"/>
          <w:color w:val="auto"/>
        </w:rPr>
        <w:t>Acquisitions</w:t>
      </w:r>
      <w:r>
        <w:rPr>
          <w:rFonts w:ascii="Arial" w:cs="Arial" w:eastAsia="Arial" w:hAnsi="Arial"/>
          <w:sz w:val="14"/>
          <w:szCs w:val="14"/>
          <w:color w:val="auto"/>
        </w:rPr>
        <w:t xml:space="preserve"> for additional details) and approximately $5.6 million in connection with the VoiceBase and Tenfold settlements.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0" w:name="page31"/>
    <w:bookmarkEnd w:id="30"/>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For the three and nine months ended September 30, 2023, the change in fair value of the earn-outs was approximately an increase of $9.0 million and a net decrease of $22.3 million, respectively. Changes to the fair value of the remaining earnouts were recognized as a component of stock-based compensation expense and other (expense) income, net in the accompanying condensed consolidated statements of operations. Payments in cash were recognized as a component of compensation expense and payments in stock were recognized as a component of equity in the accompanying condensed consolidated statements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Commitments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Benefit Plans</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Company has a 401(k) defined contribution plan covering all eligible employees. The Company’s 401(k) policy is a Safe Harbor Plan, whereby the Company matches 100% of the first 3% of eligible compensation and 50% of the next 2% of eligible compensation. Furthermore, the match is immediately vested. Salaries and related expenses include $0.8 million and $2.8 million of employer matching contributions for the three months ended September 30, 2023 and 2022, respectively, and $3.1 million and $5.8 million for the nine months ended September 30, 2023 and 2022,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Letters of Credit</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As of September 30, 2023, the Company had letters of credit totaling $1.1 million outstanding as a security deposit for the due performance by the Company of the terms and conditions of a supply contract.</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Contractual obligations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has a purchase obligation agreement in connection with IT infrastructure and cloud computing-related services. The contractual obligation in connection with this arrangement is approximately $57.4 million with a remaining term of two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Indemnifications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enters into service and license agreements in its ordinary course of business. Pursuant to some of these agreements, the Company agrees to indemnify certain customers from and against certain types of claims and losses suffered or incurred by them as a result of using the Company’s products.</w:t>
      </w:r>
    </w:p>
    <w:p>
      <w:pPr>
        <w:spacing w:after="0" w:line="15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also has agreements whereby its executive officers and directors are indemnified for certain events or occurrences while the officer or director is, or was, serving at the Company’s request in such capacity. The maximum potential amount of future payments the Company could be required to make under these indemnification agreements is unlimited; however, the Company has a directors and officers insurance policy that reduces its exposure and enables the Company to recover a portion of any future amounts paid. As a result of its insurance policy coverage, the Company believes that the impact of these indemnification agreements is minimal. The Company has no liabilities recorded for these agreements as of the three and nine months ended September 30, 2023 and 2022.</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Non-Income Related Taxes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is subject to sales tax liabilities, plus applicable interest, for states in which it has economic nexus. As of September 30, 2023, there is a $1.0 million accrual balance for sales tax liabilities included within the condensed consolidated balance sheets.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Stockholders’ Equity</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Common Stock</w:t>
      </w:r>
    </w:p>
    <w:p>
      <w:pPr>
        <w:spacing w:after="0" w:line="20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As of September 30, 2023, there were 200,000,000 shares of common stock authorized, 81,190,772 shares issued, and 78,424,699 shares outstanding. As of December 31, 2022, there were 200,000,000 shares of common stock authorized, 78,350,984 shares issued, and 75,584,911 shares outstanding. The par value for the common stock is $0.001 per share.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Preferred Stock</w:t>
      </w:r>
    </w:p>
    <w:p>
      <w:pPr>
        <w:spacing w:after="0" w:line="200" w:lineRule="exact"/>
        <w:rPr>
          <w:sz w:val="20"/>
          <w:szCs w:val="20"/>
          <w:color w:val="auto"/>
        </w:rPr>
      </w:pPr>
    </w:p>
    <w:p>
      <w:pPr>
        <w:spacing w:after="0" w:line="27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1" w:name="page32"/>
    <w:bookmarkEnd w:id="31"/>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As of September 30, 2023 and December 31, 2022, there were 5,000,000 shares of preferred stock authorized, and no shares were issued or outstanding. The par value for the preferred stock is $0.001 per share.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200" w:lineRule="exact"/>
        <w:rPr>
          <w:sz w:val="20"/>
          <w:szCs w:val="20"/>
          <w:color w:val="auto"/>
        </w:rPr>
      </w:pPr>
    </w:p>
    <w:p>
      <w:pPr>
        <w:jc w:val="both"/>
        <w:ind w:firstLine="509"/>
        <w:spacing w:after="0" w:line="300" w:lineRule="auto"/>
        <w:rPr>
          <w:sz w:val="20"/>
          <w:szCs w:val="20"/>
          <w:color w:val="auto"/>
        </w:rPr>
      </w:pPr>
      <w:r>
        <w:rPr>
          <w:rFonts w:ascii="Arial" w:cs="Arial" w:eastAsia="Arial" w:hAnsi="Arial"/>
          <w:sz w:val="13"/>
          <w:szCs w:val="13"/>
          <w:color w:val="auto"/>
        </w:rPr>
        <w:t>The Company’s stock-based compensation generally includes stock options, restricted stock units (“RSUs”), performance-vesting restricted stock units (“PRSUs”), and purchases under the Company’s 2019 Employee Stock Purchase Plan. Stock-based compensation expense related to RSUs is based on the market value of the underlying stock on the date of grant and the related expense is recognized ratably over the requisite service period. The stock-based compensation expense related to PRSUs is estimated at the grant date based on the expectation that performance goals will be achieved at the stated target level. The amount of compensation cost recognized depends on the relative satisfaction of the performance condition based on performance to date.</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 Plans</w:t>
      </w:r>
    </w:p>
    <w:p>
      <w:pPr>
        <w:spacing w:after="0" w:line="200" w:lineRule="exact"/>
        <w:rPr>
          <w:sz w:val="20"/>
          <w:szCs w:val="20"/>
          <w:color w:val="auto"/>
        </w:rPr>
      </w:pPr>
    </w:p>
    <w:p>
      <w:pPr>
        <w:jc w:val="both"/>
        <w:ind w:firstLine="509"/>
        <w:spacing w:after="0" w:line="313" w:lineRule="auto"/>
        <w:rPr>
          <w:sz w:val="20"/>
          <w:szCs w:val="20"/>
          <w:color w:val="auto"/>
        </w:rPr>
      </w:pPr>
      <w:r>
        <w:rPr>
          <w:rFonts w:ascii="Arial" w:cs="Arial" w:eastAsia="Arial" w:hAnsi="Arial"/>
          <w:sz w:val="12"/>
          <w:szCs w:val="12"/>
          <w:color w:val="auto"/>
        </w:rPr>
        <w:t>The Company’s 2019 Stock Incentive Plan, became effective on April 11, 2019. The 2019 Stock Incentive Plan, as amended and restated, allows the Company to grant incentive stock options and restricted stock units to its employees and directors to participate in the Company’s future performance through stock-based awards at the discretion of the board of directors. The number of shares authorized for issuance as of September 30, 2023 was 40,067,744 shares in the aggregate. Options to acquire common stock granted thereunder have ten-year terms. As of September 30, 2023, approximately 1.7 million shares of common stock remained available for issuance (taking into account all option exercises and other equity award settlements through September 30, 2023). At the Company’s annual meeting on October 5, 2023, the stockholders of the Company approved an amendment to increase the number of shares available for issuance thereunder by 2,300,000 shares.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Employee Stock Purchase Plan</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As of September 30, 2023, there were 1,000,000 shares authorized and reserved for issuance under the 2019 Employee Stock Purchase Plan. As of September 30, 2023, approximately 0.1 million shares of common stock remain available for issuance under the Employee Stock Purchase Plan (taking into account all share purchases through September 30, 2023). At the Company’s annual meeting on October 5, 2023, the stockholders of the Company approved an amendment of the Employee Stock Purchase Plan to increase the number of shares available for issuance thereunder by 1,000,000 shares.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Inducement Plan</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There are 6,159,009 shares of common stock authorized and reserved for issuance under the Inducement Plan. On February 9, 2022, the Company’s board of directors amended the plan and authorized 2,790,961 new shares for issuance. As of September 30, 2023, approximately 1.1 million shares of common stock remained available for issuance under the Inducement Plan (taking into account all option exercises and other equity award settlements through September 30, 2023).</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2" w:name="page33"/>
    <w:bookmarkEnd w:id="32"/>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 Option Activity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the Company’s stock option activity and weighted average exercise prices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3344545</wp:posOffset>
            </wp:positionH>
            <wp:positionV relativeFrom="paragraph">
              <wp:posOffset>295275</wp:posOffset>
            </wp:positionV>
            <wp:extent cx="18796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79600" cy="698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6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Number of Options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Weighted Average</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154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88"/>
              </w:rPr>
              <w:t>Outstanding</w:t>
            </w:r>
          </w:p>
        </w:tc>
        <w:tc>
          <w:tcPr>
            <w:tcW w:w="200" w:type="dxa"/>
            <w:vAlign w:val="bottom"/>
          </w:tcPr>
          <w:p>
            <w:pPr>
              <w:spacing w:after="0"/>
              <w:rPr>
                <w:sz w:val="11"/>
                <w:szCs w:val="11"/>
                <w:color w:val="auto"/>
              </w:rPr>
            </w:pPr>
          </w:p>
        </w:tc>
        <w:tc>
          <w:tcPr>
            <w:tcW w:w="1320" w:type="dxa"/>
            <w:vAlign w:val="bottom"/>
            <w:gridSpan w:val="2"/>
          </w:tcPr>
          <w:p>
            <w:pPr>
              <w:jc w:val="center"/>
              <w:ind w:right="300"/>
              <w:spacing w:after="0" w:line="128" w:lineRule="exact"/>
              <w:rPr>
                <w:sz w:val="20"/>
                <w:szCs w:val="20"/>
                <w:color w:val="auto"/>
              </w:rPr>
            </w:pPr>
            <w:r>
              <w:rPr>
                <w:rFonts w:ascii="Arial" w:cs="Arial" w:eastAsia="Arial" w:hAnsi="Arial"/>
                <w:sz w:val="13"/>
                <w:szCs w:val="13"/>
                <w:b w:val="1"/>
                <w:bCs w:val="1"/>
                <w:color w:val="auto"/>
                <w:w w:val="89"/>
              </w:rPr>
              <w:t>Average</w:t>
            </w:r>
          </w:p>
        </w:tc>
        <w:tc>
          <w:tcPr>
            <w:tcW w:w="1540" w:type="dxa"/>
            <w:vAlign w:val="bottom"/>
            <w:gridSpan w:val="2"/>
          </w:tcPr>
          <w:p>
            <w:pPr>
              <w:jc w:val="center"/>
              <w:ind w:right="100"/>
              <w:spacing w:after="0" w:line="128" w:lineRule="exact"/>
              <w:rPr>
                <w:sz w:val="20"/>
                <w:szCs w:val="20"/>
                <w:color w:val="auto"/>
              </w:rPr>
            </w:pPr>
            <w:r>
              <w:rPr>
                <w:rFonts w:ascii="Arial" w:cs="Arial" w:eastAsia="Arial" w:hAnsi="Arial"/>
                <w:sz w:val="13"/>
                <w:szCs w:val="13"/>
                <w:b w:val="1"/>
                <w:bCs w:val="1"/>
                <w:color w:val="auto"/>
                <w:w w:val="89"/>
              </w:rPr>
              <w:t>Remaining Contractual</w:t>
            </w:r>
          </w:p>
        </w:tc>
        <w:tc>
          <w:tcPr>
            <w:tcW w:w="14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87"/>
              </w:rPr>
              <w:t>Aggregate Intrinsic Value</w:t>
            </w:r>
          </w:p>
        </w:tc>
        <w:tc>
          <w:tcPr>
            <w:tcW w:w="0" w:type="dxa"/>
            <w:vAlign w:val="bottom"/>
          </w:tcPr>
          <w:p>
            <w:pPr>
              <w:spacing w:after="0"/>
              <w:rPr>
                <w:sz w:val="1"/>
                <w:szCs w:val="1"/>
                <w:color w:val="auto"/>
              </w:rPr>
            </w:pPr>
          </w:p>
        </w:tc>
      </w:tr>
      <w:tr>
        <w:trPr>
          <w:trHeight w:val="138"/>
        </w:trPr>
        <w:tc>
          <w:tcPr>
            <w:tcW w:w="526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32"/>
              <w:spacing w:after="0" w:line="138" w:lineRule="exact"/>
              <w:rPr>
                <w:sz w:val="20"/>
                <w:szCs w:val="20"/>
                <w:color w:val="auto"/>
              </w:rPr>
            </w:pPr>
            <w:r>
              <w:rPr>
                <w:rFonts w:ascii="Arial" w:cs="Arial" w:eastAsia="Arial" w:hAnsi="Arial"/>
                <w:sz w:val="13"/>
                <w:szCs w:val="13"/>
                <w:b w:val="1"/>
                <w:bCs w:val="1"/>
                <w:color w:val="auto"/>
                <w:w w:val="87"/>
              </w:rPr>
              <w:t>Exercise Price</w:t>
            </w:r>
          </w:p>
        </w:tc>
        <w:tc>
          <w:tcPr>
            <w:tcW w:w="10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center"/>
              <w:spacing w:after="0" w:line="138" w:lineRule="exact"/>
              <w:rPr>
                <w:sz w:val="20"/>
                <w:szCs w:val="20"/>
                <w:color w:val="auto"/>
              </w:rPr>
            </w:pPr>
            <w:r>
              <w:rPr>
                <w:rFonts w:ascii="Arial" w:cs="Arial" w:eastAsia="Arial" w:hAnsi="Arial"/>
                <w:sz w:val="13"/>
                <w:szCs w:val="13"/>
                <w:b w:val="1"/>
                <w:bCs w:val="1"/>
                <w:color w:val="auto"/>
                <w:w w:val="87"/>
              </w:rPr>
              <w:t>Term</w:t>
            </w:r>
          </w:p>
        </w:tc>
        <w:tc>
          <w:tcPr>
            <w:tcW w:w="100" w:type="dxa"/>
            <w:vAlign w:val="bottom"/>
            <w:tcBorders>
              <w:bottom w:val="single" w:sz="8" w:color="CCEEFF"/>
            </w:tcBorders>
          </w:tcPr>
          <w:p>
            <w:pPr>
              <w:spacing w:after="0"/>
              <w:rPr>
                <w:sz w:val="11"/>
                <w:szCs w:val="11"/>
                <w:color w:val="auto"/>
              </w:rPr>
            </w:pPr>
          </w:p>
        </w:tc>
        <w:tc>
          <w:tcPr>
            <w:tcW w:w="14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(In thousands)</w:t>
            </w:r>
          </w:p>
        </w:tc>
        <w:tc>
          <w:tcPr>
            <w:tcW w:w="2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82"/>
              </w:rPr>
              <w:t>(Per share)</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7"/>
              </w:rPr>
              <w:t>(In years)</w:t>
            </w:r>
          </w:p>
        </w:tc>
        <w:tc>
          <w:tcPr>
            <w:tcW w:w="2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71"/>
              <w:spacing w:after="0"/>
              <w:rPr>
                <w:sz w:val="20"/>
                <w:szCs w:val="20"/>
                <w:color w:val="auto"/>
              </w:rPr>
            </w:pPr>
            <w:r>
              <w:rPr>
                <w:rFonts w:ascii="Arial" w:cs="Arial" w:eastAsia="Arial" w:hAnsi="Arial"/>
                <w:sz w:val="13"/>
                <w:szCs w:val="13"/>
                <w:color w:val="auto"/>
              </w:rPr>
              <w:t>(In thousands)</w:t>
            </w:r>
          </w:p>
        </w:tc>
        <w:tc>
          <w:tcPr>
            <w:tcW w:w="0" w:type="dxa"/>
            <w:vAlign w:val="bottom"/>
          </w:tcPr>
          <w:p>
            <w:pPr>
              <w:spacing w:after="0"/>
              <w:rPr>
                <w:sz w:val="1"/>
                <w:szCs w:val="1"/>
                <w:color w:val="auto"/>
              </w:rPr>
            </w:pP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Balance outstanding as of December 31, 2022</w:t>
            </w:r>
          </w:p>
        </w:tc>
        <w:tc>
          <w:tcPr>
            <w:tcW w:w="1440" w:type="dxa"/>
            <w:vAlign w:val="bottom"/>
          </w:tcPr>
          <w:p>
            <w:pPr>
              <w:jc w:val="right"/>
              <w:spacing w:after="0"/>
              <w:rPr>
                <w:sz w:val="20"/>
                <w:szCs w:val="20"/>
                <w:color w:val="auto"/>
              </w:rPr>
            </w:pPr>
            <w:r>
              <w:rPr>
                <w:rFonts w:ascii="Arial" w:cs="Arial" w:eastAsia="Arial" w:hAnsi="Arial"/>
                <w:sz w:val="14"/>
                <w:szCs w:val="14"/>
                <w:color w:val="auto"/>
              </w:rPr>
              <w:t>4,459</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24.25</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6.08</w:t>
            </w:r>
          </w:p>
        </w:tc>
        <w:tc>
          <w:tcPr>
            <w:tcW w:w="10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1,327</w:t>
            </w: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Granted</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260" w:type="dxa"/>
            <w:vAlign w:val="bottom"/>
          </w:tcPr>
          <w:p>
            <w:pPr>
              <w:ind w:left="120"/>
              <w:spacing w:after="0"/>
              <w:rPr>
                <w:sz w:val="20"/>
                <w:szCs w:val="20"/>
                <w:color w:val="auto"/>
              </w:rPr>
            </w:pPr>
            <w:r>
              <w:rPr>
                <w:rFonts w:ascii="Arial" w:cs="Arial" w:eastAsia="Arial" w:hAnsi="Arial"/>
                <w:sz w:val="14"/>
                <w:szCs w:val="14"/>
                <w:color w:val="auto"/>
              </w:rPr>
              <w:t>Exercised</w:t>
            </w:r>
          </w:p>
        </w:tc>
        <w:tc>
          <w:tcPr>
            <w:tcW w:w="14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Cancelled or expired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28.15</w:t>
            </w: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60" w:type="dxa"/>
            <w:vAlign w:val="bottom"/>
          </w:tcPr>
          <w:p>
            <w:pPr>
              <w:ind w:left="20"/>
              <w:spacing w:after="0"/>
              <w:rPr>
                <w:sz w:val="20"/>
                <w:szCs w:val="20"/>
                <w:color w:val="auto"/>
              </w:rPr>
            </w:pPr>
            <w:r>
              <w:rPr>
                <w:rFonts w:ascii="Arial" w:cs="Arial" w:eastAsia="Arial" w:hAnsi="Arial"/>
                <w:sz w:val="14"/>
                <w:szCs w:val="14"/>
                <w:color w:val="auto"/>
              </w:rPr>
              <w:t>Balance outstanding as of September 30, 2023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3,255</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22.67</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Options vested and expected to vest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27.68</w:t>
            </w: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260" w:type="dxa"/>
            <w:vAlign w:val="bottom"/>
          </w:tcPr>
          <w:p>
            <w:pPr>
              <w:ind w:left="20"/>
              <w:spacing w:after="0" w:line="143" w:lineRule="exact"/>
              <w:rPr>
                <w:sz w:val="20"/>
                <w:szCs w:val="20"/>
                <w:color w:val="auto"/>
              </w:rPr>
            </w:pPr>
            <w:r>
              <w:rPr>
                <w:rFonts w:ascii="Arial" w:cs="Arial" w:eastAsia="Arial" w:hAnsi="Arial"/>
                <w:sz w:val="14"/>
                <w:szCs w:val="14"/>
                <w:color w:val="auto"/>
              </w:rPr>
              <w:t>Options exercisable as of September 30, 2023</w:t>
            </w: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2,578</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21.54</w:t>
            </w:r>
          </w:p>
        </w:tc>
        <w:tc>
          <w:tcPr>
            <w:tcW w:w="10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4.61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total fair value of stock options exercised during the nine months ended September 30, 2023 was approximately $2.3 million. As of September 30, 2023, there was approximately $6.9 million of total unrecognized compensation cost related to nonvested share-based compensation arrangements. That cost is expected to be recognized over a weighted average period of approximately 2.0 years.</w:t>
      </w:r>
    </w:p>
    <w:p>
      <w:pPr>
        <w:spacing w:after="0" w:line="1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There were no stock options granted during the three months ended September 30, 2023. The per share weighted average fair value of stock options granted was $7.35 during the three months ended September 30, 2022. The per share weighted average fair value of stock options granted was $6.54 and $11.16 during the nine months ended September 30, 2023 and 2022, respectively. The fair value of each option grant is estimated on the date of grant, adjusted for estimated forfeitures, using the Black-Scholes option-pricing model with the following weighted average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200" w:type="dxa"/>
            <w:vAlign w:val="bottom"/>
          </w:tcPr>
          <w:p>
            <w:pPr>
              <w:spacing w:after="0"/>
              <w:rPr>
                <w:sz w:val="14"/>
                <w:szCs w:val="14"/>
                <w:color w:val="auto"/>
              </w:rPr>
            </w:pPr>
          </w:p>
        </w:tc>
        <w:tc>
          <w:tcPr>
            <w:tcW w:w="3600" w:type="dxa"/>
            <w:vAlign w:val="bottom"/>
            <w:gridSpan w:val="5"/>
          </w:tcPr>
          <w:p>
            <w:pPr>
              <w:ind w:left="760"/>
              <w:spacing w:after="0"/>
              <w:rPr>
                <w:sz w:val="20"/>
                <w:szCs w:val="20"/>
                <w:color w:val="auto"/>
              </w:rPr>
            </w:pPr>
            <w:r>
              <w:rPr>
                <w:rFonts w:ascii="Arial" w:cs="Arial" w:eastAsia="Arial" w:hAnsi="Arial"/>
                <w:sz w:val="13"/>
                <w:szCs w:val="13"/>
                <w:b w:val="1"/>
                <w:bCs w:val="1"/>
                <w:color w:val="auto"/>
              </w:rPr>
              <w:t>Three Months Ended September 30,</w:t>
            </w:r>
          </w:p>
        </w:tc>
        <w:tc>
          <w:tcPr>
            <w:tcW w:w="2680" w:type="dxa"/>
            <w:vAlign w:val="bottom"/>
            <w:gridSpan w:val="4"/>
          </w:tcPr>
          <w:p>
            <w:pPr>
              <w:ind w:left="780"/>
              <w:spacing w:after="0"/>
              <w:rPr>
                <w:sz w:val="20"/>
                <w:szCs w:val="20"/>
                <w:color w:val="auto"/>
              </w:rPr>
            </w:pPr>
            <w:r>
              <w:rPr>
                <w:rFonts w:ascii="Arial" w:cs="Arial" w:eastAsia="Arial" w:hAnsi="Arial"/>
                <w:sz w:val="13"/>
                <w:szCs w:val="13"/>
                <w:b w:val="1"/>
                <w:bCs w:val="1"/>
                <w:color w:val="auto"/>
                <w:w w:val="87"/>
              </w:rPr>
              <w:t>Nine Months Ended September 30,</w:t>
            </w:r>
          </w:p>
        </w:tc>
        <w:tc>
          <w:tcPr>
            <w:tcW w:w="800" w:type="dxa"/>
            <w:vAlign w:val="bottom"/>
          </w:tcPr>
          <w:p>
            <w:pPr>
              <w:spacing w:after="0"/>
              <w:rPr>
                <w:sz w:val="14"/>
                <w:szCs w:val="14"/>
                <w:color w:val="auto"/>
              </w:rPr>
            </w:pPr>
          </w:p>
        </w:tc>
      </w:tr>
      <w:tr>
        <w:trPr>
          <w:trHeight w:val="160"/>
        </w:trPr>
        <w:tc>
          <w:tcPr>
            <w:tcW w:w="4200" w:type="dxa"/>
            <w:vAlign w:val="bottom"/>
            <w:tcBorders>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Borders>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2023</w:t>
            </w:r>
          </w:p>
        </w:tc>
        <w:tc>
          <w:tcPr>
            <w:tcW w:w="80" w:type="dxa"/>
            <w:vAlign w:val="bottom"/>
            <w:tcBorders>
              <w:top w:val="single" w:sz="8" w:color="auto"/>
              <w:bottom w:val="single" w:sz="8" w:color="CCEEFF"/>
            </w:tcBorders>
          </w:tcPr>
          <w:p>
            <w:pPr>
              <w:spacing w:after="0"/>
              <w:rPr>
                <w:sz w:val="13"/>
                <w:szCs w:val="13"/>
                <w:color w:val="auto"/>
              </w:rPr>
            </w:pPr>
          </w:p>
        </w:tc>
        <w:tc>
          <w:tcPr>
            <w:tcW w:w="17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2022</w:t>
            </w:r>
          </w:p>
        </w:tc>
      </w:tr>
      <w:tr>
        <w:trPr>
          <w:trHeight w:val="173"/>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Dividend yield</w:t>
            </w:r>
          </w:p>
        </w:tc>
        <w:tc>
          <w:tcPr>
            <w:tcW w:w="1700" w:type="dxa"/>
            <w:vAlign w:val="bottom"/>
            <w:shd w:val="clear" w:color="auto" w:fill="CCEEFF"/>
          </w:tcPr>
          <w:p>
            <w:pPr>
              <w:ind w:left="740"/>
              <w:spacing w:after="0"/>
              <w:rPr>
                <w:sz w:val="20"/>
                <w:szCs w:val="20"/>
                <w:color w:val="auto"/>
              </w:rPr>
            </w:pPr>
            <w:r>
              <w:rPr>
                <w:rFonts w:ascii="Arial" w:cs="Arial" w:eastAsia="Arial" w:hAnsi="Arial"/>
                <w:sz w:val="13"/>
                <w:szCs w:val="13"/>
                <w:color w:val="auto"/>
              </w:rPr>
              <w:t>N/A</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0.00%</w:t>
            </w:r>
          </w:p>
        </w:tc>
        <w:tc>
          <w:tcPr>
            <w:tcW w:w="100" w:type="dxa"/>
            <w:vAlign w:val="bottom"/>
            <w:shd w:val="clear" w:color="auto" w:fill="CCEEFF"/>
          </w:tcPr>
          <w:p>
            <w:pPr>
              <w:spacing w:after="0"/>
              <w:rPr>
                <w:sz w:val="15"/>
                <w:szCs w:val="15"/>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0.00%</w:t>
            </w:r>
          </w:p>
        </w:tc>
        <w:tc>
          <w:tcPr>
            <w:tcW w:w="80" w:type="dxa"/>
            <w:vAlign w:val="bottom"/>
            <w:shd w:val="clear" w:color="auto" w:fill="CCEEFF"/>
          </w:tcPr>
          <w:p>
            <w:pPr>
              <w:spacing w:after="0"/>
              <w:rPr>
                <w:sz w:val="15"/>
                <w:szCs w:val="15"/>
                <w:color w:val="auto"/>
              </w:rPr>
            </w:pPr>
          </w:p>
        </w:tc>
        <w:tc>
          <w:tcPr>
            <w:tcW w:w="1700" w:type="dxa"/>
            <w:vAlign w:val="bottom"/>
            <w:gridSpan w:val="3"/>
            <w:shd w:val="clear" w:color="auto" w:fill="CCEEFF"/>
          </w:tcPr>
          <w:p>
            <w:pPr>
              <w:jc w:val="center"/>
              <w:spacing w:after="0"/>
              <w:rPr>
                <w:sz w:val="20"/>
                <w:szCs w:val="20"/>
                <w:color w:val="auto"/>
              </w:rPr>
            </w:pPr>
            <w:r>
              <w:rPr>
                <w:rFonts w:ascii="Arial" w:cs="Arial" w:eastAsia="Arial" w:hAnsi="Arial"/>
                <w:sz w:val="13"/>
                <w:szCs w:val="13"/>
                <w:color w:val="auto"/>
                <w:w w:val="92"/>
              </w:rPr>
              <w:t>0.00%</w:t>
            </w:r>
          </w:p>
        </w:tc>
      </w:tr>
      <w:tr>
        <w:trPr>
          <w:trHeight w:val="176"/>
        </w:trPr>
        <w:tc>
          <w:tcPr>
            <w:tcW w:w="4200" w:type="dxa"/>
            <w:vAlign w:val="bottom"/>
          </w:tcPr>
          <w:p>
            <w:pPr>
              <w:ind w:left="20"/>
              <w:spacing w:after="0"/>
              <w:rPr>
                <w:sz w:val="20"/>
                <w:szCs w:val="20"/>
                <w:color w:val="auto"/>
              </w:rPr>
            </w:pPr>
            <w:r>
              <w:rPr>
                <w:rFonts w:ascii="Arial" w:cs="Arial" w:eastAsia="Arial" w:hAnsi="Arial"/>
                <w:sz w:val="13"/>
                <w:szCs w:val="13"/>
                <w:color w:val="auto"/>
              </w:rPr>
              <w:t>Risk-free interest rate</w:t>
            </w:r>
          </w:p>
        </w:tc>
        <w:tc>
          <w:tcPr>
            <w:tcW w:w="1800" w:type="dxa"/>
            <w:vAlign w:val="bottom"/>
            <w:gridSpan w:val="2"/>
          </w:tcPr>
          <w:p>
            <w:pPr>
              <w:ind w:left="740"/>
              <w:spacing w:after="0"/>
              <w:rPr>
                <w:sz w:val="20"/>
                <w:szCs w:val="20"/>
                <w:color w:val="auto"/>
              </w:rPr>
            </w:pPr>
            <w:r>
              <w:rPr>
                <w:rFonts w:ascii="Arial" w:cs="Arial" w:eastAsia="Arial" w:hAnsi="Arial"/>
                <w:sz w:val="13"/>
                <w:szCs w:val="13"/>
                <w:color w:val="auto"/>
              </w:rPr>
              <w:t>N/A</w:t>
            </w:r>
          </w:p>
        </w:tc>
        <w:tc>
          <w:tcPr>
            <w:tcW w:w="800" w:type="dxa"/>
            <w:vAlign w:val="bottom"/>
          </w:tcPr>
          <w:p>
            <w:pPr>
              <w:jc w:val="right"/>
              <w:spacing w:after="0"/>
              <w:rPr>
                <w:sz w:val="20"/>
                <w:szCs w:val="20"/>
                <w:color w:val="auto"/>
              </w:rPr>
            </w:pPr>
            <w:r>
              <w:rPr>
                <w:rFonts w:ascii="Arial" w:cs="Arial" w:eastAsia="Arial" w:hAnsi="Arial"/>
                <w:sz w:val="13"/>
                <w:szCs w:val="13"/>
                <w:color w:val="auto"/>
              </w:rPr>
              <w:t>2.82%</w:t>
            </w:r>
          </w:p>
        </w:tc>
        <w:tc>
          <w:tcPr>
            <w:tcW w:w="900" w:type="dxa"/>
            <w:vAlign w:val="bottom"/>
          </w:tcPr>
          <w:p>
            <w:pPr>
              <w:ind w:left="20"/>
              <w:spacing w:after="0"/>
              <w:rPr>
                <w:sz w:val="20"/>
                <w:szCs w:val="20"/>
                <w:color w:val="auto"/>
              </w:rPr>
            </w:pPr>
            <w:r>
              <w:rPr>
                <w:rFonts w:ascii="Arial" w:cs="Arial" w:eastAsia="Arial" w:hAnsi="Arial"/>
                <w:sz w:val="13"/>
                <w:szCs w:val="13"/>
                <w:color w:val="auto"/>
              </w:rPr>
              <w:t>- 3.05%</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7"/>
              </w:rPr>
              <w:t>3.60%</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ind w:left="20"/>
              <w:spacing w:after="0"/>
              <w:rPr>
                <w:sz w:val="20"/>
                <w:szCs w:val="20"/>
                <w:color w:val="auto"/>
              </w:rPr>
            </w:pPr>
            <w:r>
              <w:rPr>
                <w:rFonts w:ascii="Arial" w:cs="Arial" w:eastAsia="Arial" w:hAnsi="Arial"/>
                <w:sz w:val="13"/>
                <w:szCs w:val="13"/>
                <w:color w:val="auto"/>
              </w:rPr>
              <w:t>3.38%</w:t>
            </w:r>
          </w:p>
        </w:tc>
      </w:tr>
      <w:tr>
        <w:trPr>
          <w:trHeight w:val="185"/>
        </w:trPr>
        <w:tc>
          <w:tcPr>
            <w:tcW w:w="4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Expected life (in years)</w:t>
            </w:r>
          </w:p>
        </w:tc>
        <w:tc>
          <w:tcPr>
            <w:tcW w:w="180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N/A</w:t>
            </w:r>
          </w:p>
        </w:tc>
        <w:tc>
          <w:tcPr>
            <w:tcW w:w="800" w:type="dxa"/>
            <w:vAlign w:val="bottom"/>
            <w:shd w:val="clear" w:color="auto" w:fill="CCEEFF"/>
          </w:tcPr>
          <w:p>
            <w:pPr>
              <w:spacing w:after="0"/>
              <w:rPr>
                <w:sz w:val="16"/>
                <w:szCs w:val="16"/>
                <w:color w:val="auto"/>
              </w:rPr>
            </w:pPr>
          </w:p>
        </w:tc>
        <w:tc>
          <w:tcPr>
            <w:tcW w:w="900" w:type="dxa"/>
            <w:vAlign w:val="bottom"/>
            <w:shd w:val="clear" w:color="auto" w:fill="CCEEFF"/>
          </w:tcPr>
          <w:p>
            <w:pPr>
              <w:jc w:val="center"/>
              <w:ind w:right="733"/>
              <w:spacing w:after="0"/>
              <w:rPr>
                <w:sz w:val="20"/>
                <w:szCs w:val="20"/>
                <w:color w:val="auto"/>
              </w:rPr>
            </w:pPr>
            <w:r>
              <w:rPr>
                <w:rFonts w:ascii="Arial" w:cs="Arial" w:eastAsia="Arial" w:hAnsi="Arial"/>
                <w:sz w:val="13"/>
                <w:szCs w:val="13"/>
                <w:color w:val="auto"/>
                <w:w w:val="82"/>
              </w:rPr>
              <w:t>5</w:t>
            </w:r>
          </w:p>
        </w:tc>
        <w:tc>
          <w:tcPr>
            <w:tcW w:w="10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5</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w:t>
            </w:r>
          </w:p>
        </w:tc>
        <w:tc>
          <w:tcPr>
            <w:tcW w:w="800" w:type="dxa"/>
            <w:vAlign w:val="bottom"/>
            <w:shd w:val="clear" w:color="auto" w:fill="CCEEFF"/>
          </w:tcPr>
          <w:p>
            <w:pPr>
              <w:spacing w:after="0"/>
              <w:rPr>
                <w:sz w:val="16"/>
                <w:szCs w:val="16"/>
                <w:color w:val="auto"/>
              </w:rPr>
            </w:pPr>
          </w:p>
        </w:tc>
      </w:tr>
      <w:tr>
        <w:trPr>
          <w:trHeight w:val="172"/>
        </w:trPr>
        <w:tc>
          <w:tcPr>
            <w:tcW w:w="4200" w:type="dxa"/>
            <w:vAlign w:val="bottom"/>
          </w:tcPr>
          <w:p>
            <w:pPr>
              <w:ind w:left="20"/>
              <w:spacing w:after="0"/>
              <w:rPr>
                <w:sz w:val="20"/>
                <w:szCs w:val="20"/>
                <w:color w:val="auto"/>
              </w:rPr>
            </w:pPr>
            <w:r>
              <w:rPr>
                <w:rFonts w:ascii="Arial" w:cs="Arial" w:eastAsia="Arial" w:hAnsi="Arial"/>
                <w:sz w:val="13"/>
                <w:szCs w:val="13"/>
                <w:color w:val="auto"/>
              </w:rPr>
              <w:t>Historical volatility</w:t>
            </w:r>
          </w:p>
        </w:tc>
        <w:tc>
          <w:tcPr>
            <w:tcW w:w="1800" w:type="dxa"/>
            <w:vAlign w:val="bottom"/>
            <w:gridSpan w:val="2"/>
          </w:tcPr>
          <w:p>
            <w:pPr>
              <w:ind w:left="740"/>
              <w:spacing w:after="0"/>
              <w:rPr>
                <w:sz w:val="20"/>
                <w:szCs w:val="20"/>
                <w:color w:val="auto"/>
              </w:rPr>
            </w:pPr>
            <w:r>
              <w:rPr>
                <w:rFonts w:ascii="Arial" w:cs="Arial" w:eastAsia="Arial" w:hAnsi="Arial"/>
                <w:sz w:val="13"/>
                <w:szCs w:val="13"/>
                <w:color w:val="auto"/>
              </w:rPr>
              <w:t>N/A</w:t>
            </w:r>
          </w:p>
        </w:tc>
        <w:tc>
          <w:tcPr>
            <w:tcW w:w="800" w:type="dxa"/>
            <w:vAlign w:val="bottom"/>
          </w:tcPr>
          <w:p>
            <w:pPr>
              <w:jc w:val="right"/>
              <w:spacing w:after="0"/>
              <w:rPr>
                <w:sz w:val="20"/>
                <w:szCs w:val="20"/>
                <w:color w:val="auto"/>
              </w:rPr>
            </w:pPr>
            <w:r>
              <w:rPr>
                <w:rFonts w:ascii="Arial" w:cs="Arial" w:eastAsia="Arial" w:hAnsi="Arial"/>
                <w:sz w:val="13"/>
                <w:szCs w:val="13"/>
                <w:color w:val="auto"/>
              </w:rPr>
              <w:t>59.74%</w:t>
            </w:r>
          </w:p>
        </w:tc>
        <w:tc>
          <w:tcPr>
            <w:tcW w:w="900" w:type="dxa"/>
            <w:vAlign w:val="bottom"/>
          </w:tcPr>
          <w:p>
            <w:pPr>
              <w:ind w:left="20"/>
              <w:spacing w:after="0"/>
              <w:rPr>
                <w:sz w:val="20"/>
                <w:szCs w:val="20"/>
                <w:color w:val="auto"/>
              </w:rPr>
            </w:pPr>
            <w:r>
              <w:rPr>
                <w:rFonts w:ascii="Arial" w:cs="Arial" w:eastAsia="Arial" w:hAnsi="Arial"/>
                <w:sz w:val="13"/>
                <w:szCs w:val="13"/>
                <w:color w:val="auto"/>
              </w:rPr>
              <w:t>- 61.22%</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3"/>
                <w:szCs w:val="13"/>
                <w:color w:val="auto"/>
                <w:w w:val="90"/>
              </w:rPr>
              <w:t>65.17%</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53.87%</w:t>
            </w:r>
          </w:p>
        </w:tc>
        <w:tc>
          <w:tcPr>
            <w:tcW w:w="1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800" w:type="dxa"/>
            <w:vAlign w:val="bottom"/>
          </w:tcPr>
          <w:p>
            <w:pPr>
              <w:ind w:left="20"/>
              <w:spacing w:after="0"/>
              <w:rPr>
                <w:sz w:val="20"/>
                <w:szCs w:val="20"/>
                <w:color w:val="auto"/>
              </w:rPr>
            </w:pPr>
            <w:r>
              <w:rPr>
                <w:rFonts w:ascii="Arial" w:cs="Arial" w:eastAsia="Arial" w:hAnsi="Arial"/>
                <w:sz w:val="13"/>
                <w:szCs w:val="13"/>
                <w:color w:val="auto"/>
              </w:rPr>
              <w:t>61.22%</w:t>
            </w:r>
          </w:p>
        </w:tc>
      </w:tr>
    </w:tbl>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description of the methods used in the significant assumptions used to estimate the fair value of stock-based compensation awards follows:</w:t>
      </w:r>
    </w:p>
    <w:p>
      <w:pPr>
        <w:spacing w:after="0" w:line="94" w:lineRule="exact"/>
        <w:rPr>
          <w:sz w:val="20"/>
          <w:szCs w:val="20"/>
          <w:color w:val="auto"/>
        </w:rPr>
      </w:pPr>
    </w:p>
    <w:p>
      <w:pPr>
        <w:ind w:left="900" w:hanging="259"/>
        <w:spacing w:after="0"/>
        <w:tabs>
          <w:tab w:leader="none" w:pos="90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Dividend yield – </w:t>
      </w:r>
      <w:r>
        <w:rPr>
          <w:rFonts w:ascii="Arial" w:cs="Arial" w:eastAsia="Arial" w:hAnsi="Arial"/>
          <w:sz w:val="14"/>
          <w:szCs w:val="14"/>
          <w:color w:val="auto"/>
        </w:rPr>
        <w:t>The Company uses 0% as it has never issued dividends and does not anticipate issuing dividends in the near term.</w:t>
      </w:r>
    </w:p>
    <w:p>
      <w:pPr>
        <w:spacing w:after="0" w:line="93" w:lineRule="exact"/>
        <w:rPr>
          <w:rFonts w:ascii="Arial" w:cs="Arial" w:eastAsia="Arial" w:hAnsi="Arial"/>
          <w:sz w:val="14"/>
          <w:szCs w:val="14"/>
          <w:i w:val="1"/>
          <w:iCs w:val="1"/>
          <w:color w:val="auto"/>
        </w:rPr>
      </w:pPr>
    </w:p>
    <w:p>
      <w:pPr>
        <w:ind w:left="900" w:hanging="259"/>
        <w:spacing w:after="0" w:line="281" w:lineRule="auto"/>
        <w:tabs>
          <w:tab w:leader="none" w:pos="896"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Risk-free interest rate – </w:t>
      </w:r>
      <w:r>
        <w:rPr>
          <w:rFonts w:ascii="Arial" w:cs="Arial" w:eastAsia="Arial" w:hAnsi="Arial"/>
          <w:sz w:val="14"/>
          <w:szCs w:val="14"/>
          <w:color w:val="auto"/>
        </w:rPr>
        <w:t>The Company uses the market yield on U.S. Treasury securities at five years with constant maturity, representing the current expected life of stock options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years.</w:t>
      </w:r>
    </w:p>
    <w:p>
      <w:pPr>
        <w:spacing w:after="0" w:line="47" w:lineRule="exact"/>
        <w:rPr>
          <w:rFonts w:ascii="Arial" w:cs="Arial" w:eastAsia="Arial" w:hAnsi="Arial"/>
          <w:sz w:val="14"/>
          <w:szCs w:val="14"/>
          <w:color w:val="auto"/>
        </w:rPr>
      </w:pPr>
    </w:p>
    <w:p>
      <w:pPr>
        <w:ind w:left="900" w:hanging="259"/>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Expected life – </w:t>
      </w:r>
      <w:r>
        <w:rPr>
          <w:rFonts w:ascii="Arial" w:cs="Arial" w:eastAsia="Arial" w:hAnsi="Arial"/>
          <w:sz w:val="14"/>
          <w:szCs w:val="14"/>
          <w:color w:val="auto"/>
        </w:rPr>
        <w:t>The Company uses historical data to estimate the expected life of a stock option.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1"/>
        </w:numPr>
        <w:rPr>
          <w:rFonts w:ascii="Arial" w:cs="Arial" w:eastAsia="Arial" w:hAnsi="Arial"/>
          <w:sz w:val="14"/>
          <w:szCs w:val="14"/>
          <w:color w:val="auto"/>
        </w:rPr>
      </w:pPr>
      <w:r>
        <w:rPr>
          <w:rFonts w:ascii="Arial" w:cs="Arial" w:eastAsia="Arial" w:hAnsi="Arial"/>
          <w:sz w:val="14"/>
          <w:szCs w:val="14"/>
          <w:i w:val="1"/>
          <w:iCs w:val="1"/>
          <w:color w:val="auto"/>
        </w:rPr>
        <w:t xml:space="preserve">Historical volatility – </w:t>
      </w:r>
      <w:r>
        <w:rPr>
          <w:rFonts w:ascii="Arial" w:cs="Arial" w:eastAsia="Arial" w:hAnsi="Arial"/>
          <w:sz w:val="14"/>
          <w:szCs w:val="14"/>
          <w:color w:val="auto"/>
        </w:rPr>
        <w:t>The Company uses a trailing five year from grant date to determine volatility.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Restricted Stock Unit and Performance-Vesting Restricted Stock Unit Activity</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 summary of the Company’s RSUs and PRSUs activity and weighted average exercise prices follows:</w:t>
      </w:r>
    </w:p>
    <w:p>
      <w:pPr>
        <w:spacing w:after="0" w:line="200" w:lineRule="exact"/>
        <w:rPr>
          <w:sz w:val="20"/>
          <w:szCs w:val="20"/>
          <w:color w:val="auto"/>
        </w:rPr>
      </w:pP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3" w:name="page34"/>
    <w:bookmarkEnd w:id="33"/>
    <w:p>
      <w:pPr>
        <w:jc w:val="center"/>
        <w:ind w:left="320"/>
        <w:spacing w:after="0"/>
        <w:rPr>
          <w:sz w:val="20"/>
          <w:szCs w:val="20"/>
          <w:color w:val="auto"/>
        </w:rPr>
      </w:pPr>
      <w:r>
        <w:rPr>
          <w:rFonts w:ascii="Arial" w:cs="Arial" w:eastAsia="Arial" w:hAnsi="Arial"/>
          <w:sz w:val="14"/>
          <w:szCs w:val="14"/>
          <w:b w:val="1"/>
          <w:bCs w:val="1"/>
          <w:color w:val="auto"/>
        </w:rPr>
        <w:t>NOTES TO CONDENSED CONSOLIDATED FINANCIAL STATEMENTS</w:t>
      </w:r>
    </w:p>
    <w:p>
      <w:pPr>
        <w:spacing w:after="0" w:line="8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5700" w:type="dxa"/>
            <w:vAlign w:val="bottom"/>
          </w:tcPr>
          <w:p>
            <w:pPr>
              <w:spacing w:after="0"/>
              <w:rPr>
                <w:sz w:val="14"/>
                <w:szCs w:val="14"/>
                <w:color w:val="auto"/>
              </w:rPr>
            </w:pPr>
          </w:p>
        </w:tc>
        <w:tc>
          <w:tcPr>
            <w:tcW w:w="3580" w:type="dxa"/>
            <w:vAlign w:val="bottom"/>
            <w:gridSpan w:val="5"/>
          </w:tcPr>
          <w:p>
            <w:pPr>
              <w:ind w:left="940"/>
              <w:spacing w:after="0"/>
              <w:rPr>
                <w:sz w:val="20"/>
                <w:szCs w:val="20"/>
                <w:color w:val="auto"/>
              </w:rPr>
            </w:pPr>
            <w:r>
              <w:rPr>
                <w:rFonts w:ascii="Arial" w:cs="Arial" w:eastAsia="Arial" w:hAnsi="Arial"/>
                <w:sz w:val="13"/>
                <w:szCs w:val="13"/>
                <w:b w:val="1"/>
                <w:bCs w:val="1"/>
                <w:color w:val="auto"/>
              </w:rPr>
              <w:t>Restricted Stock Unit Activity</w:t>
            </w:r>
          </w:p>
        </w:tc>
        <w:tc>
          <w:tcPr>
            <w:tcW w:w="2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5700" w:type="dxa"/>
            <w:vAlign w:val="bottom"/>
          </w:tcPr>
          <w:p>
            <w:pPr>
              <w:spacing w:after="0"/>
              <w:rPr>
                <w:sz w:val="10"/>
                <w:szCs w:val="10"/>
                <w:color w:val="auto"/>
              </w:rPr>
            </w:pP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7"/>
              </w:rPr>
              <w:t>Number of Shares</w:t>
            </w:r>
          </w:p>
        </w:tc>
        <w:tc>
          <w:tcPr>
            <w:tcW w:w="100" w:type="dxa"/>
            <w:vAlign w:val="bottom"/>
            <w:tcBorders>
              <w:top w:val="single" w:sz="8" w:color="auto"/>
            </w:tcBorders>
            <w:vMerge w:val="restart"/>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tcPr>
          <w:p>
            <w:pPr>
              <w:jc w:val="center"/>
              <w:ind w:right="132"/>
              <w:spacing w:after="0" w:line="120" w:lineRule="exact"/>
              <w:rPr>
                <w:sz w:val="20"/>
                <w:szCs w:val="20"/>
                <w:color w:val="auto"/>
              </w:rPr>
            </w:pPr>
            <w:r>
              <w:rPr>
                <w:rFonts w:ascii="Arial" w:cs="Arial" w:eastAsia="Arial" w:hAnsi="Arial"/>
                <w:sz w:val="13"/>
                <w:szCs w:val="13"/>
                <w:b w:val="1"/>
                <w:bCs w:val="1"/>
                <w:color w:val="auto"/>
                <w:w w:val="86"/>
              </w:rPr>
              <w:t>Weighted Average</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w w:val="99"/>
              </w:rPr>
              <w:t>Aggregate Fair Value</w:t>
            </w:r>
          </w:p>
        </w:tc>
        <w:tc>
          <w:tcPr>
            <w:tcW w:w="0" w:type="dxa"/>
            <w:vAlign w:val="bottom"/>
          </w:tcPr>
          <w:p>
            <w:pPr>
              <w:spacing w:after="0"/>
              <w:rPr>
                <w:sz w:val="1"/>
                <w:szCs w:val="1"/>
                <w:color w:val="auto"/>
              </w:rPr>
            </w:pPr>
          </w:p>
        </w:tc>
      </w:tr>
      <w:tr>
        <w:trPr>
          <w:trHeight w:val="168"/>
        </w:trPr>
        <w:tc>
          <w:tcPr>
            <w:tcW w:w="570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92"/>
              <w:spacing w:after="0"/>
              <w:rPr>
                <w:sz w:val="20"/>
                <w:szCs w:val="20"/>
                <w:color w:val="auto"/>
              </w:rPr>
            </w:pPr>
            <w:r>
              <w:rPr>
                <w:rFonts w:ascii="Arial" w:cs="Arial" w:eastAsia="Arial" w:hAnsi="Arial"/>
                <w:sz w:val="13"/>
                <w:szCs w:val="13"/>
                <w:b w:val="1"/>
                <w:bCs w:val="1"/>
                <w:color w:val="auto"/>
                <w:w w:val="92"/>
              </w:rPr>
              <w:t>Grant Date Fair Value</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70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8"/>
              </w:rPr>
              <w:t>(In thousands)</w:t>
            </w: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6"/>
              </w:rPr>
              <w:t>(Per share)</w:t>
            </w:r>
          </w:p>
        </w:tc>
        <w:tc>
          <w:tcPr>
            <w:tcW w:w="2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553"/>
              <w:spacing w:after="0"/>
              <w:rPr>
                <w:sz w:val="20"/>
                <w:szCs w:val="20"/>
                <w:color w:val="auto"/>
              </w:rPr>
            </w:pPr>
            <w:r>
              <w:rPr>
                <w:rFonts w:ascii="Arial" w:cs="Arial" w:eastAsia="Arial" w:hAnsi="Arial"/>
                <w:sz w:val="13"/>
                <w:szCs w:val="13"/>
                <w:color w:val="auto"/>
              </w:rPr>
              <w:t>(In thousands)</w:t>
            </w:r>
          </w:p>
        </w:tc>
        <w:tc>
          <w:tcPr>
            <w:tcW w:w="0" w:type="dxa"/>
            <w:vAlign w:val="bottom"/>
          </w:tcPr>
          <w:p>
            <w:pPr>
              <w:spacing w:after="0"/>
              <w:rPr>
                <w:sz w:val="1"/>
                <w:szCs w:val="1"/>
                <w:color w:val="auto"/>
              </w:rPr>
            </w:pPr>
          </w:p>
        </w:tc>
      </w:tr>
      <w:tr>
        <w:trPr>
          <w:trHeight w:val="180"/>
        </w:trPr>
        <w:tc>
          <w:tcPr>
            <w:tcW w:w="5700" w:type="dxa"/>
            <w:vAlign w:val="bottom"/>
          </w:tcPr>
          <w:p>
            <w:pPr>
              <w:spacing w:after="0"/>
              <w:rPr>
                <w:sz w:val="20"/>
                <w:szCs w:val="20"/>
                <w:color w:val="auto"/>
              </w:rPr>
            </w:pPr>
            <w:r>
              <w:rPr>
                <w:rFonts w:ascii="Arial" w:cs="Arial" w:eastAsia="Arial" w:hAnsi="Arial"/>
                <w:sz w:val="14"/>
                <w:szCs w:val="14"/>
                <w:color w:val="auto"/>
              </w:rPr>
              <w:t>Balances outstanding as of December 31, 2022</w:t>
            </w:r>
          </w:p>
        </w:tc>
        <w:tc>
          <w:tcPr>
            <w:tcW w:w="1700" w:type="dxa"/>
            <w:vAlign w:val="bottom"/>
          </w:tcPr>
          <w:p>
            <w:pPr>
              <w:jc w:val="center"/>
              <w:ind w:left="1192"/>
              <w:spacing w:after="0"/>
              <w:rPr>
                <w:sz w:val="20"/>
                <w:szCs w:val="20"/>
                <w:color w:val="auto"/>
              </w:rPr>
            </w:pPr>
            <w:r>
              <w:rPr>
                <w:rFonts w:ascii="Arial" w:cs="Arial" w:eastAsia="Arial" w:hAnsi="Arial"/>
                <w:sz w:val="14"/>
                <w:szCs w:val="14"/>
                <w:color w:val="auto"/>
                <w:w w:val="91"/>
              </w:rPr>
              <w:t>5,235</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25.42</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53,080</w:t>
            </w:r>
          </w:p>
        </w:tc>
        <w:tc>
          <w:tcPr>
            <w:tcW w:w="0" w:type="dxa"/>
            <w:vAlign w:val="bottom"/>
          </w:tcPr>
          <w:p>
            <w:pPr>
              <w:spacing w:after="0"/>
              <w:rPr>
                <w:sz w:val="1"/>
                <w:szCs w:val="1"/>
                <w:color w:val="auto"/>
              </w:rPr>
            </w:pPr>
          </w:p>
        </w:tc>
      </w:tr>
      <w:tr>
        <w:trPr>
          <w:trHeight w:val="181"/>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Awarded</w:t>
            </w:r>
          </w:p>
        </w:tc>
        <w:tc>
          <w:tcPr>
            <w:tcW w:w="1700" w:type="dxa"/>
            <w:vAlign w:val="bottom"/>
            <w:shd w:val="clear" w:color="auto" w:fill="CCEEFF"/>
          </w:tcPr>
          <w:p>
            <w:pPr>
              <w:jc w:val="center"/>
              <w:ind w:left="1192"/>
              <w:spacing w:after="0"/>
              <w:rPr>
                <w:sz w:val="20"/>
                <w:szCs w:val="20"/>
                <w:color w:val="auto"/>
              </w:rPr>
            </w:pPr>
            <w:r>
              <w:rPr>
                <w:rFonts w:ascii="Arial" w:cs="Arial" w:eastAsia="Arial" w:hAnsi="Arial"/>
                <w:sz w:val="14"/>
                <w:szCs w:val="14"/>
                <w:color w:val="auto"/>
                <w:w w:val="91"/>
              </w:rPr>
              <w:t>2,619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tcPr>
          <w:p>
            <w:pPr>
              <w:ind w:left="100"/>
              <w:spacing w:after="0"/>
              <w:rPr>
                <w:sz w:val="20"/>
                <w:szCs w:val="20"/>
                <w:color w:val="auto"/>
              </w:rPr>
            </w:pPr>
            <w:r>
              <w:rPr>
                <w:rFonts w:ascii="Arial" w:cs="Arial" w:eastAsia="Arial" w:hAnsi="Arial"/>
                <w:sz w:val="14"/>
                <w:szCs w:val="14"/>
                <w:color w:val="auto"/>
              </w:rPr>
              <w:t>Vested</w:t>
            </w:r>
          </w:p>
        </w:tc>
        <w:tc>
          <w:tcPr>
            <w:tcW w:w="1700" w:type="dxa"/>
            <w:vAlign w:val="bottom"/>
          </w:tcPr>
          <w:p>
            <w:pPr>
              <w:jc w:val="center"/>
              <w:ind w:left="1172"/>
              <w:spacing w:after="0"/>
              <w:rPr>
                <w:sz w:val="20"/>
                <w:szCs w:val="20"/>
                <w:color w:val="auto"/>
              </w:rPr>
            </w:pPr>
            <w:r>
              <w:rPr>
                <w:rFonts w:ascii="Arial" w:cs="Arial" w:eastAsia="Arial" w:hAnsi="Arial"/>
                <w:sz w:val="14"/>
                <w:szCs w:val="14"/>
                <w:color w:val="auto"/>
                <w:w w:val="94"/>
              </w:rPr>
              <w:t>(1,590)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20.80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7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Forfeited</w:t>
            </w:r>
          </w:p>
        </w:tc>
        <w:tc>
          <w:tcPr>
            <w:tcW w:w="1700" w:type="dxa"/>
            <w:vAlign w:val="bottom"/>
            <w:tcBorders>
              <w:bottom w:val="single" w:sz="8" w:color="auto"/>
            </w:tcBorders>
            <w:shd w:val="clear" w:color="auto" w:fill="CCEEFF"/>
          </w:tcPr>
          <w:p>
            <w:pPr>
              <w:jc w:val="center"/>
              <w:ind w:left="1172"/>
              <w:spacing w:after="0"/>
              <w:rPr>
                <w:sz w:val="20"/>
                <w:szCs w:val="20"/>
                <w:color w:val="auto"/>
              </w:rPr>
            </w:pPr>
            <w:r>
              <w:rPr>
                <w:rFonts w:ascii="Arial" w:cs="Arial" w:eastAsia="Arial" w:hAnsi="Arial"/>
                <w:sz w:val="14"/>
                <w:szCs w:val="14"/>
                <w:color w:val="auto"/>
                <w:w w:val="94"/>
              </w:rPr>
              <w:t>(1,692)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25.39</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700" w:type="dxa"/>
            <w:vAlign w:val="bottom"/>
          </w:tcPr>
          <w:p>
            <w:pPr>
              <w:spacing w:after="0"/>
              <w:rPr>
                <w:sz w:val="20"/>
                <w:szCs w:val="20"/>
                <w:color w:val="auto"/>
              </w:rPr>
            </w:pPr>
            <w:r>
              <w:rPr>
                <w:rFonts w:ascii="Arial" w:cs="Arial" w:eastAsia="Arial" w:hAnsi="Arial"/>
                <w:sz w:val="14"/>
                <w:szCs w:val="14"/>
                <w:color w:val="auto"/>
              </w:rPr>
              <w:t>Non-vested and outstanding as of September 30, 2023</w:t>
            </w:r>
          </w:p>
        </w:tc>
        <w:tc>
          <w:tcPr>
            <w:tcW w:w="1700" w:type="dxa"/>
            <w:vAlign w:val="bottom"/>
            <w:tcBorders>
              <w:bottom w:val="single" w:sz="8" w:color="auto"/>
            </w:tcBorders>
          </w:tcPr>
          <w:p>
            <w:pPr>
              <w:jc w:val="center"/>
              <w:ind w:left="1192"/>
              <w:spacing w:after="0"/>
              <w:rPr>
                <w:sz w:val="20"/>
                <w:szCs w:val="20"/>
                <w:color w:val="auto"/>
              </w:rPr>
            </w:pPr>
            <w:r>
              <w:rPr>
                <w:rFonts w:ascii="Arial" w:cs="Arial" w:eastAsia="Arial" w:hAnsi="Arial"/>
                <w:sz w:val="14"/>
                <w:szCs w:val="14"/>
                <w:color w:val="auto"/>
                <w:w w:val="91"/>
              </w:rPr>
              <w:t>4,572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15.28</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to vest</w:t>
            </w:r>
          </w:p>
        </w:tc>
        <w:tc>
          <w:tcPr>
            <w:tcW w:w="1700" w:type="dxa"/>
            <w:vAlign w:val="bottom"/>
            <w:tcBorders>
              <w:bottom w:val="single" w:sz="8" w:color="auto"/>
            </w:tcBorders>
            <w:shd w:val="clear" w:color="auto" w:fill="CCEEFF"/>
          </w:tcPr>
          <w:p>
            <w:pPr>
              <w:jc w:val="center"/>
              <w:ind w:left="1192"/>
              <w:spacing w:after="0"/>
              <w:rPr>
                <w:sz w:val="20"/>
                <w:szCs w:val="20"/>
                <w:color w:val="auto"/>
              </w:rPr>
            </w:pPr>
            <w:r>
              <w:rPr>
                <w:rFonts w:ascii="Arial" w:cs="Arial" w:eastAsia="Arial" w:hAnsi="Arial"/>
                <w:sz w:val="14"/>
                <w:szCs w:val="14"/>
                <w:color w:val="auto"/>
                <w:w w:val="91"/>
              </w:rPr>
              <w:t>3,129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12,173</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RSUs granted to employees generally vest over a three to four-year period or upon achievement of certain performance conditions. As of September 30, 2023, total unrecognized compensation cost, adjusted for estimated forfeitures, related to nonvested RSUs and PRSUs was approximately $55.1 million and the weighted-average remaining vesting period was 2.0 years.</w:t>
      </w:r>
    </w:p>
    <w:p>
      <w:pPr>
        <w:spacing w:after="0" w:line="131"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There was no accrued liability for cash awards for the three and the nine months ended September 30, 2023, or for the three months ended September 30, 2022. For the nine months ended September 30, 2022, the Company accrued approximately $11.9 million in cash awards to be settled in shares of the Company’s stock and recorded a corresponding expense, which is included as a component of stock-based compensation expense in the accompanying condensed consolidated statements of operations.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Stock-based compensation expense recognized in the Company’s condensed consolidated statements of operations and cash flows was $11.3 million and $31.9 million for the three months ended September 30, 2023 and 2022, respectively, and $4.5 million and $100.3 million for the nine months ended September 30, 2023 and 2022,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14. Restructuring</w:t>
      </w:r>
    </w:p>
    <w:p>
      <w:pPr>
        <w:spacing w:after="0" w:line="204"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During the second quarter of 2022, LivePerson began a restructuring initiative to realign the Company’s cost structure to better reflect significant product and business model innovation and then-recent changes due to acquisitions and factors outside the control of the Company. As part of the restructuring initiative, the Company reoriented its global product and engineering organization for greater efficiency and focus, and reallocated some spending to increase its investment in customer success and go-to-market initiatives. In connection with the restructuring initiatives, the Company recognized restructuring costs of $2.1 million and $7.1 million during the three months ended September 30, 2023 and 2022, respectively, and $16.0 million and $17.9 million during the nine months ended September 30, 2023 and 2022, respectively, which is included in restructuring costs in the accompanying condensed consolidated statements of operations. The majority of these costs relate to the Company’s Business segment. Such costs primarily include severance and other compensation-related costs.</w:t>
      </w:r>
    </w:p>
    <w:p>
      <w:pPr>
        <w:spacing w:after="0" w:line="15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following table presents the detail of the liability for the Company’s restructuring charges, which is included within accrued expenses and other current liabilities within the accompanying condensed consolidated balance sheets as of September 30, 2023 and December 31, 2022:</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ind w:left="140"/>
              <w:spacing w:after="0"/>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2"/>
                <w:szCs w:val="12"/>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4"/>
                <w:szCs w:val="14"/>
                <w:color w:val="auto"/>
              </w:rPr>
              <w:t>Balance, beginning of the year</w:t>
            </w:r>
          </w:p>
        </w:tc>
        <w:tc>
          <w:tcPr>
            <w:tcW w:w="390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380" w:type="dxa"/>
            <w:vAlign w:val="bottom"/>
          </w:tcPr>
          <w:p>
            <w:pPr>
              <w:ind w:left="160"/>
              <w:spacing w:after="0"/>
              <w:rPr>
                <w:sz w:val="20"/>
                <w:szCs w:val="20"/>
                <w:color w:val="auto"/>
              </w:rPr>
            </w:pPr>
            <w:r>
              <w:rPr>
                <w:rFonts w:ascii="Arial" w:cs="Arial" w:eastAsia="Arial" w:hAnsi="Arial"/>
                <w:sz w:val="14"/>
                <w:szCs w:val="14"/>
                <w:color w:val="auto"/>
              </w:rPr>
              <w:t>Lease restructuring costs</w:t>
            </w:r>
          </w:p>
        </w:tc>
        <w:tc>
          <w:tcPr>
            <w:tcW w:w="3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4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Severance and other compensation associated costs</w:t>
            </w:r>
          </w:p>
        </w:tc>
        <w:tc>
          <w:tcPr>
            <w:tcW w:w="3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4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Cash payments</w:t>
            </w:r>
          </w:p>
        </w:tc>
        <w:tc>
          <w:tcPr>
            <w:tcW w:w="3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6"/>
                <w:szCs w:val="16"/>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end of period</w:t>
            </w:r>
          </w:p>
        </w:tc>
        <w:tc>
          <w:tcPr>
            <w:tcW w:w="37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2,160</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right"/>
              <w:ind w:right="2169"/>
              <w:spacing w:after="0"/>
              <w:rPr>
                <w:sz w:val="20"/>
                <w:szCs w:val="20"/>
                <w:color w:val="auto"/>
              </w:rPr>
            </w:pPr>
            <w:r>
              <w:rPr>
                <w:rFonts w:ascii="Arial" w:cs="Arial" w:eastAsia="Arial" w:hAnsi="Arial"/>
                <w:sz w:val="14"/>
                <w:szCs w:val="14"/>
                <w:color w:val="auto"/>
              </w:rPr>
              <w:t>34</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3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67" w:right="319" w:bottom="1440" w:gutter="0" w:footer="0" w:header="0"/>
        </w:sectPr>
      </w:pPr>
    </w:p>
    <w:bookmarkStart w:id="34" w:name="page35"/>
    <w:bookmarkEnd w:id="34"/>
    <w:p>
      <w:pPr>
        <w:jc w:val="both"/>
        <w:ind w:firstLine="509"/>
        <w:spacing w:after="0" w:line="281" w:lineRule="auto"/>
        <w:rPr>
          <w:sz w:val="20"/>
          <w:szCs w:val="20"/>
          <w:color w:val="auto"/>
        </w:rPr>
      </w:pPr>
      <w:r>
        <w:rPr>
          <w:rFonts w:ascii="Arial" w:cs="Arial" w:eastAsia="Arial" w:hAnsi="Arial"/>
          <w:sz w:val="14"/>
          <w:szCs w:val="14"/>
          <w:color w:val="auto"/>
        </w:rPr>
        <w:t>The Company anticipates that payments associated with the employee severance and other compensation associated costs reflected in the table above will be substantially completed by December 31, 2023.</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15. Legal Matters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[24]7 Litigation</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filed an intellectual property suit (the “Company IP Suit”) against [24]7 Customer, Inc. (“[24]7”) on March 6, 2014. On June 22, 2015, and December 7, 2015, [24]7 filed separate countersuits (together, the “Countersuits”) against the Company. The trial with respect to the Company IP Suit occurred on May 24, 2021 and a trial verdict was issued in favor of the Company. In August 2022, 24[7] appealed the verdict. In addition, a trial to adjudicate [24]7’s Countersuits against the Company began in 2023, and a trial with respect to a second set of intellectual property claims brought by the Company against [24]7 had been set for trial in early 2024. During the quarter ended September 30, 2023, all litigation matters between the parties were dismissed with prejudice pursuant to a binding settlement previously entered by the parties.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COVID-Related Matters</w:t>
      </w:r>
    </w:p>
    <w:p>
      <w:pPr>
        <w:spacing w:after="0" w:line="200"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inquiries by Medicare, the Department of Justice and the U.S. Food and Drug Administration (“governmental agencies”). As previously disclosed, in November 2022, a professional corporation managed by WildHealth received notice that Medicare reimbursements for its services rendered under a Medicare demonstration program related to COVID-19 testing (the “Program”) were suspended pending further review. Subsequently, WildHealth received and successfully responded to inquiries from additional governmental agencies with respect to its participation in the Program. The Centers for Medicare and Medicaid Services (CMS) has provided notice that the Medicare payment suspension will be terminated. The reimbursements for services rendered under the Program are expected to be released in November 2023.</w:t>
      </w:r>
    </w:p>
    <w:p>
      <w:pPr>
        <w:spacing w:after="0" w:line="15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also previously provided other products and services related to COVID-19 testing and accompanying software. Those COVID-19 related products and services have also been the subject of inquiry and pending review by governmental agencies. The Company and WildHealth have discontinued all products and services related to COVID-19, and have responded to and intend to continue to cooperate with governmental inquiries related to their previous engagement in COVID-19 related product and service offerings.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Legal, Administrative, Governmental and Regulatory Matters</w:t>
      </w:r>
    </w:p>
    <w:p>
      <w:pPr>
        <w:spacing w:after="0" w:line="20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our business, as well as Actions brought against the Company’s customers for which the Company has a contractual indemnification obligation.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Regardless of the outcome, Actions can have an adverse impact on the Company because of defense and/or settlement costs, diversion of management resources, reputational risks and other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factors.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200" w:lineRule="exact"/>
        <w:rPr>
          <w:sz w:val="20"/>
          <w:szCs w:val="20"/>
          <w:color w:val="auto"/>
        </w:rPr>
      </w:pPr>
    </w:p>
    <w:p>
      <w:pPr>
        <w:jc w:val="both"/>
        <w:ind w:firstLine="340"/>
        <w:spacing w:after="0" w:line="258" w:lineRule="auto"/>
        <w:rPr>
          <w:sz w:val="20"/>
          <w:szCs w:val="20"/>
          <w:color w:val="auto"/>
        </w:rPr>
      </w:pPr>
      <w:r>
        <w:rPr>
          <w:rFonts w:ascii="Arial" w:cs="Arial" w:eastAsia="Arial" w:hAnsi="Arial"/>
          <w:sz w:val="14"/>
          <w:szCs w:val="14"/>
          <w:color w:val="auto"/>
        </w:rPr>
        <w:t>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w:t>
      </w:r>
    </w:p>
    <w:p>
      <w:pPr>
        <w:spacing w:after="0" w:line="200" w:lineRule="exact"/>
        <w:rPr>
          <w:sz w:val="20"/>
          <w:szCs w:val="20"/>
          <w:color w:val="auto"/>
        </w:rPr>
      </w:pPr>
    </w:p>
    <w:p>
      <w:pPr>
        <w:spacing w:after="0" w:line="247"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5" w:name="page36"/>
    <w:bookmarkEnd w:id="35"/>
    <w:p>
      <w:pPr>
        <w:jc w:val="both"/>
        <w:spacing w:after="0" w:line="281" w:lineRule="auto"/>
        <w:rPr>
          <w:sz w:val="20"/>
          <w:szCs w:val="20"/>
          <w:color w:val="auto"/>
        </w:rPr>
      </w:pPr>
      <w:r>
        <w:rPr>
          <w:rFonts w:ascii="Arial" w:cs="Arial" w:eastAsia="Arial" w:hAnsi="Arial"/>
          <w:sz w:val="14"/>
          <w:szCs w:val="14"/>
          <w:color w:val="auto"/>
        </w:rPr>
        <w:t>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16. Income Taxes</w:t>
      </w:r>
    </w:p>
    <w:p>
      <w:pPr>
        <w:spacing w:after="0" w:line="204"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4"/>
          <w:szCs w:val="14"/>
          <w:color w:val="auto"/>
        </w:rPr>
        <w:t>The Company includes interest accrued on the underpayment of income taxes in interest expense and penalties, if any, related to unrecognized tax benefits in general and administrative expenses. The Company recorded a valuation allowance against its U.S. and e-bot7 deferred tax assets as it considered its cumulative losses in recent years as a significant piece of negative evidence. Since valuation allowances are evaluated by jurisdiction, the Company believes that the deferred tax assets related to LivePerson Australia Holdings Pty. Ltd., LivePerson (UK) Ltd., LivePerson Japan, and LivePerson Ltd. (Israel) are more likely than not to be realized as these jurisdictions have positive cumulative pre-tax book income after adjusting for permanent and one-time items. During the year ended December 31, 2022, there was an increase in the valuation allowance recorded of $80.5 million. During 2023, the Company made an immaterial change to its presentation of its December 31, 2022 unrecognized tax benefits of $2.2 million to properly reflect the balance as a non-current liability, with the balance now included under “Other liabilities” in the condensed consolidated balance sheets.</w:t>
      </w:r>
    </w:p>
    <w:p>
      <w:pPr>
        <w:spacing w:after="0" w:line="17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For the nine months ended September 30, 2023, the Company recorded a tax provision of $1.6 million. This amount consists of a tax provision of $1.4 million on operating earnings coupled with a stock compensation tax deficiency of $0.2 million related to stock compensation arrangements of LivePerson, LivePerson (UK) Ltd. and LivePerson Ltd. (Israel). During the first quarter of 2023, and included within the provision on operating earnings noted above, the Company sold Kasamba, Inc. and Kasamba LTD in a taxable transaction that resulted in a tax provision of $0.8 million related to an increase in valuation allowance on deferred tax assets resulting from a release of Kasamba’s deferred tax liabilities.</w:t>
      </w:r>
    </w:p>
    <w:p>
      <w:pPr>
        <w:spacing w:after="0" w:line="152"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 xml:space="preserve">The Company had a valuation allowance on certain deferred tax assets for the year ended December 31, 2022 of $187.5 million. Inherent in the Company’s 2023 annual effective tax rate is an estimated increase in the valuation allowance of $28.8 million, all of which will be recorded as an expense. During 2022, an increase in the valuation allowance in the amount of $38.8 million was recorded as an expense and an additional increase to the valuation allowance of $0.5 million was recorded to goodwill against acquired federal and state net operating losses and due to the adoption of ASU 2020-06, </w:t>
      </w:r>
      <w:r>
        <w:rPr>
          <w:rFonts w:ascii="Arial" w:cs="Arial" w:eastAsia="Arial" w:hAnsi="Arial"/>
          <w:sz w:val="14"/>
          <w:szCs w:val="14"/>
          <w:i w:val="1"/>
          <w:iCs w:val="1"/>
          <w:color w:val="auto"/>
        </w:rPr>
        <w:t>Accounting for Convertible Instruments and Contracts in an Entity’s Own Equity</w:t>
      </w:r>
      <w:r>
        <w:rPr>
          <w:rFonts w:ascii="Arial" w:cs="Arial" w:eastAsia="Arial" w:hAnsi="Arial"/>
          <w:sz w:val="14"/>
          <w:szCs w:val="14"/>
          <w:color w:val="auto"/>
        </w:rPr>
        <w:t>, the Company recorded an increase of the valuation allowance to other comprehensive income of $41.2 million.</w:t>
      </w:r>
    </w:p>
    <w:p>
      <w:pPr>
        <w:spacing w:after="0" w:line="9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On August 16, 2022, President Biden signed the Inflation Reduction Act of 2022 (“IRA”) into law. The IRA establishes a 15% corporate minimum tax effective for taxable years beginning after December 31, 2022, and imposes a 1% excise tax on the repurchase after December 31, 2022 of stock by publicly traded U.S. corporations. We currently do not expect the tax-related provisions of the IRA to have a material impact on our financial results.</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Equity Method Investment</w:t>
      </w:r>
    </w:p>
    <w:p>
      <w:pPr>
        <w:spacing w:after="0" w:line="20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On February 13, 2022, the Company and Pasaca Capital Inc. (“Pasaca”) entered into a joint venture agreement (the “JV Agreement”) to form Claire, a joint venture to build, create, and administer a marketplace for health and well-being diagnostic testing. Pursuant to the terms of the JV Agreement, the Company agreed to contribute a total of $19.0 million over a five-year period in exchange for a 19.2% ownership interest in Claire. Pasaca agreed to contribute $80.0 million to Claire over a five-year period in exchange for an 80.8% ownership interest in Claire. As of September 30, 2023, $9.1 million remained to be contributed to Claire by the Company under the terms of the JV Agreement. The Company accounts for its 19.2% interest in Claire using the equity method of accounting. The Company recorded its ownership percentage of losses of Claire in the</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6" w:name="page37"/>
    <w:bookmarkEnd w:id="36"/>
    <w:p>
      <w:pPr>
        <w:jc w:val="both"/>
        <w:spacing w:after="0" w:line="267" w:lineRule="auto"/>
        <w:rPr>
          <w:sz w:val="20"/>
          <w:szCs w:val="20"/>
          <w:color w:val="auto"/>
        </w:rPr>
      </w:pPr>
      <w:r>
        <w:rPr>
          <w:rFonts w:ascii="Arial" w:cs="Arial" w:eastAsia="Arial" w:hAnsi="Arial"/>
          <w:sz w:val="14"/>
          <w:szCs w:val="14"/>
          <w:color w:val="auto"/>
        </w:rPr>
        <w:t>amount of $0.9 million and $2.3 million for the three and nine months ended September 30, 2023, respectively, and $0.6 million and $0.7 million for the three and nine months ended September 30, 2022, respectively, in Other (expense) income, net in the accompanying condensed consolidated statements of operations. As of September 30, 2023, the Company’s equity method investment in joint venture was reduced to zero on the condensed consolidated balance sheets, based on current period losses.</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18. Variable Interest Entities</w:t>
      </w:r>
    </w:p>
    <w:p>
      <w:pPr>
        <w:spacing w:after="0" w:line="204"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prepares its condensed consolidated financial statements in accordance with ASC 810, which provides for the consolidation of VIEs of which the Company is the primary beneficiary.</w:t>
      </w:r>
    </w:p>
    <w:p>
      <w:pPr>
        <w:spacing w:after="0" w:line="15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February 2022, the Company acquired WildHealth as well as certain variable interests that WildHealth has in four Professional Corporations (“PCs”). The PCs are owned by a medical practitioner in accordance with certain state laws which restrict the corporate practice of medicine and require medical practitioners to own such entities. WildHealth provides management and other services to the PCs in exchange for a management fee and provides financial support to the PCs through a revolving credit arrangement. WildHealth also has separate agreements with the equity holder of the PCs where it may acquire and assign such equity interests for certain PCs. WildHealth consolidates the PCs as VIEs. The Company determined that the PCs are VIEs and WildHealth is the primary beneficiary of the PCs.</w:t>
      </w:r>
    </w:p>
    <w:p>
      <w:pPr>
        <w:spacing w:after="0" w:line="62"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assets, liabilities, revenues, and operating results of the VIEs after elimination of intercompany transactions were not material as of and for the three and nine months ended September 30, 2023.</w:t>
      </w:r>
    </w:p>
    <w:p>
      <w:pPr>
        <w:spacing w:after="0" w:line="3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Related Parties</w:t>
      </w:r>
    </w:p>
    <w:p>
      <w:pPr>
        <w:spacing w:after="0" w:line="20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Related parties are defined as entities related to the Company’s directors or main shareholders as well as equity method affiliates. During the nine months ended September 30, 2023, the Company provided services to Claire, an equity method affiliate (refer to Note 17 – </w:t>
      </w:r>
      <w:r>
        <w:rPr>
          <w:rFonts w:ascii="Arial" w:cs="Arial" w:eastAsia="Arial" w:hAnsi="Arial"/>
          <w:sz w:val="14"/>
          <w:szCs w:val="14"/>
          <w:i w:val="1"/>
          <w:iCs w:val="1"/>
          <w:color w:val="auto"/>
        </w:rPr>
        <w:t>Equity Method Investment</w:t>
      </w:r>
      <w:r>
        <w:rPr>
          <w:rFonts w:ascii="Arial" w:cs="Arial" w:eastAsia="Arial" w:hAnsi="Arial"/>
          <w:sz w:val="14"/>
          <w:szCs w:val="14"/>
          <w:color w:val="auto"/>
        </w:rPr>
        <w:t xml:space="preserve"> for additional information on the equity method affiliate) in exchange for fees through certain commercial arrangements. These arrangements facilitated Claire’s build out and operations.</w:t>
      </w:r>
    </w:p>
    <w:p>
      <w:pPr>
        <w:spacing w:after="0" w:line="163" w:lineRule="exact"/>
        <w:rPr>
          <w:sz w:val="20"/>
          <w:szCs w:val="20"/>
          <w:color w:val="auto"/>
        </w:rPr>
      </w:pPr>
    </w:p>
    <w:p>
      <w:pPr>
        <w:jc w:val="both"/>
        <w:ind w:firstLine="509"/>
        <w:spacing w:after="0" w:line="368" w:lineRule="auto"/>
        <w:rPr>
          <w:sz w:val="20"/>
          <w:szCs w:val="20"/>
          <w:color w:val="auto"/>
        </w:rPr>
      </w:pPr>
      <w:r>
        <w:rPr>
          <w:rFonts w:ascii="Arial" w:cs="Arial" w:eastAsia="Arial" w:hAnsi="Arial"/>
          <w:sz w:val="12"/>
          <w:szCs w:val="12"/>
          <w:color w:val="auto"/>
        </w:rPr>
        <w:t>In connection with the JV Agreement, the Company entered into commercial agreements with Claire, under which the Company agreed to provide custom software development and managed services in exchange for fees governed by the terms and conditions set forth therein. In accordance with guidance under ASC 606, Claire has been considered a customer of the Company.</w:t>
      </w:r>
    </w:p>
    <w:p>
      <w:pPr>
        <w:spacing w:after="0" w:line="10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Revenues for the services provided to Claire included in the Company’s condensed consolidated statements of operations were $3.8 million and $26.2 million for the nine months ended September 30, 2023 and 2022, respectively, and $12.9 million of revenue for the three months ended September 30, 2022. Accounts receivable totaled $2.1 million as of September 30, 2023 was included in the Company’s condensed consolidated balance sheets, for which the Company recognized $1.0 million in its allowance for credit losses. Total unbilled invoices and account receivables were $4.8 million and $1.4 million as of December 31, 2022, respectively.</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20. Divestiture</w:t>
      </w:r>
    </w:p>
    <w:p>
      <w:pPr>
        <w:spacing w:after="0" w:line="204"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In the fourth quarter of 2022, the Company entered into a non-binding Letter of Intent to divest Kasamba, Inc. and Kasamba LTD (together “Kasamba”), which facilitates online transactions between Experts and Users seeking information and knowledge for a fee via mobile and online messaging. The Company determined that Kasamba met the criteria for classification as held for sale in accordance with ASC Subtopic 360-10, and the related net assets were separately presented in current assets and current liabilities as held for sale on the consolidated balance sheets as of December 31, 2022 and depreciation of long-lived assets ceased. Pursuant to ASC 205-20, the divestiture did not meet the criteria for presentation as a discontinued operation. Kasamba represented the Company’s Consumer segment.</w:t>
      </w:r>
    </w:p>
    <w:p>
      <w:pPr>
        <w:spacing w:after="0" w:line="16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Share Purchase Agreement between Ingenio, LLC (“Ingenio”) and the Company was executed and the transaction closed on March 20, 2023. In accordance with the Share Purchase Agreement, the Company sold all of the issued and outstanding shares of Kasamba subject to certain post-closing adjustments. Cash of $16.9 million was received upon closing, $2.6 million as a deferred payment is expected to be received within a year, and was included in prepaid expenses and other</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37" w:name="page38"/>
    <w:bookmarkEnd w:id="37"/>
    <w:p>
      <w:pPr>
        <w:jc w:val="both"/>
        <w:ind w:right="80"/>
        <w:spacing w:after="0" w:line="288" w:lineRule="auto"/>
        <w:rPr>
          <w:sz w:val="20"/>
          <w:szCs w:val="20"/>
          <w:color w:val="auto"/>
        </w:rPr>
      </w:pPr>
      <w:r>
        <w:rPr>
          <w:rFonts w:ascii="Arial" w:cs="Arial" w:eastAsia="Arial" w:hAnsi="Arial"/>
          <w:sz w:val="13"/>
          <w:szCs w:val="13"/>
          <w:color w:val="auto"/>
        </w:rPr>
        <w:t>current assets on the Company’s condensed consolidated balance sheets as of September 30, 2023. $11.8 million was held in various escrow accounts for up to 15 months, and was included in restricted cash on the Company’s condensed consolidated balance sheets; however, $9.8 million of this escrow amount was released as of September 30, 2023. The transaction resulted in a gain of $17.6 million, which was recognized and presented separately as a gain on divestiture on the Company’s condensed consolidated statements of operations during the nine months ended September 30, 2023. The Company received $0.9 million in cash in connection with the net working capital settlement during the three months end September 30, 2023.</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Major classes of assets and liabilities sold were as follows:</w:t>
      </w:r>
    </w:p>
    <w:p>
      <w:pPr>
        <w:spacing w:after="0" w:line="41" w:lineRule="exact"/>
        <w:rPr>
          <w:sz w:val="20"/>
          <w:szCs w:val="20"/>
          <w:color w:val="auto"/>
        </w:rPr>
      </w:pPr>
    </w:p>
    <w:tbl>
      <w:tblPr>
        <w:tblLayout w:type="fixed"/>
        <w:tblInd w:w="520" w:type="dxa"/>
        <w:tblCellMar>
          <w:top w:w="0" w:type="dxa"/>
          <w:left w:w="0" w:type="dxa"/>
          <w:bottom w:w="0" w:type="dxa"/>
          <w:right w:w="0" w:type="dxa"/>
        </w:tblCellMar>
      </w:tblPr>
      <w:tr>
        <w:trPr>
          <w:trHeight w:val="168"/>
        </w:trPr>
        <w:tc>
          <w:tcPr>
            <w:tcW w:w="9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6"/>
              </w:rPr>
              <w:t>As of March 20, 2023</w:t>
            </w:r>
          </w:p>
        </w:tc>
      </w:tr>
      <w:tr>
        <w:trPr>
          <w:trHeight w:val="169"/>
        </w:trPr>
        <w:tc>
          <w:tcPr>
            <w:tcW w:w="9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50"/>
              <w:spacing w:after="0"/>
              <w:rPr>
                <w:sz w:val="20"/>
                <w:szCs w:val="20"/>
                <w:color w:val="auto"/>
              </w:rPr>
            </w:pPr>
            <w:r>
              <w:rPr>
                <w:rFonts w:ascii="Arial" w:cs="Arial" w:eastAsia="Arial" w:hAnsi="Arial"/>
                <w:sz w:val="13"/>
                <w:szCs w:val="13"/>
                <w:color w:val="auto"/>
              </w:rPr>
              <w:t>(In thousands)</w:t>
            </w:r>
          </w:p>
        </w:tc>
      </w:tr>
      <w:tr>
        <w:trPr>
          <w:trHeight w:val="185"/>
        </w:trPr>
        <w:tc>
          <w:tcPr>
            <w:tcW w:w="9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0"/>
        </w:trPr>
        <w:tc>
          <w:tcPr>
            <w:tcW w:w="9160" w:type="dxa"/>
            <w:vAlign w:val="bottom"/>
          </w:tcPr>
          <w:p>
            <w:pPr>
              <w:spacing w:after="0"/>
              <w:rPr>
                <w:sz w:val="20"/>
                <w:szCs w:val="20"/>
                <w:color w:val="auto"/>
              </w:rPr>
            </w:pPr>
            <w:r>
              <w:rPr>
                <w:rFonts w:ascii="Arial" w:cs="Arial" w:eastAsia="Arial" w:hAnsi="Arial"/>
                <w:sz w:val="14"/>
                <w:szCs w:val="14"/>
                <w:color w:val="auto"/>
              </w:rPr>
              <w:t>Cash</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3,058</w:t>
            </w:r>
          </w:p>
        </w:tc>
      </w:tr>
      <w:tr>
        <w:trPr>
          <w:trHeight w:val="181"/>
        </w:trPr>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r>
      <w:tr>
        <w:trPr>
          <w:trHeight w:val="180"/>
        </w:trPr>
        <w:tc>
          <w:tcPr>
            <w:tcW w:w="9160" w:type="dxa"/>
            <w:vAlign w:val="bottom"/>
          </w:tcPr>
          <w:p>
            <w:pPr>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956</w:t>
            </w:r>
          </w:p>
        </w:tc>
      </w:tr>
      <w:tr>
        <w:trPr>
          <w:trHeight w:val="181"/>
        </w:trPr>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9,614</w:t>
            </w:r>
          </w:p>
        </w:tc>
      </w:tr>
      <w:tr>
        <w:trPr>
          <w:trHeight w:val="180"/>
        </w:trPr>
        <w:tc>
          <w:tcPr>
            <w:tcW w:w="9160" w:type="dxa"/>
            <w:vAlign w:val="bottom"/>
          </w:tcPr>
          <w:p>
            <w:pPr>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8,024</w:t>
            </w:r>
          </w:p>
        </w:tc>
      </w:tr>
      <w:tr>
        <w:trPr>
          <w:trHeight w:val="181"/>
        </w:trPr>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w:t>
            </w:r>
          </w:p>
        </w:tc>
      </w:tr>
      <w:tr>
        <w:trPr>
          <w:trHeight w:val="180"/>
        </w:trPr>
        <w:tc>
          <w:tcPr>
            <w:tcW w:w="9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r>
      <w:tr>
        <w:trPr>
          <w:trHeight w:val="196"/>
        </w:trPr>
        <w:tc>
          <w:tcPr>
            <w:tcW w:w="9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assets sold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23,088</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9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9160" w:type="dxa"/>
            <w:vAlign w:val="bottom"/>
          </w:tcPr>
          <w:p>
            <w:pPr>
              <w:spacing w:after="0"/>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2,433</w:t>
            </w:r>
          </w:p>
        </w:tc>
      </w:tr>
      <w:tr>
        <w:trPr>
          <w:trHeight w:val="181"/>
        </w:trPr>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Accrued expenses and other current liabilities</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4,859</w:t>
            </w:r>
          </w:p>
        </w:tc>
      </w:tr>
      <w:tr>
        <w:trPr>
          <w:trHeight w:val="180"/>
        </w:trPr>
        <w:tc>
          <w:tcPr>
            <w:tcW w:w="9160" w:type="dxa"/>
            <w:vAlign w:val="bottom"/>
          </w:tcPr>
          <w:p>
            <w:pPr>
              <w:spacing w:after="0"/>
              <w:rPr>
                <w:sz w:val="20"/>
                <w:szCs w:val="20"/>
                <w:color w:val="auto"/>
              </w:rPr>
            </w:pPr>
            <w:r>
              <w:rPr>
                <w:rFonts w:ascii="Arial" w:cs="Arial" w:eastAsia="Arial" w:hAnsi="Arial"/>
                <w:sz w:val="14"/>
                <w:szCs w:val="14"/>
                <w:color w:val="auto"/>
              </w:rPr>
              <w:t>Deferred tax liability</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798</w:t>
            </w:r>
          </w:p>
        </w:tc>
      </w:tr>
      <w:tr>
        <w:trPr>
          <w:trHeight w:val="180"/>
        </w:trPr>
        <w:tc>
          <w:tcPr>
            <w:tcW w:w="916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w:t>
            </w:r>
          </w:p>
        </w:tc>
      </w:tr>
      <w:tr>
        <w:trPr>
          <w:trHeight w:val="171"/>
        </w:trPr>
        <w:tc>
          <w:tcPr>
            <w:tcW w:w="9160" w:type="dxa"/>
            <w:vAlign w:val="bottom"/>
          </w:tcPr>
          <w:p>
            <w:pPr>
              <w:ind w:left="600"/>
              <w:spacing w:after="0"/>
              <w:rPr>
                <w:sz w:val="20"/>
                <w:szCs w:val="20"/>
                <w:color w:val="auto"/>
              </w:rPr>
            </w:pPr>
            <w:r>
              <w:rPr>
                <w:rFonts w:ascii="Arial" w:cs="Arial" w:eastAsia="Arial" w:hAnsi="Arial"/>
                <w:sz w:val="14"/>
                <w:szCs w:val="14"/>
                <w:color w:val="auto"/>
              </w:rPr>
              <w:t>Total liabilities sold</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8,769</w:t>
            </w:r>
          </w:p>
        </w:tc>
      </w:tr>
      <w:tr>
        <w:trPr>
          <w:trHeight w:val="20"/>
        </w:trPr>
        <w:tc>
          <w:tcPr>
            <w:tcW w:w="9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right="80" w:firstLine="509"/>
        <w:spacing w:after="0" w:line="243" w:lineRule="auto"/>
        <w:rPr>
          <w:sz w:val="20"/>
          <w:szCs w:val="20"/>
          <w:color w:val="auto"/>
        </w:rPr>
      </w:pPr>
      <w:r>
        <w:rPr>
          <w:rFonts w:ascii="Arial" w:cs="Arial" w:eastAsia="Arial" w:hAnsi="Arial"/>
          <w:sz w:val="14"/>
          <w:szCs w:val="14"/>
          <w:color w:val="auto"/>
        </w:rPr>
        <w:t>As part of the Share Purchase Agreement, the Company also entered into a Transition Services Agreement (“TSA”) with Kasamba pursuant to which the Company agreed to provide services, including, but not limited to, human resources, finance, IT and legal, to Kasamba. These services commenced upon the close of the transaction and are to be provided over a period of up to 12 months, depending on the transition service being provided.</w:t>
      </w:r>
    </w:p>
    <w:p>
      <w:pPr>
        <w:spacing w:after="0" w:line="200" w:lineRule="exact"/>
        <w:rPr>
          <w:sz w:val="20"/>
          <w:szCs w:val="20"/>
          <w:color w:val="auto"/>
        </w:rPr>
      </w:pPr>
    </w:p>
    <w:p>
      <w:pPr>
        <w:spacing w:after="0" w:line="357"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Item 2. Management</w:t>
      </w:r>
      <w:r>
        <w:rPr>
          <w:rFonts w:ascii="Arial" w:cs="Arial" w:eastAsia="Arial" w:hAnsi="Arial"/>
          <w:sz w:val="14"/>
          <w:szCs w:val="14"/>
          <w:color w:val="auto"/>
        </w:rPr>
        <w:t>’</w:t>
      </w:r>
      <w:r>
        <w:rPr>
          <w:rFonts w:ascii="Arial" w:cs="Arial" w:eastAsia="Arial" w:hAnsi="Arial"/>
          <w:sz w:val="14"/>
          <w:szCs w:val="14"/>
          <w:b w:val="1"/>
          <w:bCs w:val="1"/>
          <w:color w:val="auto"/>
        </w:rPr>
        <w:t>s Discussion and Analysis of Financial Condition and Results of Operations</w:t>
      </w:r>
    </w:p>
    <w:p>
      <w:pPr>
        <w:spacing w:after="0" w:line="200"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General</w:t>
      </w:r>
    </w:p>
    <w:p>
      <w:pPr>
        <w:spacing w:after="0" w:line="204" w:lineRule="exact"/>
        <w:rPr>
          <w:sz w:val="20"/>
          <w:szCs w:val="20"/>
          <w:color w:val="auto"/>
        </w:rPr>
      </w:pPr>
    </w:p>
    <w:p>
      <w:pPr>
        <w:jc w:val="both"/>
        <w:ind w:right="80"/>
        <w:spacing w:after="0" w:line="256" w:lineRule="auto"/>
        <w:rPr>
          <w:sz w:val="20"/>
          <w:szCs w:val="20"/>
          <w:color w:val="auto"/>
        </w:rPr>
      </w:pPr>
      <w:r>
        <w:rPr>
          <w:rFonts w:ascii="Arial" w:cs="Arial" w:eastAsia="Arial" w:hAnsi="Arial"/>
          <w:sz w:val="14"/>
          <w:szCs w:val="14"/>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4"/>
          <w:szCs w:val="14"/>
          <w:i w:val="1"/>
          <w:iCs w:val="1"/>
          <w:color w:val="212529"/>
        </w:rPr>
        <w:t>In addition, our actual results could differ from our estimates and assumptions based upon impacts on our business and general</w:t>
      </w:r>
      <w:r>
        <w:rPr>
          <w:rFonts w:ascii="Arial" w:cs="Arial" w:eastAsia="Arial" w:hAnsi="Arial"/>
          <w:sz w:val="14"/>
          <w:szCs w:val="14"/>
          <w:i w:val="1"/>
          <w:iCs w:val="1"/>
          <w:color w:val="auto"/>
        </w:rPr>
        <w:t xml:space="preserve"> </w:t>
      </w:r>
      <w:r>
        <w:rPr>
          <w:rFonts w:ascii="Arial" w:cs="Arial" w:eastAsia="Arial" w:hAnsi="Arial"/>
          <w:sz w:val="14"/>
          <w:szCs w:val="14"/>
          <w:i w:val="1"/>
          <w:iCs w:val="1"/>
          <w:color w:val="212529"/>
        </w:rPr>
        <w:t>economic conditions.</w:t>
      </w:r>
    </w:p>
    <w:p>
      <w:pPr>
        <w:spacing w:after="0" w:line="200" w:lineRule="exact"/>
        <w:rPr>
          <w:sz w:val="20"/>
          <w:szCs w:val="20"/>
          <w:color w:val="auto"/>
        </w:rPr>
      </w:pPr>
    </w:p>
    <w:p>
      <w:pPr>
        <w:spacing w:after="0" w:line="24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9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Overview</w:t>
      </w:r>
    </w:p>
    <w:p>
      <w:pPr>
        <w:spacing w:after="0" w:line="204"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LivePerson, Inc. (“LivePerson”, the “Company”, “we”, “our” or “us”) is a global leader in AI-powered customer conversations. Consumers have made mobile devices the center of their digital lives, and they have made digital conversational experiences the center of communication with friends, family and peers. Since 1998, LivePerson has enabled billions of meaningful connections between consumers and our customers on our platform. These speech or text conversations decrease costs and increase revenue for our brands by harnessing the power of AI for convenient, personalized and content-rich journeys across the entire consumer lifecycle, and across consumer platforms. AI has accelerated our capability to leverage those prior conversations to enhance the consumer experience and to improve results for our customers by empowering them to leverage the latest developments in AI, including Generative AI and Large Language Models (“LLMs”), in a safe and secure environment.</w:t>
      </w:r>
    </w:p>
    <w:p>
      <w:pPr>
        <w:spacing w:after="0" w:line="171"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The Conversational Cloud, the Company’s enterprise-class cloud-based platform, enables businesses to have conversations with millions of consumers as personally as they would with a single consumer.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 Most recently, the Conversational Cloud has been enhanced to provide a secure platform with the necessary guardrails to deploy Generative AI and LLMs in ways that help consumers and drive results for brands without sacrificing trust.</w:t>
      </w:r>
    </w:p>
    <w:p>
      <w:pPr>
        <w:spacing w:after="0" w:line="158"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LivePerson’s robust, cloud-based suite of rich messaging, real-time chat, LLM,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5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LivePerson’s Conversational AI platform enables what the Company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the Company’s proprietary Conversational AI, as well as third-party bots, the Conversational Cloud offers brands a comprehensive approach to scaling automations across their millions of customer conversations.</w:t>
      </w:r>
    </w:p>
    <w:p>
      <w:pPr>
        <w:spacing w:after="0" w:line="152"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Complementing the Company’s proprietary messaging and Conversational AI offerings are teams of technical, solutions and consulting professionals that have developed deep domain expertise in the implementation and optimization of conversational services across industries and messaging endpoints. LivePerson’s products, coupled with our domain knowledge, industry expertise and professional services, have been proven to maximize the impact of Conversational AI, unlock the power of Generative AI and LLMs in safe and responsible ways, and deliver measurable return on investment for our customers.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Certain of our customers have achieved the following advantages from our offerings:</w:t>
      </w:r>
    </w:p>
    <w:p>
      <w:pPr>
        <w:spacing w:after="0" w:line="94" w:lineRule="exact"/>
        <w:rPr>
          <w:sz w:val="20"/>
          <w:szCs w:val="20"/>
          <w:color w:val="auto"/>
        </w:rPr>
      </w:pPr>
    </w:p>
    <w:p>
      <w:pPr>
        <w:ind w:left="900" w:hanging="259"/>
        <w:spacing w:after="0" w:line="281" w:lineRule="auto"/>
        <w:tabs>
          <w:tab w:leader="none" w:pos="896"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47"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labor efficiency gains of at least two times that of voice agents, effectively cutting labor costs by at least 50%;</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improving the overall customer experience, thereby fueling customer satisfaction score increases of up to 20 percentage points, and enhancing retention and loyalty;</w:t>
      </w:r>
    </w:p>
    <w:p>
      <w:pPr>
        <w:spacing w:after="0" w:line="200" w:lineRule="exact"/>
        <w:rPr>
          <w:sz w:val="20"/>
          <w:szCs w:val="20"/>
          <w:color w:val="auto"/>
        </w:rPr>
      </w:pP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0" w:right="319" w:bottom="1440" w:gutter="0" w:footer="0" w:header="0"/>
        </w:sectPr>
      </w:pPr>
    </w:p>
    <w:bookmarkStart w:id="39" w:name="page40"/>
    <w:bookmarkEnd w:id="39"/>
    <w:p>
      <w:pPr>
        <w:ind w:left="900" w:hanging="259"/>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more convenient, personalized and content-rich conversations that increase sales conversion by up to 20%, increase average order value and reduce abandonment;</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more satisfied contact center agents, thereby reducing agent churn by up to 50%;</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 valued connection with consumers via mobile devices, either through native applications, websites, text messages, or third-party messaging platforms; and</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leveraged spending that drives visitor traffic by increasing visitor conversions.</w:t>
      </w:r>
    </w:p>
    <w:p>
      <w:pPr>
        <w:spacing w:after="0" w:line="263"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As a “cloud computing” or SaaS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145"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Hundreds of the world’s biggest brands, including HSBC, Virgin Media, and Burberry use our conversational solutions to orchestrate humans and AI, at scale, and create a convenient personalized relationship with their customers.</w:t>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key elements of LivePerson’s business solutions strategy include:</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4"/>
          <w:szCs w:val="14"/>
          <w:color w:val="auto"/>
        </w:rPr>
        <w:t>Our strategy is to drive higher messaging volumes by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going wide across messaging endpoints and deep across consumer use cases, while focusing on AI and automation as the means to deliver powerful scale.</w:t>
      </w:r>
    </w:p>
    <w:p>
      <w:pPr>
        <w:spacing w:after="0" w:line="15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16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2021, we acquired Tenfold, which allows our brands to bring the LivePerson Conversational Cloud into other applications, starting with Salesforce and expanding into other leading CRM and Helpdesk platforms. The ability to power conversational experiences beyond our own workspace opens up further messaging volumes and workflows for LivePerson to participate in. We have made good progress on these integrations.</w:t>
      </w:r>
    </w:p>
    <w:p>
      <w:pPr>
        <w:spacing w:after="0" w:line="163" w:lineRule="exact"/>
        <w:rPr>
          <w:sz w:val="20"/>
          <w:szCs w:val="20"/>
          <w:color w:val="auto"/>
        </w:rPr>
      </w:pPr>
    </w:p>
    <w:p>
      <w:pPr>
        <w:ind w:right="80" w:firstLine="509"/>
        <w:spacing w:after="0" w:line="281" w:lineRule="auto"/>
        <w:rPr>
          <w:sz w:val="20"/>
          <w:szCs w:val="20"/>
          <w:color w:val="auto"/>
        </w:rPr>
      </w:pPr>
      <w:r>
        <w:rPr>
          <w:rFonts w:ascii="Arial" w:cs="Arial" w:eastAsia="Arial" w:hAnsi="Arial"/>
          <w:sz w:val="14"/>
          <w:szCs w:val="14"/>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153"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2"/>
          <w:szCs w:val="12"/>
          <w:color w:val="auto"/>
        </w:rPr>
        <w:t>Revenue retention for our enterprise and mid-market customers on the Conversational Cloud was below our target range of 105% to 115% for the third quarter of 2023 and comparable period in 2022. LivePerson’s ARPC, or average annual revenue for our enterprise and mid-market customers increased approximately 13% for the trailing twelve months ended September 30, 2023 to $595,000 from approximately $525,000 for the trailing twelve months ended September 30, 2022. Beginning with the second quarter of 2022, in order to provide a more consistent and meaningful measure of ARPC, we started calculating this metric using only Business-to-business Core recurring revenue, which is consistent with the revenue base for calculating net revenue retention.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0" w:name="page41"/>
    <w:bookmarkEnd w:id="40"/>
    <w:p>
      <w:pPr>
        <w:jc w:val="both"/>
        <w:ind w:firstLine="509"/>
        <w:spacing w:after="0" w:line="267" w:lineRule="auto"/>
        <w:rPr>
          <w:sz w:val="20"/>
          <w:szCs w:val="20"/>
          <w:color w:val="auto"/>
        </w:rPr>
      </w:pPr>
      <w:r>
        <w:rPr>
          <w:rFonts w:ascii="Arial" w:cs="Arial" w:eastAsia="Arial" w:hAnsi="Arial"/>
          <w:sz w:val="14"/>
          <w:szCs w:val="14"/>
          <w:b w:val="1"/>
          <w:bCs w:val="1"/>
          <w:i w:val="1"/>
          <w:iCs w:val="1"/>
          <w:color w:val="auto"/>
        </w:rPr>
        <w:t xml:space="preserve">Attract the industry’s best AI, machine learning and conversational talent. </w:t>
      </w:r>
      <w:r>
        <w:rPr>
          <w:rFonts w:ascii="Arial" w:cs="Arial" w:eastAsia="Arial" w:hAnsi="Arial"/>
          <w:sz w:val="14"/>
          <w:szCs w:val="14"/>
          <w:color w:val="auto"/>
        </w:rPr>
        <w:t>We believe that AI and machine learning are critical to successfully scaling and exploiting our data advantage.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LivePerson also expanded its development talent base in Germany, and added key development talent through the acquisitions of BotCentral in Mountain View, California; Tenfold in Austin, Texas; e-bot7 in Munich, Germany; VoiceBase in San Francisco, California; and WildHealth in Lexington, Kentucky.</w:t>
      </w:r>
    </w:p>
    <w:p>
      <w:pPr>
        <w:spacing w:after="0" w:line="16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b w:val="1"/>
          <w:bCs w:val="1"/>
          <w:i w:val="1"/>
          <w:iCs w:val="1"/>
          <w:color w:val="auto"/>
        </w:rPr>
        <w:t xml:space="preserve">Strengthen our position in both existing and new industries. </w:t>
      </w:r>
      <w:r>
        <w:rPr>
          <w:rFonts w:ascii="Arial" w:cs="Arial" w:eastAsia="Arial" w:hAnsi="Arial"/>
          <w:sz w:val="14"/>
          <w:szCs w:val="14"/>
          <w:color w:val="auto"/>
        </w:rPr>
        <w:t>We plan to continue to develop our market position by increasing our customer base, and expanding within our installed base.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 plan to continue to focus primarily on key target markets: consumer/retail, telecommunications, financial services, travel/hospitality, technology and automotive within both our enterprise and mid-market sectors, as well as the SMB sector.</w:t>
      </w:r>
    </w:p>
    <w:p>
      <w:pPr>
        <w:spacing w:after="0" w:line="1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b w:val="1"/>
          <w:bCs w:val="1"/>
          <w:i w:val="1"/>
          <w:iCs w:val="1"/>
          <w:color w:val="auto"/>
        </w:rPr>
        <w:t xml:space="preserve">Leverage our open architecture to integrate with other systems and support partners and developers. </w:t>
      </w:r>
      <w:r>
        <w:rPr>
          <w:rFonts w:ascii="Arial" w:cs="Arial" w:eastAsia="Arial" w:hAnsi="Arial"/>
          <w:sz w:val="14"/>
          <w:szCs w:val="14"/>
          <w:color w:val="auto"/>
        </w:rPr>
        <w:t>In addition to developing our own applications, we continue to cultivate a partner eco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w:t>
      </w:r>
    </w:p>
    <w:p>
      <w:pPr>
        <w:spacing w:after="0" w:line="167"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We have opened up access to our platform and our products with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FaaS integration which enables brands to develop custom behaviors within LivePerson’s conversational platform to easily and rapidly tailor conversation flows to their specific needs. In 2022, we launched our partnership with Celonis to embed VoiceBase analytics and Celonis conversation mining into an application capable of analyzing omni-channel conversational data to enable operational improvements and automate the customer journey.</w:t>
      </w:r>
    </w:p>
    <w:p>
      <w:pPr>
        <w:spacing w:after="0" w:line="16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3"/>
          <w:szCs w:val="13"/>
          <w:b w:val="1"/>
          <w:bCs w:val="1"/>
          <w:i w:val="1"/>
          <w:iCs w:val="1"/>
          <w:color w:val="auto"/>
        </w:rPr>
        <w:t xml:space="preserve">Expand sales partnerships to broaden our presence and accelerate sales cycles. </w:t>
      </w:r>
      <w:r>
        <w:rPr>
          <w:rFonts w:ascii="Arial" w:cs="Arial" w:eastAsia="Arial" w:hAnsi="Arial"/>
          <w:sz w:val="13"/>
          <w:szCs w:val="13"/>
          <w:color w:val="auto"/>
        </w:rPr>
        <w:t>We are focused on broadening our market reach and accelerating sales cycles by partnering with systems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integrators, technology providers, business process outsourcers, value added resellers and other sales partners. We formalized a relationship with IBM Global Business Services in 2017 and Accenture in 2018. In 2019, we announced strategic partnerships with TTEC, a leading BPO (Business Process Outsourcing) company focused on customer experience, and DMI, a digital transformation company, to redefine the customer experience with digital engagement, messaging, and AI-driven automation. In 2020, a digital services and consulting company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In 2021, we announced strategic integration partnerships with Google Cloud, Adobe and Medallia to help brands make contact center agents more efficient and effective, and empower and enrich the management of customer and employee experience through the power of AI. Our network also expanded with the Tech Mahindra partnership to help brands deliver personalized conversational experiences to consumers at scale. In 2022, we partnered with Afiniti and Celonis to help brands improve customer engagement and analytics, deepened our partnership with Cisco to strengthen our CRM capabilities, and began a strategic co-selling partnership with CBA to drive sales in the Asia-Pacific region.</w:t>
      </w:r>
    </w:p>
    <w:p>
      <w:pPr>
        <w:spacing w:after="0" w:line="163"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b w:val="1"/>
          <w:bCs w:val="1"/>
          <w:i w:val="1"/>
          <w:iCs w:val="1"/>
          <w:color w:val="auto"/>
        </w:rPr>
        <w:t xml:space="preserve">Evaluate strategic alliances and acquisitions when appropriate. </w:t>
      </w:r>
      <w:r>
        <w:rPr>
          <w:rFonts w:ascii="Arial" w:cs="Arial" w:eastAsia="Arial" w:hAnsi="Arial"/>
          <w:sz w:val="14"/>
          <w:szCs w:val="14"/>
          <w:color w:val="auto"/>
        </w:rPr>
        <w:t>In October 2021, we acquired VoiceBase, a leader in real-time speech recognition and conversational analytics; and Tenfold,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 advanced customer engagement platform for integrating communication systems with leading CRM and support services. In February 2022, we acquired WildHealth, which leverages advanced machine learning to combine DNA analysis, biometrics, microbiome testing and phenotypic data to provide people with a blueprint for truly optimized health and a maximized health span. Once fully integrated, we expect VoiceBase and Tenfold to allow LivePerson to deliver our AI and automation capabilities, insights, and integration as a single integrated product offering across channels including voice and messaging. At this time, we are not planning on integrating WildHealth into our platform.</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1" w:name="page42"/>
    <w:bookmarkEnd w:id="41"/>
    <w:p>
      <w:pPr>
        <w:jc w:val="center"/>
        <w:ind w:left="320"/>
        <w:spacing w:after="0"/>
        <w:rPr>
          <w:sz w:val="20"/>
          <w:szCs w:val="20"/>
          <w:color w:val="auto"/>
        </w:rPr>
      </w:pPr>
      <w:r>
        <w:rPr>
          <w:rFonts w:ascii="Arial" w:cs="Arial" w:eastAsia="Arial" w:hAnsi="Arial"/>
          <w:sz w:val="14"/>
          <w:szCs w:val="14"/>
          <w:b w:val="1"/>
          <w:bCs w:val="1"/>
          <w:color w:val="auto"/>
        </w:rPr>
        <w:t>Key Metrics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Financial overview of the three months ended September 30, 2023 compared to the three months ended September 30, 2022:</w:t>
      </w:r>
    </w:p>
    <w:p>
      <w:pPr>
        <w:spacing w:after="0" w:line="94" w:lineRule="exact"/>
        <w:rPr>
          <w:sz w:val="20"/>
          <w:szCs w:val="20"/>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Revenue decreased 22% to $101.3 million from $129.6 million.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Gross profit margin increased to 68% from 66%.</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Cost and expenses decreased 19% to $145.0 million from $178.1 million.</w:t>
      </w:r>
    </w:p>
    <w:p>
      <w:pPr>
        <w:spacing w:after="0" w:line="93" w:lineRule="exact"/>
        <w:rPr>
          <w:rFonts w:ascii="Arial" w:cs="Arial" w:eastAsia="Arial" w:hAnsi="Arial"/>
          <w:sz w:val="14"/>
          <w:szCs w:val="14"/>
          <w:color w:val="auto"/>
        </w:rPr>
      </w:pPr>
    </w:p>
    <w:p>
      <w:pPr>
        <w:ind w:left="900" w:hanging="259"/>
        <w:spacing w:after="0"/>
        <w:tabs>
          <w:tab w:leader="none" w:pos="9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Net loss increased to $53.3 million from $43.2 million.</w:t>
      </w:r>
    </w:p>
    <w:p>
      <w:pPr>
        <w:spacing w:after="0" w:line="93"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ARPC, or Average annual revenue per enterprise and mid-market customer, increased approximately 13% to $595,000 for the trailing twelve months ended September 30, 2023, as compared to $525,000 for the trailing twelve months ended September 30, 2022.</w:t>
      </w:r>
    </w:p>
    <w:p>
      <w:pPr>
        <w:spacing w:after="0" w:line="47" w:lineRule="exact"/>
        <w:rPr>
          <w:rFonts w:ascii="Arial" w:cs="Arial" w:eastAsia="Arial" w:hAnsi="Arial"/>
          <w:sz w:val="14"/>
          <w:szCs w:val="14"/>
          <w:color w:val="auto"/>
        </w:rPr>
      </w:pPr>
    </w:p>
    <w:p>
      <w:pPr>
        <w:ind w:left="900" w:hanging="259"/>
        <w:spacing w:after="0" w:line="281" w:lineRule="auto"/>
        <w:tabs>
          <w:tab w:leader="none" w:pos="896"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Revenue retention for our enterprise and mid-market customers on the Conversational Cloud was below our target range of </w:t>
      </w:r>
      <w:r>
        <w:rPr>
          <w:rFonts w:ascii="Arial" w:cs="Arial" w:eastAsia="Arial" w:hAnsi="Arial"/>
          <w:sz w:val="14"/>
          <w:szCs w:val="14"/>
          <w:color w:val="222222"/>
        </w:rPr>
        <w:t>105% to 115%</w:t>
      </w:r>
      <w:r>
        <w:rPr>
          <w:rFonts w:ascii="Arial" w:cs="Arial" w:eastAsia="Arial" w:hAnsi="Arial"/>
          <w:sz w:val="14"/>
          <w:szCs w:val="14"/>
          <w:color w:val="auto"/>
        </w:rPr>
        <w:t xml:space="preserve"> for the third quarter of 2023 and comparable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Critical Accounting Estimates</w:t>
      </w:r>
    </w:p>
    <w:p>
      <w:pPr>
        <w:spacing w:after="0" w:line="204" w:lineRule="exact"/>
        <w:rPr>
          <w:sz w:val="20"/>
          <w:szCs w:val="20"/>
          <w:color w:val="auto"/>
        </w:rPr>
      </w:pPr>
    </w:p>
    <w:p>
      <w:pPr>
        <w:jc w:val="both"/>
        <w:ind w:firstLine="509"/>
        <w:spacing w:after="0" w:line="331" w:lineRule="auto"/>
        <w:rPr>
          <w:sz w:val="20"/>
          <w:szCs w:val="20"/>
          <w:color w:val="auto"/>
        </w:rPr>
      </w:pPr>
      <w:r>
        <w:rPr>
          <w:rFonts w:ascii="Arial" w:cs="Arial" w:eastAsia="Arial" w:hAnsi="Arial"/>
          <w:sz w:val="12"/>
          <w:szCs w:val="12"/>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w:t>
      </w:r>
    </w:p>
    <w:p>
      <w:pPr>
        <w:spacing w:after="0" w:line="129"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The accounting estimates we use in the preparation of our condensed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condensed consolidated financial statements. By their nature, these estimates and judgments are subject to an inherent degree of uncertainty and actual results could differ materially from the amounts reported based on these estimates.</w:t>
      </w:r>
    </w:p>
    <w:p>
      <w:pPr>
        <w:spacing w:after="0" w:line="152"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There have been no significant changes in our critical accounting estimates during the nine months ended September 30 2023, as compared to the critical accounting estimates disclosed in Management’s Discussion and Analysis of Financial Condition and Results of Operations included in our Annual Report on Form 10-K for the year ended December 31, 2022, filed with the SEC on March 16, 2023 (as amended on May 1, 2023).</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Goodwill represents the excess of the aggregate purchase price over the fair value of net identifiable assets acquired in a business combination. The Company evaluates goodwill for impairment on an annual basis in the third quarter, and more frequently whenever events or substantive changes in circumstances indicate that it is more likely than not that the carrying value of a reporting unit exceeds its fair value. In performing the goodwill impairment test, the Company first assesses qualitative factors to determine the existence of impairment. If the qualitative factors indicate that the carrying value of a reporting unit more likely than not exceeds its fair value, the Company proceeds to a quantitative test to measure the existence and amount, if any, of goodwill impairment. The Company may also choose to bypass the qualitative assessment and proceed directly to the quantitative test.</w:t>
      </w:r>
    </w:p>
    <w:p>
      <w:pPr>
        <w:spacing w:after="0" w:line="168"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In performing the quantitative test, impairment loss is recorded to the extent that the carrying value of the reporting unit exceeds its assessed fair value. The Company determines the fair value using the income and market approaches.</w:t>
      </w:r>
    </w:p>
    <w:p>
      <w:pPr>
        <w:spacing w:after="0" w:line="15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Under the income approach, the fair value of a reporting unit is the present value of its future cash flows as viewed from the eyes of a hypothetical market participant in an orderly transaction. The discounted cash flow models reflect our</w:t>
      </w:r>
    </w:p>
    <w:p>
      <w:pPr>
        <w:spacing w:after="0" w:line="200" w:lineRule="exact"/>
        <w:rPr>
          <w:sz w:val="20"/>
          <w:szCs w:val="20"/>
          <w:color w:val="auto"/>
        </w:rPr>
      </w:pPr>
    </w:p>
    <w:p>
      <w:pPr>
        <w:spacing w:after="0" w:line="22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2" w:name="page43"/>
    <w:bookmarkEnd w:id="42"/>
    <w:p>
      <w:pPr>
        <w:jc w:val="both"/>
        <w:spacing w:after="0" w:line="267" w:lineRule="auto"/>
        <w:rPr>
          <w:sz w:val="20"/>
          <w:szCs w:val="20"/>
          <w:color w:val="auto"/>
        </w:rPr>
      </w:pPr>
      <w:r>
        <w:rPr>
          <w:rFonts w:ascii="Arial" w:cs="Arial" w:eastAsia="Arial" w:hAnsi="Arial"/>
          <w:sz w:val="14"/>
          <w:szCs w:val="14"/>
          <w:color w:val="auto"/>
        </w:rPr>
        <w:t>assumptions regarding revenue growth rates, operating margins, risk-adjusted discount rate, terminal period growth rate, economic and market trends and other expectations about the anticipated operating results of our reporting unit. Under the market approach, we estimate the fair value based on market multiples of revenues derived from comparable publicly traded companies with operating characteristics similar to the reporting unit.</w:t>
      </w:r>
    </w:p>
    <w:p>
      <w:pPr>
        <w:spacing w:after="0" w:line="163"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 xml:space="preserve">Based on our 2023 annual goodwill impairment test, the Company recorded a non-cash impairment charge of $11.9 million in our condensed consolidated statements of operations, representing a portion of goodwill related to the WildHealth reporting unit. There were no impairments of our Business reporting unit, as the fair value of this reporting unit substantially exceeded its carrying value. See Note 5 – </w:t>
      </w:r>
      <w:r>
        <w:rPr>
          <w:rFonts w:ascii="Arial" w:cs="Arial" w:eastAsia="Arial" w:hAnsi="Arial"/>
          <w:sz w:val="14"/>
          <w:szCs w:val="14"/>
          <w:i w:val="1"/>
          <w:iCs w:val="1"/>
          <w:color w:val="auto"/>
        </w:rPr>
        <w:t>Goodwill and Intangible Assets, Net</w:t>
      </w:r>
      <w:r>
        <w:rPr>
          <w:rFonts w:ascii="Arial" w:cs="Arial" w:eastAsia="Arial" w:hAnsi="Arial"/>
          <w:sz w:val="14"/>
          <w:szCs w:val="14"/>
          <w:color w:val="auto"/>
        </w:rPr>
        <w:t xml:space="preserve"> for additional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Income Taxes</w:t>
      </w:r>
    </w:p>
    <w:p>
      <w:pPr>
        <w:spacing w:after="0" w:line="20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w:t>
      </w:r>
    </w:p>
    <w:p>
      <w:pPr>
        <w:spacing w:after="0" w:line="156"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 xml:space="preserve">The Company includes interest accrued on the underpayment of income taxes in interest expense and penalties, if any, related to unrecognized tax benefits in general and administrative expenses. The Company recorded a valuation allowance against its U.S. and Germany deferred tax assets as it considered its cumulative loss in recent years as a significant piece of negative evidence. Since valuation allowances are evaluated on a jurisdiction by jurisdiction basis, we believe that the deferred tax assets related to LivePerson Australia Holdings Pty. Ltd., LivePerson (UK) Ltd., LivePerson Japan and LivePerson Ltd. (Israel) are more likely than not to be realized as these jurisdictions have positive cumulative pre-tax book income after adjusting for permanent and one-time items. During the year ended December 31, 2022, there was an increase in the valuation allowance recorded of </w:t>
      </w:r>
      <w:r>
        <w:rPr>
          <w:rFonts w:ascii="Arial" w:cs="Arial" w:eastAsia="Arial" w:hAnsi="Arial"/>
          <w:sz w:val="13"/>
          <w:szCs w:val="13"/>
          <w:color w:val="222222"/>
        </w:rPr>
        <w:t>$80.5 million</w:t>
      </w:r>
      <w:r>
        <w:rPr>
          <w:rFonts w:ascii="Arial" w:cs="Arial" w:eastAsia="Arial" w:hAnsi="Arial"/>
          <w:sz w:val="13"/>
          <w:szCs w:val="13"/>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Legal Contingencies</w:t>
      </w:r>
    </w:p>
    <w:p>
      <w:pPr>
        <w:spacing w:after="0" w:line="20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 xml:space="preserve">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w:t>
      </w:r>
      <w:r>
        <w:rPr>
          <w:rFonts w:ascii="Arial" w:cs="Arial" w:eastAsia="Arial" w:hAnsi="Arial"/>
          <w:sz w:val="14"/>
          <w:szCs w:val="14"/>
          <w:i w:val="1"/>
          <w:iCs w:val="1"/>
          <w:color w:val="auto"/>
        </w:rPr>
        <w:t>Legal Matters</w:t>
      </w:r>
      <w:r>
        <w:rPr>
          <w:rFonts w:ascii="Arial" w:cs="Arial" w:eastAsia="Arial" w:hAnsi="Arial"/>
          <w:sz w:val="14"/>
          <w:szCs w:val="14"/>
          <w:color w:val="auto"/>
        </w:rPr>
        <w:t xml:space="preserve"> for additional information on our legal proceedings and litigation.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Contractual obligations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Company has a purchase obligation agreement in connection with IT infrastructure and cloud computing-related services. The contractual obligation in connection with this arrangement is approximately $57.4 million with a remaining term of two years.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Recently Issued Accounting Standards</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 xml:space="preserve">See Note 1 – </w:t>
      </w:r>
      <w:r>
        <w:rPr>
          <w:rFonts w:ascii="Arial" w:cs="Arial" w:eastAsia="Arial" w:hAnsi="Arial"/>
          <w:sz w:val="14"/>
          <w:szCs w:val="14"/>
          <w:i w:val="1"/>
          <w:iCs w:val="1"/>
          <w:color w:val="auto"/>
        </w:rPr>
        <w:t>Description of Business and Basis of Presentation,</w:t>
      </w:r>
      <w:r>
        <w:rPr>
          <w:rFonts w:ascii="Arial" w:cs="Arial" w:eastAsia="Arial" w:hAnsi="Arial"/>
          <w:sz w:val="14"/>
          <w:szCs w:val="14"/>
          <w:color w:val="auto"/>
        </w:rPr>
        <w:t xml:space="preserve"> to our condensed consolidated financial statements included elsewhere in this Quarterly Report on Form 10-Q for additional information about recent accounting guidance not yet adopted and recently adopted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3" w:name="page44"/>
    <w:bookmarkEnd w:id="43"/>
    <w:p>
      <w:pPr>
        <w:jc w:val="center"/>
        <w:ind w:left="320"/>
        <w:spacing w:after="0"/>
        <w:rPr>
          <w:sz w:val="20"/>
          <w:szCs w:val="20"/>
          <w:color w:val="auto"/>
        </w:rPr>
      </w:pPr>
      <w:r>
        <w:rPr>
          <w:rFonts w:ascii="Arial" w:cs="Arial" w:eastAsia="Arial" w:hAnsi="Arial"/>
          <w:sz w:val="14"/>
          <w:szCs w:val="14"/>
          <w:b w:val="1"/>
          <w:bCs w:val="1"/>
          <w:color w:val="auto"/>
        </w:rPr>
        <w:t>Results of Operations</w:t>
      </w:r>
    </w:p>
    <w:p>
      <w:pPr>
        <w:spacing w:after="0" w:line="204"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Our Business segment enables brands to leverage the Conversational Cloud’s sophisticated intelligence engine to connect with consumers through an integrated suite of mobile and online business messaging technologies. The Conversational Cloud enables businesses to have conversations with millions of consumers as personally as they would with a single consumer.</w:t>
      </w:r>
    </w:p>
    <w:p>
      <w:pPr>
        <w:spacing w:after="0" w:line="127" w:lineRule="exact"/>
        <w:rPr>
          <w:sz w:val="20"/>
          <w:szCs w:val="20"/>
          <w:color w:val="auto"/>
        </w:rPr>
      </w:pPr>
    </w:p>
    <w:p>
      <w:pPr>
        <w:ind w:left="2960"/>
        <w:spacing w:after="0"/>
        <w:rPr>
          <w:sz w:val="20"/>
          <w:szCs w:val="20"/>
          <w:color w:val="auto"/>
        </w:rPr>
      </w:pPr>
      <w:r>
        <w:rPr>
          <w:rFonts w:ascii="Arial" w:cs="Arial" w:eastAsia="Arial" w:hAnsi="Arial"/>
          <w:sz w:val="14"/>
          <w:szCs w:val="14"/>
          <w:b w:val="1"/>
          <w:bCs w:val="1"/>
          <w:color w:val="auto"/>
        </w:rPr>
        <w:t>Comparison of the Three and Nine Months Ended September 30, 2023 and September 30, 2022</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ind w:left="540"/>
              <w:spacing w:after="0"/>
              <w:rPr>
                <w:sz w:val="20"/>
                <w:szCs w:val="20"/>
                <w:color w:val="auto"/>
              </w:rPr>
            </w:pPr>
            <w:r>
              <w:rPr>
                <w:rFonts w:ascii="Arial" w:cs="Arial" w:eastAsia="Arial" w:hAnsi="Arial"/>
                <w:sz w:val="13"/>
                <w:szCs w:val="13"/>
                <w:b w:val="1"/>
                <w:bCs w:val="1"/>
                <w:color w:val="auto"/>
                <w:w w:val="88"/>
              </w:rPr>
              <w:t>Three Months Ended September 30,</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560"/>
              <w:spacing w:after="0"/>
              <w:rPr>
                <w:sz w:val="20"/>
                <w:szCs w:val="20"/>
                <w:color w:val="auto"/>
              </w:rPr>
            </w:pPr>
            <w:r>
              <w:rPr>
                <w:rFonts w:ascii="Arial" w:cs="Arial" w:eastAsia="Arial" w:hAnsi="Arial"/>
                <w:sz w:val="13"/>
                <w:szCs w:val="13"/>
                <w:b w:val="1"/>
                <w:bCs w:val="1"/>
                <w:color w:val="auto"/>
                <w:w w:val="89"/>
              </w:rPr>
              <w:t>Nine Months Ended September 30,</w:t>
            </w:r>
          </w:p>
        </w:tc>
        <w:tc>
          <w:tcPr>
            <w:tcW w:w="820" w:type="dxa"/>
            <w:vAlign w:val="bottom"/>
            <w:tcBorders>
              <w:bottom w:val="single" w:sz="8" w:color="auto"/>
            </w:tcBorders>
          </w:tcPr>
          <w:p>
            <w:pPr>
              <w:spacing w:after="0"/>
              <w:rPr>
                <w:sz w:val="14"/>
                <w:szCs w:val="14"/>
                <w:color w:val="auto"/>
              </w:rPr>
            </w:pPr>
          </w:p>
        </w:tc>
      </w:tr>
      <w:tr>
        <w:trPr>
          <w:trHeight w:val="160"/>
        </w:trPr>
        <w:tc>
          <w:tcPr>
            <w:tcW w:w="39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92"/>
              </w:rPr>
              <w:t>% Change</w:t>
            </w:r>
          </w:p>
        </w:tc>
      </w:tr>
      <w:tr>
        <w:trPr>
          <w:trHeight w:val="192"/>
        </w:trPr>
        <w:tc>
          <w:tcPr>
            <w:tcW w:w="3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80" w:type="dxa"/>
            <w:vAlign w:val="bottom"/>
            <w:gridSpan w:val="5"/>
          </w:tcPr>
          <w:p>
            <w:pPr>
              <w:ind w:left="280"/>
              <w:spacing w:after="0"/>
              <w:rPr>
                <w:sz w:val="20"/>
                <w:szCs w:val="20"/>
                <w:color w:val="auto"/>
              </w:rPr>
            </w:pPr>
            <w:r>
              <w:rPr>
                <w:rFonts w:ascii="Arial" w:cs="Arial" w:eastAsia="Arial" w:hAnsi="Arial"/>
                <w:sz w:val="13"/>
                <w:szCs w:val="13"/>
                <w:color w:val="auto"/>
              </w:rPr>
              <w:t>(Dollars in thousands)</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Business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129,561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(22)%   $</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306,515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392,323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(22)%</w:t>
            </w:r>
          </w:p>
        </w:tc>
      </w:tr>
    </w:tbl>
    <w:p>
      <w:pPr>
        <w:spacing w:after="0" w:line="25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222222"/>
        </w:rPr>
        <w:t xml:space="preserve">Revenue decreased by 22% to $101.3 million and by 22% to $306.5 million for the </w:t>
      </w:r>
      <w:r>
        <w:rPr>
          <w:rFonts w:ascii="Arial" w:cs="Arial" w:eastAsia="Arial" w:hAnsi="Arial"/>
          <w:sz w:val="13"/>
          <w:szCs w:val="13"/>
          <w:color w:val="000000"/>
        </w:rPr>
        <w:t>three and nine months ended September 30, 2023, respectively, and</w:t>
      </w:r>
      <w:r>
        <w:rPr>
          <w:rFonts w:ascii="Arial" w:cs="Arial" w:eastAsia="Arial" w:hAnsi="Arial"/>
          <w:sz w:val="13"/>
          <w:szCs w:val="13"/>
          <w:color w:val="222222"/>
        </w:rPr>
        <w:t xml:space="preserve"> from $129.6 million and $392.3 million for the comparable periods in 2022, respectively. The Business revenue decreases are primarily driven by h</w:t>
      </w:r>
      <w:r>
        <w:rPr>
          <w:rFonts w:ascii="Arial" w:cs="Arial" w:eastAsia="Arial" w:hAnsi="Arial"/>
          <w:sz w:val="13"/>
          <w:szCs w:val="13"/>
          <w:color w:val="000000"/>
        </w:rPr>
        <w:t>osted services decreases of</w:t>
      </w:r>
      <w:r>
        <w:rPr>
          <w:rFonts w:ascii="Arial" w:cs="Arial" w:eastAsia="Arial" w:hAnsi="Arial"/>
          <w:sz w:val="13"/>
          <w:szCs w:val="13"/>
          <w:color w:val="222222"/>
        </w:rPr>
        <w:t xml:space="preserve"> $13.2 million </w:t>
      </w:r>
      <w:r>
        <w:rPr>
          <w:rFonts w:ascii="Arial" w:cs="Arial" w:eastAsia="Arial" w:hAnsi="Arial"/>
          <w:sz w:val="13"/>
          <w:szCs w:val="13"/>
          <w:color w:val="000000"/>
        </w:rPr>
        <w:t>and</w:t>
      </w:r>
      <w:r>
        <w:rPr>
          <w:rFonts w:ascii="Arial" w:cs="Arial" w:eastAsia="Arial" w:hAnsi="Arial"/>
          <w:sz w:val="13"/>
          <w:szCs w:val="13"/>
          <w:color w:val="222222"/>
        </w:rPr>
        <w:t xml:space="preserve"> $64.0 million, and decreases in professional services of $15.0 million and $21.8 million, </w:t>
      </w:r>
      <w:r>
        <w:rPr>
          <w:rFonts w:ascii="Arial" w:cs="Arial" w:eastAsia="Arial" w:hAnsi="Arial"/>
          <w:sz w:val="13"/>
          <w:szCs w:val="13"/>
          <w:color w:val="000000"/>
        </w:rPr>
        <w:t>for the three and nine months ended September 30, 2023, respectively.</w:t>
      </w:r>
      <w:r>
        <w:rPr>
          <w:rFonts w:ascii="Arial" w:cs="Arial" w:eastAsia="Arial" w:hAnsi="Arial"/>
          <w:sz w:val="13"/>
          <w:szCs w:val="13"/>
          <w:color w:val="222222"/>
        </w:rPr>
        <w:t xml:space="preserve"> Included in hosted services are net decreases in revenue that are variable based on interaction and usage of approximately $9.5 million and $37.4 million for the </w:t>
      </w:r>
      <w:r>
        <w:rPr>
          <w:rFonts w:ascii="Arial" w:cs="Arial" w:eastAsia="Arial" w:hAnsi="Arial"/>
          <w:sz w:val="13"/>
          <w:szCs w:val="13"/>
          <w:color w:val="000000"/>
        </w:rPr>
        <w:t>three and nine months ended September 30, 2023, respectively. Included in professional services is a</w:t>
      </w:r>
      <w:r>
        <w:rPr>
          <w:rFonts w:ascii="Arial" w:cs="Arial" w:eastAsia="Arial" w:hAnsi="Arial"/>
          <w:sz w:val="13"/>
          <w:szCs w:val="13"/>
          <w:color w:val="222222"/>
        </w:rPr>
        <w:t xml:space="preserve"> </w:t>
      </w:r>
      <w:r>
        <w:rPr>
          <w:rFonts w:ascii="Arial" w:cs="Arial" w:eastAsia="Arial" w:hAnsi="Arial"/>
          <w:sz w:val="13"/>
          <w:szCs w:val="13"/>
          <w:color w:val="000000"/>
        </w:rPr>
        <w:t>net decrease in revenue based on the Claire Holdings agreement of approximately $12.9 million and $22.4 million for the three and nine months ended September 30, 2023, respectively.</w:t>
      </w:r>
    </w:p>
    <w:p>
      <w:pPr>
        <w:spacing w:after="0" w:line="155" w:lineRule="exact"/>
        <w:rPr>
          <w:sz w:val="20"/>
          <w:szCs w:val="20"/>
          <w:color w:val="auto"/>
        </w:rPr>
      </w:pPr>
    </w:p>
    <w:p>
      <w:pPr>
        <w:jc w:val="both"/>
        <w:ind w:firstLine="509"/>
        <w:spacing w:after="0" w:line="331" w:lineRule="auto"/>
        <w:rPr>
          <w:sz w:val="20"/>
          <w:szCs w:val="20"/>
          <w:color w:val="auto"/>
        </w:rPr>
      </w:pPr>
      <w:r>
        <w:rPr>
          <w:rFonts w:ascii="Arial" w:cs="Arial" w:eastAsia="Arial" w:hAnsi="Arial"/>
          <w:sz w:val="12"/>
          <w:szCs w:val="12"/>
          <w:color w:val="222222"/>
        </w:rPr>
        <w:t xml:space="preserve">Further, on March 20, 2023, the Company completed the sale of Kasamba and therefore ceased recognizing revenue related to Kasamba effective on the transaction close date. This sale eliminated the entire Consumer segment, as a result of which revenue is presented within a single consolidated segment which </w:t>
      </w:r>
      <w:r>
        <w:rPr>
          <w:rFonts w:ascii="Arial" w:cs="Arial" w:eastAsia="Arial" w:hAnsi="Arial"/>
          <w:sz w:val="12"/>
          <w:szCs w:val="12"/>
          <w:color w:val="000000"/>
        </w:rPr>
        <w:t>includes $7.2 million for the nine months ended September 30, 2023,</w:t>
      </w:r>
      <w:r>
        <w:rPr>
          <w:rFonts w:ascii="Arial" w:cs="Arial" w:eastAsia="Arial" w:hAnsi="Arial"/>
          <w:sz w:val="12"/>
          <w:szCs w:val="12"/>
          <w:color w:val="222222"/>
        </w:rPr>
        <w:t xml:space="preserve"> </w:t>
      </w:r>
      <w:r>
        <w:rPr>
          <w:rFonts w:ascii="Arial" w:cs="Arial" w:eastAsia="Arial" w:hAnsi="Arial"/>
          <w:sz w:val="12"/>
          <w:szCs w:val="12"/>
          <w:color w:val="000000"/>
        </w:rPr>
        <w:t xml:space="preserve">and $9.5 million and $27.7 million of revenue for the three and nine months ended September 30, 2022, respectively, relating to Kasamba. </w:t>
      </w:r>
      <w:r>
        <w:rPr>
          <w:rFonts w:ascii="Arial" w:cs="Arial" w:eastAsia="Arial" w:hAnsi="Arial"/>
          <w:sz w:val="12"/>
          <w:szCs w:val="12"/>
          <w:color w:val="222222"/>
        </w:rPr>
        <w:t>Refer to Note 2 -</w:t>
      </w:r>
      <w:r>
        <w:rPr>
          <w:rFonts w:ascii="Arial" w:cs="Arial" w:eastAsia="Arial" w:hAnsi="Arial"/>
          <w:sz w:val="12"/>
          <w:szCs w:val="12"/>
          <w:color w:val="000000"/>
        </w:rPr>
        <w:t xml:space="preserve"> </w:t>
      </w:r>
      <w:r>
        <w:rPr>
          <w:rFonts w:ascii="Arial" w:cs="Arial" w:eastAsia="Arial" w:hAnsi="Arial"/>
          <w:sz w:val="12"/>
          <w:szCs w:val="12"/>
          <w:i w:val="1"/>
          <w:iCs w:val="1"/>
          <w:color w:val="222222"/>
        </w:rPr>
        <w:t>Revenue Recognition,</w:t>
      </w:r>
      <w:r>
        <w:rPr>
          <w:rFonts w:ascii="Arial" w:cs="Arial" w:eastAsia="Arial" w:hAnsi="Arial"/>
          <w:sz w:val="12"/>
          <w:szCs w:val="12"/>
          <w:color w:val="000000"/>
        </w:rPr>
        <w:t xml:space="preserve"> </w:t>
      </w:r>
      <w:r>
        <w:rPr>
          <w:rFonts w:ascii="Arial" w:cs="Arial" w:eastAsia="Arial" w:hAnsi="Arial"/>
          <w:sz w:val="12"/>
          <w:szCs w:val="12"/>
          <w:color w:val="222222"/>
        </w:rPr>
        <w:t>for further details.</w:t>
      </w:r>
    </w:p>
    <w:p>
      <w:pPr>
        <w:spacing w:after="0" w:line="12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222222"/>
        </w:rPr>
        <w:t xml:space="preserve">The ARPC for our enterprise and mid-market customers was approximately $595,000 for the trailing twelve months ended September 30, 2023, as compared to $525,000 for the trailing twelve months ended September 30, 2022. Revenue retention for our enterprise and mid-market customers on the Conversational Cloud was below our target range of 105% to 115% for </w:t>
      </w:r>
      <w:r>
        <w:rPr>
          <w:rFonts w:ascii="Arial" w:cs="Arial" w:eastAsia="Arial" w:hAnsi="Arial"/>
          <w:sz w:val="14"/>
          <w:szCs w:val="14"/>
          <w:color w:val="000000"/>
        </w:rPr>
        <w:t>the third</w:t>
      </w:r>
      <w:r>
        <w:rPr>
          <w:rFonts w:ascii="Arial" w:cs="Arial" w:eastAsia="Arial" w:hAnsi="Arial"/>
          <w:sz w:val="14"/>
          <w:szCs w:val="14"/>
          <w:color w:val="222222"/>
        </w:rPr>
        <w:t xml:space="preserve"> </w:t>
      </w:r>
      <w:r>
        <w:rPr>
          <w:rFonts w:ascii="Arial" w:cs="Arial" w:eastAsia="Arial" w:hAnsi="Arial"/>
          <w:sz w:val="14"/>
          <w:szCs w:val="14"/>
          <w:color w:val="000000"/>
        </w:rPr>
        <w:t>quarter of 2023 and the comparable period in 2022.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Cost of Revenue</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3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780" w:type="dxa"/>
            <w:vAlign w:val="bottom"/>
            <w:gridSpan w:val="8"/>
          </w:tcPr>
          <w:p>
            <w:pPr>
              <w:ind w:left="540"/>
              <w:spacing w:after="0"/>
              <w:rPr>
                <w:sz w:val="20"/>
                <w:szCs w:val="20"/>
                <w:color w:val="auto"/>
              </w:rPr>
            </w:pPr>
            <w:r>
              <w:rPr>
                <w:rFonts w:ascii="Arial" w:cs="Arial" w:eastAsia="Arial" w:hAnsi="Arial"/>
                <w:sz w:val="13"/>
                <w:szCs w:val="13"/>
                <w:b w:val="1"/>
                <w:bCs w:val="1"/>
                <w:color w:val="auto"/>
              </w:rPr>
              <w:t>Three Months Ended September 30,</w:t>
            </w:r>
          </w:p>
        </w:tc>
        <w:tc>
          <w:tcPr>
            <w:tcW w:w="3480" w:type="dxa"/>
            <w:vAlign w:val="bottom"/>
            <w:gridSpan w:val="6"/>
          </w:tcPr>
          <w:p>
            <w:pPr>
              <w:jc w:val="right"/>
              <w:ind w:right="830"/>
              <w:spacing w:after="0"/>
              <w:rPr>
                <w:sz w:val="20"/>
                <w:szCs w:val="20"/>
                <w:color w:val="auto"/>
              </w:rPr>
            </w:pPr>
            <w:r>
              <w:rPr>
                <w:rFonts w:ascii="Arial" w:cs="Arial" w:eastAsia="Arial" w:hAnsi="Arial"/>
                <w:sz w:val="13"/>
                <w:szCs w:val="13"/>
                <w:b w:val="1"/>
                <w:bCs w:val="1"/>
                <w:color w:val="auto"/>
              </w:rPr>
              <w:t>Nine Months Ended September 30,</w:t>
            </w:r>
          </w:p>
        </w:tc>
      </w:tr>
      <w:tr>
        <w:trPr>
          <w:trHeight w:val="174"/>
        </w:trPr>
        <w:tc>
          <w:tcPr>
            <w:tcW w:w="37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Change</w:t>
            </w:r>
          </w:p>
        </w:tc>
      </w:tr>
      <w:tr>
        <w:trPr>
          <w:trHeight w:val="200"/>
        </w:trPr>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5"/>
          </w:tcPr>
          <w:p>
            <w:pPr>
              <w:ind w:left="640"/>
              <w:spacing w:after="0"/>
              <w:rPr>
                <w:sz w:val="20"/>
                <w:szCs w:val="20"/>
                <w:color w:val="auto"/>
              </w:rPr>
            </w:pPr>
            <w:r>
              <w:rPr>
                <w:rFonts w:ascii="Arial" w:cs="Arial" w:eastAsia="Arial" w:hAnsi="Arial"/>
                <w:sz w:val="13"/>
                <w:szCs w:val="13"/>
                <w:color w:val="auto"/>
              </w:rPr>
              <w:t>(Dollars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7"/>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31,980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43,681</w:t>
            </w:r>
          </w:p>
        </w:tc>
        <w:tc>
          <w:tcPr>
            <w:tcW w:w="10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(27)%   $</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105,964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138,297</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w:t>
            </w:r>
          </w:p>
        </w:tc>
      </w:tr>
      <w:tr>
        <w:trPr>
          <w:trHeight w:val="180"/>
        </w:trPr>
        <w:tc>
          <w:tcPr>
            <w:tcW w:w="37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240" w:type="dxa"/>
            <w:vAlign w:val="bottom"/>
          </w:tcPr>
          <w:p>
            <w:pPr>
              <w:spacing w:after="0"/>
              <w:rPr>
                <w:sz w:val="15"/>
                <w:szCs w:val="15"/>
                <w:color w:val="auto"/>
              </w:rPr>
            </w:pPr>
          </w:p>
        </w:tc>
        <w:tc>
          <w:tcPr>
            <w:tcW w:w="900" w:type="dxa"/>
            <w:vAlign w:val="bottom"/>
          </w:tcPr>
          <w:p>
            <w:pPr>
              <w:jc w:val="right"/>
              <w:ind w:right="31"/>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1"/>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Headcount (at period end)</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ind w:left="700"/>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361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w:t>
            </w:r>
          </w:p>
        </w:tc>
      </w:tr>
    </w:tbl>
    <w:p>
      <w:pPr>
        <w:spacing w:after="0" w:line="244"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Cost of revenue decreased by 27% to $32.0 million for the three months ended September 30, 2023 from $43.7 million for the comparable period in 2022. This decrease in expense is primarily attributable to a decrease in business services and outsourced labor of approximately $8.8 million, a decrease in salary and related employee expenses of approximately</w:t>
      </w:r>
    </w:p>
    <w:p>
      <w:pPr>
        <w:spacing w:after="0" w:line="200" w:lineRule="exact"/>
        <w:rPr>
          <w:sz w:val="20"/>
          <w:szCs w:val="20"/>
          <w:color w:val="auto"/>
        </w:rPr>
      </w:pP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44" w:name="page45"/>
    <w:bookmarkEnd w:id="44"/>
    <w:p>
      <w:pPr>
        <w:jc w:val="both"/>
        <w:spacing w:after="0" w:line="281" w:lineRule="auto"/>
        <w:rPr>
          <w:sz w:val="20"/>
          <w:szCs w:val="20"/>
          <w:color w:val="auto"/>
        </w:rPr>
      </w:pPr>
      <w:r>
        <w:rPr>
          <w:rFonts w:ascii="Arial" w:cs="Arial" w:eastAsia="Arial" w:hAnsi="Arial"/>
          <w:sz w:val="14"/>
          <w:szCs w:val="14"/>
          <w:color w:val="auto"/>
        </w:rPr>
        <w:t>$7.2 million and a decrease in compensation expense due to the settlement of earn-outs related to prior acquisitions of approximately $1.1 million, partially offset by software, hosting and other expenses of approximately $3.1 million and an impairment of intangible assets of approximately $3.0 million.</w:t>
      </w:r>
    </w:p>
    <w:p>
      <w:pPr>
        <w:spacing w:after="0" w:line="15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Cost of revenue decreased by 23% to $106.0 million for the nine months ended September 30, 2023 from $138.3 million for the comparable period in 2022. This decrease in expense is primarily attributable to a decrease in business services and outsourced labor of approximately $15.6 million, a decrease in salary and related employee expenses of approximately $11.3 million, a decrease in COVID-19 testing expenses of approximately $8.6 million and a decrease in compensation expense due to the settlement of earn-outs related to prior acquisitions of approximately $5.2 million, partially offset by software expenses, hosting and other expenses of approximately $6.5 million and an impairment of intangible assets of approximately $3.0 million.</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and Marketing</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b w:val="1"/>
                <w:bCs w:val="1"/>
                <w:color w:val="auto"/>
              </w:rPr>
              <w:t>Three Months Ended September 30,</w:t>
            </w:r>
          </w:p>
        </w:tc>
        <w:tc>
          <w:tcPr>
            <w:tcW w:w="760" w:type="dxa"/>
            <w:vAlign w:val="bottom"/>
          </w:tcPr>
          <w:p>
            <w:pPr>
              <w:spacing w:after="0"/>
              <w:rPr>
                <w:sz w:val="15"/>
                <w:szCs w:val="15"/>
                <w:color w:val="auto"/>
              </w:rPr>
            </w:pPr>
          </w:p>
        </w:tc>
        <w:tc>
          <w:tcPr>
            <w:tcW w:w="2960" w:type="dxa"/>
            <w:vAlign w:val="bottom"/>
            <w:gridSpan w:val="6"/>
          </w:tcPr>
          <w:p>
            <w:pPr>
              <w:jc w:val="right"/>
              <w:ind w:right="790"/>
              <w:spacing w:after="0"/>
              <w:rPr>
                <w:sz w:val="20"/>
                <w:szCs w:val="20"/>
                <w:color w:val="auto"/>
              </w:rPr>
            </w:pPr>
            <w:r>
              <w:rPr>
                <w:rFonts w:ascii="Arial" w:cs="Arial" w:eastAsia="Arial" w:hAnsi="Arial"/>
                <w:sz w:val="13"/>
                <w:szCs w:val="13"/>
                <w:b w:val="1"/>
                <w:bCs w:val="1"/>
                <w:color w:val="auto"/>
                <w:w w:val="97"/>
              </w:rPr>
              <w:t>Nine Months Ended September 30,</w:t>
            </w:r>
          </w:p>
        </w:tc>
      </w:tr>
      <w:tr>
        <w:trPr>
          <w:trHeight w:val="174"/>
        </w:trPr>
        <w:tc>
          <w:tcPr>
            <w:tcW w:w="37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 Change</w:t>
            </w:r>
          </w:p>
        </w:tc>
      </w:tr>
      <w:tr>
        <w:trPr>
          <w:trHeight w:val="206"/>
        </w:trPr>
        <w:tc>
          <w:tcPr>
            <w:tcW w:w="3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gridSpan w:val="3"/>
          </w:tcPr>
          <w:p>
            <w:pPr>
              <w:jc w:val="right"/>
              <w:ind w:right="111"/>
              <w:spacing w:after="0"/>
              <w:rPr>
                <w:sz w:val="20"/>
                <w:szCs w:val="20"/>
                <w:color w:val="auto"/>
              </w:rPr>
            </w:pPr>
            <w:r>
              <w:rPr>
                <w:rFonts w:ascii="Arial" w:cs="Arial" w:eastAsia="Arial" w:hAnsi="Arial"/>
                <w:sz w:val="14"/>
                <w:szCs w:val="14"/>
                <w:color w:val="auto"/>
              </w:rPr>
              <w:t>(Dollars in thousands)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1"/>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78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88"/>
              </w:rPr>
              <w:t>32,118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49,448</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88"/>
              </w:rPr>
              <w:t>93,312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167,563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w:t>
            </w:r>
          </w:p>
        </w:tc>
      </w:tr>
      <w:tr>
        <w:trPr>
          <w:trHeight w:val="180"/>
        </w:trPr>
        <w:tc>
          <w:tcPr>
            <w:tcW w:w="372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1"/>
        </w:trPr>
        <w:tc>
          <w:tcPr>
            <w:tcW w:w="3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Headcount (at period end)</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573</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338</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573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(41)%</w:t>
            </w:r>
          </w:p>
        </w:tc>
      </w:tr>
    </w:tbl>
    <w:p>
      <w:pPr>
        <w:spacing w:after="0" w:line="25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Sales and marketing expenses decreased by 35% to $32.1 million for the three months ended September 30, 2023 from $49.4 million for the comparable period in 2022. This decrease was primarily attributable to a decrease in salary and related employee expenses of approximately $8.9 million, a decrease in marketing expenses of approximately $6.2 million, and a decrease in software, hosting and other expenses of approximately $1.9 million.</w:t>
      </w:r>
    </w:p>
    <w:p>
      <w:pPr>
        <w:spacing w:after="0" w:line="163"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Sales and marketing expenses decreased by 44% to $93.3 million for the nine months ended September 30, 2023 from $167.6 million for the comparable period in 2022. This decrease was primarily attributable to a decrease in salary and related employee expenses of approximately $37.1 million, a decrease in marketing expenses of approximately $24.2 million, a decrease in software, hosting and other expenses of approximately $5.9 million, a decrease in business services and outsourced labor of approximately $5.2 million and a decrease in compensation expense due to the settlement of earn-outs related to prior acquisitions of approximately $2.3 million.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general and administrative expenses consist of compensation and related expenses for executive, finance and accounting, legal, human resources and administrative personnel, professional fees and other general corporate expenses.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660"/>
              <w:spacing w:after="0"/>
              <w:rPr>
                <w:sz w:val="20"/>
                <w:szCs w:val="20"/>
                <w:color w:val="auto"/>
              </w:rPr>
            </w:pPr>
            <w:r>
              <w:rPr>
                <w:rFonts w:ascii="Arial" w:cs="Arial" w:eastAsia="Arial" w:hAnsi="Arial"/>
                <w:sz w:val="13"/>
                <w:szCs w:val="13"/>
                <w:b w:val="1"/>
                <w:bCs w:val="1"/>
                <w:color w:val="auto"/>
                <w:w w:val="88"/>
              </w:rPr>
              <w:t>Three Months Ended September 30,</w:t>
            </w:r>
          </w:p>
        </w:tc>
        <w:tc>
          <w:tcPr>
            <w:tcW w:w="9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ind w:left="420"/>
              <w:spacing w:after="0"/>
              <w:rPr>
                <w:sz w:val="20"/>
                <w:szCs w:val="20"/>
                <w:color w:val="auto"/>
              </w:rPr>
            </w:pPr>
            <w:r>
              <w:rPr>
                <w:rFonts w:ascii="Arial" w:cs="Arial" w:eastAsia="Arial" w:hAnsi="Arial"/>
                <w:sz w:val="13"/>
                <w:szCs w:val="13"/>
                <w:b w:val="1"/>
                <w:bCs w:val="1"/>
                <w:color w:val="auto"/>
                <w:w w:val="88"/>
              </w:rPr>
              <w:t>Nine Months Ended September 30,</w:t>
            </w:r>
          </w:p>
        </w:tc>
        <w:tc>
          <w:tcPr>
            <w:tcW w:w="860" w:type="dxa"/>
            <w:vAlign w:val="bottom"/>
            <w:tcBorders>
              <w:bottom w:val="single" w:sz="8" w:color="auto"/>
            </w:tcBorders>
          </w:tcPr>
          <w:p>
            <w:pPr>
              <w:spacing w:after="0"/>
              <w:rPr>
                <w:sz w:val="14"/>
                <w:szCs w:val="14"/>
                <w:color w:val="auto"/>
              </w:rPr>
            </w:pPr>
          </w:p>
        </w:tc>
      </w:tr>
      <w:tr>
        <w:trPr>
          <w:trHeight w:val="160"/>
        </w:trPr>
        <w:tc>
          <w:tcPr>
            <w:tcW w:w="3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414"/>
              <w:spacing w:after="0"/>
              <w:rPr>
                <w:sz w:val="20"/>
                <w:szCs w:val="20"/>
                <w:color w:val="auto"/>
              </w:rPr>
            </w:pPr>
            <w:r>
              <w:rPr>
                <w:rFonts w:ascii="Arial" w:cs="Arial" w:eastAsia="Arial" w:hAnsi="Arial"/>
                <w:sz w:val="13"/>
                <w:szCs w:val="13"/>
                <w:b w:val="1"/>
                <w:bCs w:val="1"/>
                <w:color w:val="auto"/>
                <w:w w:val="82"/>
              </w:rPr>
              <w:t>2023</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3"/>
                <w:szCs w:val="13"/>
                <w:b w:val="1"/>
                <w:bCs w:val="1"/>
                <w:color w:val="auto"/>
                <w:w w:val="92"/>
              </w:rPr>
              <w:t>% Change</w:t>
            </w:r>
          </w:p>
        </w:tc>
      </w:tr>
      <w:tr>
        <w:trPr>
          <w:trHeight w:val="192"/>
        </w:trPr>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ind w:left="300"/>
              <w:spacing w:after="0"/>
              <w:rPr>
                <w:sz w:val="20"/>
                <w:szCs w:val="20"/>
                <w:color w:val="auto"/>
              </w:rPr>
            </w:pPr>
            <w:r>
              <w:rPr>
                <w:rFonts w:ascii="Arial" w:cs="Arial" w:eastAsia="Arial" w:hAnsi="Arial"/>
                <w:sz w:val="13"/>
                <w:szCs w:val="13"/>
                <w:color w:val="auto"/>
                <w:w w:val="90"/>
              </w:rPr>
              <w:t>(Dollars in thousands)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3"/>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30,448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32,171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(5)%  $</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70,065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92,152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(24)%</w:t>
            </w:r>
          </w:p>
        </w:tc>
      </w:tr>
      <w:tr>
        <w:trPr>
          <w:trHeight w:val="180"/>
        </w:trPr>
        <w:tc>
          <w:tcPr>
            <w:tcW w:w="370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1"/>
        </w:trPr>
        <w:tc>
          <w:tcPr>
            <w:tcW w:w="3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Headcount (at period end)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ind w:left="620"/>
              <w:spacing w:after="0"/>
              <w:rPr>
                <w:sz w:val="20"/>
                <w:szCs w:val="20"/>
                <w:color w:val="auto"/>
              </w:rPr>
            </w:pPr>
            <w:r>
              <w:rPr>
                <w:rFonts w:ascii="Arial" w:cs="Arial" w:eastAsia="Arial" w:hAnsi="Arial"/>
                <w:sz w:val="14"/>
                <w:szCs w:val="14"/>
                <w:color w:val="auto"/>
                <w:w w:val="94"/>
              </w:rPr>
              <w:t>(9)%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4"/>
              <w:spacing w:after="0"/>
              <w:rPr>
                <w:sz w:val="20"/>
                <w:szCs w:val="20"/>
                <w:color w:val="auto"/>
              </w:rPr>
            </w:pPr>
            <w:r>
              <w:rPr>
                <w:rFonts w:ascii="Arial" w:cs="Arial" w:eastAsia="Arial" w:hAnsi="Arial"/>
                <w:sz w:val="13"/>
                <w:szCs w:val="13"/>
                <w:color w:val="auto"/>
              </w:rPr>
              <w:t>154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169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w:t>
            </w:r>
          </w:p>
        </w:tc>
      </w:tr>
    </w:tbl>
    <w:p>
      <w:pPr>
        <w:spacing w:after="0" w:line="244"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General and administrative expenses decreased by 5% to $30.4 million for the three months ended September 30, 2023 from $32.2 million for the comparable period in 2022. This decrease is primarily attributable to a decrease in compensation expense due to the settlement of earn-outs related to prior acquisitions of approximately $8.7 million and a decrease in business services and outsourced labor of approximately $0.8 million, partially offset by costs primarily associated with the departure of</w:t>
      </w:r>
    </w:p>
    <w:p>
      <w:pPr>
        <w:spacing w:after="0" w:line="200" w:lineRule="exact"/>
        <w:rPr>
          <w:sz w:val="20"/>
          <w:szCs w:val="20"/>
          <w:color w:val="auto"/>
        </w:rPr>
      </w:pPr>
    </w:p>
    <w:p>
      <w:pPr>
        <w:spacing w:after="0" w:line="239"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our former CEO of approximately $6.1 million and an increase in salary and related employee expenses of approximately $0.7 million.</w:t>
      </w:r>
    </w:p>
    <w:p>
      <w:pPr>
        <w:spacing w:after="0" w:line="200"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General and administrative expenses decreased by 24% to $70.1 million for the nine months ended September 30, 2023 from $92.2 million for the comparable period in 2022. This decrease is primarily attributable to a decrease in compensation expense due to the settlement of earn-outs related to prior acquisitions of approximately $43.3 million and a decrease in business services and outsourced labor of approximately $2.9 million, partially offset by software, hosting and other expenses of approximately $16.4 million and costs primarily associated with the departure of our former CEO of approximately $6.1 million.</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Product Development</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3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920" w:type="dxa"/>
            <w:vAlign w:val="bottom"/>
            <w:gridSpan w:val="8"/>
          </w:tcPr>
          <w:p>
            <w:pPr>
              <w:ind w:left="600"/>
              <w:spacing w:after="0"/>
              <w:rPr>
                <w:sz w:val="20"/>
                <w:szCs w:val="20"/>
                <w:color w:val="auto"/>
              </w:rPr>
            </w:pPr>
            <w:r>
              <w:rPr>
                <w:rFonts w:ascii="Arial" w:cs="Arial" w:eastAsia="Arial" w:hAnsi="Arial"/>
                <w:sz w:val="13"/>
                <w:szCs w:val="13"/>
                <w:b w:val="1"/>
                <w:bCs w:val="1"/>
                <w:color w:val="auto"/>
              </w:rPr>
              <w:t>Three Months Ended September 30,</w:t>
            </w:r>
          </w:p>
        </w:tc>
        <w:tc>
          <w:tcPr>
            <w:tcW w:w="2640" w:type="dxa"/>
            <w:vAlign w:val="bottom"/>
            <w:gridSpan w:val="6"/>
          </w:tcPr>
          <w:p>
            <w:pPr>
              <w:ind w:left="640"/>
              <w:spacing w:after="0"/>
              <w:rPr>
                <w:sz w:val="20"/>
                <w:szCs w:val="20"/>
                <w:color w:val="auto"/>
              </w:rPr>
            </w:pPr>
            <w:r>
              <w:rPr>
                <w:rFonts w:ascii="Arial" w:cs="Arial" w:eastAsia="Arial" w:hAnsi="Arial"/>
                <w:sz w:val="13"/>
                <w:szCs w:val="13"/>
                <w:b w:val="1"/>
                <w:bCs w:val="1"/>
                <w:color w:val="auto"/>
                <w:w w:val="92"/>
              </w:rPr>
              <w:t>Nine Months Ended September 30,</w:t>
            </w:r>
          </w:p>
        </w:tc>
        <w:tc>
          <w:tcPr>
            <w:tcW w:w="920" w:type="dxa"/>
            <w:vAlign w:val="bottom"/>
          </w:tcPr>
          <w:p>
            <w:pPr>
              <w:spacing w:after="0"/>
              <w:rPr>
                <w:sz w:val="15"/>
                <w:szCs w:val="15"/>
                <w:color w:val="auto"/>
              </w:rPr>
            </w:pPr>
          </w:p>
        </w:tc>
      </w:tr>
      <w:tr>
        <w:trPr>
          <w:trHeight w:val="174"/>
        </w:trPr>
        <w:tc>
          <w:tcPr>
            <w:tcW w:w="33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2023</w:t>
            </w: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w w:val="95"/>
              </w:rPr>
              <w:t>% Change</w:t>
            </w:r>
          </w:p>
        </w:tc>
      </w:tr>
      <w:tr>
        <w:trPr>
          <w:trHeight w:val="200"/>
        </w:trPr>
        <w:tc>
          <w:tcPr>
            <w:tcW w:w="3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gridSpan w:val="5"/>
          </w:tcPr>
          <w:p>
            <w:pPr>
              <w:ind w:left="660"/>
              <w:spacing w:after="0"/>
              <w:rPr>
                <w:sz w:val="20"/>
                <w:szCs w:val="20"/>
                <w:color w:val="auto"/>
              </w:rPr>
            </w:pPr>
            <w:r>
              <w:rPr>
                <w:rFonts w:ascii="Arial" w:cs="Arial" w:eastAsia="Arial" w:hAnsi="Arial"/>
                <w:sz w:val="13"/>
                <w:szCs w:val="13"/>
                <w:color w:val="auto"/>
              </w:rPr>
              <w:t>(Dollars in thousands)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7"/>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Product development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35,575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44,744</w:t>
            </w:r>
          </w:p>
        </w:tc>
        <w:tc>
          <w:tcPr>
            <w:tcW w:w="1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(20)%  $</w:t>
            </w: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94,933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156,568</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80"/>
        </w:trPr>
        <w:tc>
          <w:tcPr>
            <w:tcW w:w="3300" w:type="dxa"/>
            <w:vAlign w:val="bottom"/>
          </w:tcPr>
          <w:p>
            <w:pPr>
              <w:spacing w:after="0"/>
              <w:rPr>
                <w:sz w:val="20"/>
                <w:szCs w:val="20"/>
                <w:color w:val="auto"/>
              </w:rPr>
            </w:pPr>
            <w:r>
              <w:rPr>
                <w:rFonts w:ascii="Arial" w:cs="Arial" w:eastAsia="Arial" w:hAnsi="Arial"/>
                <w:sz w:val="14"/>
                <w:szCs w:val="14"/>
                <w:color w:val="auto"/>
              </w:rPr>
              <w:t>Percentage of total revenue</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1"/>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Headcount (at period end)</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ind w:left="840"/>
              <w:spacing w:after="0"/>
              <w:rPr>
                <w:sz w:val="20"/>
                <w:szCs w:val="20"/>
                <w:color w:val="auto"/>
              </w:rPr>
            </w:pPr>
            <w:r>
              <w:rPr>
                <w:rFonts w:ascii="Arial" w:cs="Arial" w:eastAsia="Arial" w:hAnsi="Arial"/>
                <w:sz w:val="14"/>
                <w:szCs w:val="14"/>
                <w:color w:val="auto"/>
                <w:w w:val="96"/>
              </w:rPr>
              <w:t>(21)%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552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bl>
    <w:p>
      <w:pPr>
        <w:spacing w:after="0" w:line="2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Product development costs decreased by 20% to $35.6 million for the three months ended September 30, 2023 from $44.7 million for the comparable period in 2022. This decrease is primarily related to a decrease in salary and employee-related expenses of approximately $8.5 million and a decrease in compensation expense due to the settlement of earn-outs related to prior acquisitions of approximately $3.7 million, partially offset by business services and outsourced labor of approximately $1.4 million, an increase in depreciation expenses of approximately $1.0 million and an increase in software, hosting and other expenses of approximately $0.6 million.</w:t>
      </w:r>
    </w:p>
    <w:p>
      <w:pPr>
        <w:spacing w:after="0" w:line="16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Product development costs decreased by 39% to $94.9 million for the nine months ended September 30, 2023 from $156.6 million for the comparable period in 2022. This decrease is primarily related to a decrease in salary and employee-related expenses of approximately $40.3 million, a decrease in compensation expense due to the settlement of earn-outs related to prior acquisitions of approximately $19.6 million, a decrease in business services and outsourced labor of approximately $5.4 million and a decrease in software, hosting and other expenses of approximately $0.3 million, partially offset by depreciation expenses of approximately $3.9 million.</w:t>
      </w:r>
    </w:p>
    <w:p>
      <w:pPr>
        <w:spacing w:after="0" w:line="167"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We continue to invest in new product development efforts to expand the capabilities of the Conversational Cloud. Upon completion, the project costs will be depreciated over five years. For the three and nine months ended September 30, 2023, $4.6 million and $19.2 million was capitalized for software development costs, respectively, compared to $9.3 million and $28.4 million, respectively, for the comparable periods in 2022.</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Restructuring Costs</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Restructuring costs consist of re-prioritizing and reallocating resources to focus on areas believed to show high growth potential.</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20" w:type="dxa"/>
            <w:vAlign w:val="bottom"/>
            <w:gridSpan w:val="8"/>
          </w:tcPr>
          <w:p>
            <w:pPr>
              <w:jc w:val="center"/>
              <w:ind w:right="1060"/>
              <w:spacing w:after="0"/>
              <w:rPr>
                <w:sz w:val="20"/>
                <w:szCs w:val="20"/>
                <w:color w:val="auto"/>
              </w:rPr>
            </w:pPr>
            <w:r>
              <w:rPr>
                <w:rFonts w:ascii="Arial" w:cs="Arial" w:eastAsia="Arial" w:hAnsi="Arial"/>
                <w:sz w:val="13"/>
                <w:szCs w:val="13"/>
                <w:b w:val="1"/>
                <w:bCs w:val="1"/>
                <w:color w:val="auto"/>
                <w:w w:val="94"/>
              </w:rPr>
              <w:t>Three Months Ended September 30,</w:t>
            </w:r>
          </w:p>
        </w:tc>
        <w:tc>
          <w:tcPr>
            <w:tcW w:w="3320" w:type="dxa"/>
            <w:vAlign w:val="bottom"/>
            <w:gridSpan w:val="6"/>
          </w:tcPr>
          <w:p>
            <w:pPr>
              <w:jc w:val="center"/>
              <w:ind w:right="191"/>
              <w:spacing w:after="0"/>
              <w:rPr>
                <w:sz w:val="20"/>
                <w:szCs w:val="20"/>
                <w:color w:val="auto"/>
              </w:rPr>
            </w:pPr>
            <w:r>
              <w:rPr>
                <w:rFonts w:ascii="Arial" w:cs="Arial" w:eastAsia="Arial" w:hAnsi="Arial"/>
                <w:sz w:val="13"/>
                <w:szCs w:val="13"/>
                <w:b w:val="1"/>
                <w:bCs w:val="1"/>
                <w:color w:val="auto"/>
                <w:w w:val="94"/>
              </w:rPr>
              <w:t>Nine Months Ended September 30,</w:t>
            </w:r>
          </w:p>
        </w:tc>
      </w:tr>
      <w:tr>
        <w:trPr>
          <w:trHeight w:val="174"/>
        </w:trPr>
        <w:tc>
          <w:tcPr>
            <w:tcW w:w="4000" w:type="dxa"/>
            <w:vAlign w:val="bottom"/>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center"/>
              <w:ind w:left="330"/>
              <w:spacing w:after="0"/>
              <w:rPr>
                <w:sz w:val="20"/>
                <w:szCs w:val="20"/>
                <w:color w:val="auto"/>
              </w:rPr>
            </w:pPr>
            <w:r>
              <w:rPr>
                <w:rFonts w:ascii="Arial" w:cs="Arial" w:eastAsia="Arial" w:hAnsi="Arial"/>
                <w:sz w:val="13"/>
                <w:szCs w:val="13"/>
                <w:b w:val="1"/>
                <w:bCs w:val="1"/>
                <w:color w:val="auto"/>
                <w:w w:val="89"/>
              </w:rPr>
              <w:t>2022</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3"/>
                <w:szCs w:val="13"/>
                <w:b w:val="1"/>
                <w:bCs w:val="1"/>
                <w:color w:val="auto"/>
              </w:rPr>
              <w:t>% Change</w:t>
            </w:r>
          </w:p>
        </w:tc>
      </w:tr>
      <w:tr>
        <w:trPr>
          <w:trHeight w:val="200"/>
        </w:trPr>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5"/>
          </w:tcPr>
          <w:p>
            <w:pPr>
              <w:ind w:left="560"/>
              <w:spacing w:after="0"/>
              <w:rPr>
                <w:sz w:val="20"/>
                <w:szCs w:val="20"/>
                <w:color w:val="auto"/>
              </w:rPr>
            </w:pPr>
            <w:r>
              <w:rPr>
                <w:rFonts w:ascii="Arial" w:cs="Arial" w:eastAsia="Arial" w:hAnsi="Arial"/>
                <w:sz w:val="13"/>
                <w:szCs w:val="13"/>
                <w:color w:val="auto"/>
              </w:rPr>
              <w:t>(Dollars in thousands)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87"/>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Restructuring costs</w:t>
            </w:r>
          </w:p>
        </w:tc>
        <w:tc>
          <w:tcPr>
            <w:tcW w:w="740" w:type="dxa"/>
            <w:vAlign w:val="bottom"/>
            <w:shd w:val="clear" w:color="auto" w:fill="CCEEFF"/>
          </w:tcPr>
          <w:p>
            <w:pPr>
              <w:jc w:val="right"/>
              <w:ind w:right="591"/>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2,097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7,111</w:t>
            </w:r>
          </w:p>
        </w:tc>
        <w:tc>
          <w:tcPr>
            <w:tcW w:w="100" w:type="dxa"/>
            <w:vAlign w:val="bottom"/>
            <w:shd w:val="clear" w:color="auto" w:fill="CCEEFF"/>
          </w:tcPr>
          <w:p>
            <w:pPr>
              <w:spacing w:after="0"/>
              <w:rPr>
                <w:sz w:val="16"/>
                <w:szCs w:val="16"/>
                <w:color w:val="auto"/>
              </w:rPr>
            </w:pP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(71)%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17,949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w:t>
            </w:r>
          </w:p>
        </w:tc>
      </w:tr>
      <w:tr>
        <w:trPr>
          <w:trHeight w:val="180"/>
        </w:trPr>
        <w:tc>
          <w:tcPr>
            <w:tcW w:w="400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740" w:type="dxa"/>
            <w:vAlign w:val="bottom"/>
          </w:tcPr>
          <w:p>
            <w:pPr>
              <w:spacing w:after="0"/>
              <w:rPr>
                <w:sz w:val="15"/>
                <w:szCs w:val="15"/>
                <w:color w:val="auto"/>
              </w:rPr>
            </w:pPr>
          </w:p>
        </w:tc>
        <w:tc>
          <w:tcPr>
            <w:tcW w:w="40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1"/>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891"/>
        </w:trPr>
        <w:tc>
          <w:tcPr>
            <w:tcW w:w="4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center"/>
              <w:ind w:left="330"/>
              <w:spacing w:after="0"/>
              <w:rPr>
                <w:sz w:val="20"/>
                <w:szCs w:val="20"/>
                <w:color w:val="auto"/>
              </w:rPr>
            </w:pPr>
            <w:r>
              <w:rPr>
                <w:rFonts w:ascii="Arial" w:cs="Arial" w:eastAsia="Arial" w:hAnsi="Arial"/>
                <w:sz w:val="14"/>
                <w:szCs w:val="14"/>
                <w:color w:val="auto"/>
                <w:w w:val="89"/>
              </w:rPr>
              <w:t>46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6" w:name="page47"/>
    <w:bookmarkEnd w:id="46"/>
    <w:p>
      <w:pPr>
        <w:jc w:val="both"/>
        <w:ind w:right="80" w:firstLine="509"/>
        <w:spacing w:after="0" w:line="257" w:lineRule="auto"/>
        <w:rPr>
          <w:sz w:val="20"/>
          <w:szCs w:val="20"/>
          <w:color w:val="auto"/>
        </w:rPr>
      </w:pPr>
      <w:r>
        <w:rPr>
          <w:rFonts w:ascii="Arial" w:cs="Arial" w:eastAsia="Arial" w:hAnsi="Arial"/>
          <w:sz w:val="14"/>
          <w:szCs w:val="14"/>
          <w:color w:val="auto"/>
        </w:rPr>
        <w:t xml:space="preserve">Restructuring costs decreased by 71% to $2.1 million for the three months ended September 30, 2023 from $7.1 million for the comparable period in 2022. Restructuring costs decreased by 11% to $16.0 million for the nine months ended September 30, 2023 from $17.9 million for the comparable period in 2022 due to incremental costs related to the restructuring initiative which commenced in the second quarter of 2022, primarily consisting of severance and other associated costs related to the reduction in our workforce, and which is anticipated to be substantially completed by December 31, 2023. We began the restructuring initiative to realign our cost structure to better reflect significant product and business model innovation and changes over the past year due to acquisitions and various other factors outside our control. In the first quarter of 2023, due to the changing technology landscape related to the evolution of LLMs, we were able to identify opportunities for significant cost savings because it is no longer necessary to employ people to build bots as this newest generation of LLMs are able to build a bot in minutes, enabling headcount reduction. Additionally, we have moved to a product-led growth structure where we flattened the organization to align to more efficient sales and service support ratios. Refer to Note 14 - </w:t>
      </w:r>
      <w:r>
        <w:rPr>
          <w:rFonts w:ascii="Arial" w:cs="Arial" w:eastAsia="Arial" w:hAnsi="Arial"/>
          <w:sz w:val="14"/>
          <w:szCs w:val="14"/>
          <w:i w:val="1"/>
          <w:iCs w:val="1"/>
          <w:color w:val="auto"/>
        </w:rPr>
        <w:t>Restructuring</w:t>
      </w:r>
      <w:r>
        <w:rPr>
          <w:rFonts w:ascii="Arial" w:cs="Arial" w:eastAsia="Arial" w:hAnsi="Arial"/>
          <w:sz w:val="14"/>
          <w:szCs w:val="14"/>
          <w:color w:val="auto"/>
        </w:rPr>
        <w:t>, for additional information about the restructuring initiative.</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180"/>
        </w:trPr>
        <w:tc>
          <w:tcPr>
            <w:tcW w:w="35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40" w:type="dxa"/>
            <w:vAlign w:val="bottom"/>
            <w:gridSpan w:val="7"/>
          </w:tcPr>
          <w:p>
            <w:pPr>
              <w:ind w:left="80"/>
              <w:spacing w:after="0"/>
              <w:rPr>
                <w:sz w:val="20"/>
                <w:szCs w:val="20"/>
                <w:color w:val="auto"/>
              </w:rPr>
            </w:pPr>
            <w:r>
              <w:rPr>
                <w:rFonts w:ascii="Arial" w:cs="Arial" w:eastAsia="Arial" w:hAnsi="Arial"/>
                <w:sz w:val="13"/>
                <w:szCs w:val="13"/>
                <w:b w:val="1"/>
                <w:bCs w:val="1"/>
                <w:color w:val="auto"/>
              </w:rPr>
              <w:t>Three Months Ended September 30,</w:t>
            </w:r>
          </w:p>
        </w:tc>
        <w:tc>
          <w:tcPr>
            <w:tcW w:w="720" w:type="dxa"/>
            <w:vAlign w:val="bottom"/>
          </w:tcPr>
          <w:p>
            <w:pPr>
              <w:spacing w:after="0"/>
              <w:rPr>
                <w:sz w:val="15"/>
                <w:szCs w:val="15"/>
                <w:color w:val="auto"/>
              </w:rPr>
            </w:pPr>
          </w:p>
        </w:tc>
        <w:tc>
          <w:tcPr>
            <w:tcW w:w="2960" w:type="dxa"/>
            <w:vAlign w:val="bottom"/>
            <w:gridSpan w:val="6"/>
          </w:tcPr>
          <w:p>
            <w:pPr>
              <w:jc w:val="center"/>
              <w:ind w:right="651"/>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74"/>
        </w:trPr>
        <w:tc>
          <w:tcPr>
            <w:tcW w:w="35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3"/>
                <w:szCs w:val="13"/>
                <w:b w:val="1"/>
                <w:bCs w:val="1"/>
                <w:color w:val="auto"/>
              </w:rPr>
              <w:t>% Change</w:t>
            </w:r>
          </w:p>
        </w:tc>
      </w:tr>
      <w:tr>
        <w:trPr>
          <w:trHeight w:val="200"/>
        </w:trPr>
        <w:tc>
          <w:tcPr>
            <w:tcW w:w="3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3"/>
          </w:tcPr>
          <w:p>
            <w:pPr>
              <w:jc w:val="right"/>
              <w:ind w:right="91"/>
              <w:spacing w:after="0"/>
              <w:rPr>
                <w:sz w:val="20"/>
                <w:szCs w:val="20"/>
                <w:color w:val="auto"/>
              </w:rPr>
            </w:pPr>
            <w:r>
              <w:rPr>
                <w:rFonts w:ascii="Arial" w:cs="Arial" w:eastAsia="Arial" w:hAnsi="Arial"/>
                <w:sz w:val="13"/>
                <w:szCs w:val="13"/>
                <w:color w:val="auto"/>
              </w:rPr>
              <w:t>(Dollars in thousands)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7"/>
        </w:trPr>
        <w:tc>
          <w:tcPr>
            <w:tcW w:w="3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goodwill</w:t>
            </w:r>
          </w:p>
        </w:tc>
        <w:tc>
          <w:tcPr>
            <w:tcW w:w="720" w:type="dxa"/>
            <w:vAlign w:val="bottom"/>
            <w:shd w:val="clear" w:color="auto" w:fill="CCEEFF"/>
          </w:tcPr>
          <w:p>
            <w:pPr>
              <w:jc w:val="right"/>
              <w:ind w:right="571"/>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11,895</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551"/>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11,895</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ind w:left="800"/>
              <w:spacing w:after="0"/>
              <w:rPr>
                <w:sz w:val="20"/>
                <w:szCs w:val="20"/>
                <w:color w:val="auto"/>
              </w:rPr>
            </w:pPr>
            <w:r>
              <w:rPr>
                <w:rFonts w:ascii="Arial" w:cs="Arial" w:eastAsia="Arial" w:hAnsi="Arial"/>
                <w:sz w:val="14"/>
                <w:szCs w:val="14"/>
                <w:color w:val="auto"/>
              </w:rPr>
              <w:t>—%</w:t>
            </w:r>
          </w:p>
        </w:tc>
      </w:tr>
      <w:tr>
        <w:trPr>
          <w:trHeight w:val="180"/>
        </w:trPr>
        <w:tc>
          <w:tcPr>
            <w:tcW w:w="3580" w:type="dxa"/>
            <w:vAlign w:val="bottom"/>
          </w:tcPr>
          <w:p>
            <w:pPr>
              <w:ind w:left="20"/>
              <w:spacing w:after="0"/>
              <w:rPr>
                <w:sz w:val="20"/>
                <w:szCs w:val="20"/>
                <w:color w:val="auto"/>
              </w:rPr>
            </w:pPr>
            <w:r>
              <w:rPr>
                <w:rFonts w:ascii="Arial" w:cs="Arial" w:eastAsia="Arial" w:hAnsi="Arial"/>
                <w:sz w:val="14"/>
                <w:szCs w:val="14"/>
                <w:color w:val="auto"/>
              </w:rPr>
              <w:t>Percentage of total revenue</w:t>
            </w:r>
          </w:p>
        </w:tc>
        <w:tc>
          <w:tcPr>
            <w:tcW w:w="720" w:type="dxa"/>
            <w:vAlign w:val="bottom"/>
          </w:tcPr>
          <w:p>
            <w:pPr>
              <w:spacing w:after="0"/>
              <w:rPr>
                <w:sz w:val="15"/>
                <w:szCs w:val="15"/>
                <w:color w:val="auto"/>
              </w:rPr>
            </w:pPr>
          </w:p>
        </w:tc>
        <w:tc>
          <w:tcPr>
            <w:tcW w:w="440" w:type="dxa"/>
            <w:vAlign w:val="bottom"/>
          </w:tcPr>
          <w:p>
            <w:pPr>
              <w:ind w:left="80"/>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jc w:val="right"/>
              <w:ind w:right="30"/>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160" w:type="dxa"/>
            <w:vAlign w:val="bottom"/>
          </w:tcPr>
          <w:p>
            <w:pPr>
              <w:spacing w:after="0"/>
              <w:rPr>
                <w:sz w:val="15"/>
                <w:szCs w:val="15"/>
                <w:color w:val="auto"/>
              </w:rPr>
            </w:pPr>
          </w:p>
        </w:tc>
      </w:tr>
    </w:tbl>
    <w:p>
      <w:pPr>
        <w:spacing w:after="0" w:line="255" w:lineRule="exact"/>
        <w:rPr>
          <w:sz w:val="20"/>
          <w:szCs w:val="20"/>
          <w:color w:val="auto"/>
        </w:rPr>
      </w:pPr>
    </w:p>
    <w:p>
      <w:pPr>
        <w:jc w:val="both"/>
        <w:ind w:right="80" w:firstLine="509"/>
        <w:spacing w:after="0" w:line="321" w:lineRule="auto"/>
        <w:rPr>
          <w:sz w:val="20"/>
          <w:szCs w:val="20"/>
          <w:color w:val="auto"/>
        </w:rPr>
      </w:pPr>
      <w:r>
        <w:rPr>
          <w:rFonts w:ascii="Arial" w:cs="Arial" w:eastAsia="Arial" w:hAnsi="Arial"/>
          <w:sz w:val="13"/>
          <w:szCs w:val="13"/>
          <w:color w:val="auto"/>
        </w:rPr>
        <w:t>Goodwill impairment was approximately $11.9 million for the three and nine months ended September 30, 2023. This non-cash charge was a result of our September 30, 2023 annual goodwill impairment test and was attributable to the WildHealth reporting unit. There were no impairment charges for the three and nine months ended September 30, 2022.</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Total Other (Expense) Income, net</w:t>
      </w:r>
    </w:p>
    <w:p>
      <w:pPr>
        <w:spacing w:after="0" w:line="200" w:lineRule="exact"/>
        <w:rPr>
          <w:sz w:val="20"/>
          <w:szCs w:val="20"/>
          <w:color w:val="auto"/>
        </w:rPr>
      </w:pPr>
    </w:p>
    <w:p>
      <w:pPr>
        <w:jc w:val="both"/>
        <w:ind w:right="80" w:firstLine="509"/>
        <w:spacing w:after="0" w:line="321" w:lineRule="auto"/>
        <w:rPr>
          <w:sz w:val="20"/>
          <w:szCs w:val="20"/>
          <w:color w:val="auto"/>
        </w:rPr>
      </w:pPr>
      <w:r>
        <w:rPr>
          <w:rFonts w:ascii="Arial" w:cs="Arial" w:eastAsia="Arial" w:hAnsi="Arial"/>
          <w:sz w:val="13"/>
          <w:szCs w:val="13"/>
          <w:color w:val="auto"/>
        </w:rPr>
        <w:t>Total other (expense) income, net consists primarily of fair value adjustments for earn-outs, foreign currency gains and losses and income (loss) from our equity method investment. Interest income includes interest income from cash deposits, amortization of the debt discount, amortization of issuance costs, and interest expense from our convertible senior notes.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500" w:type="dxa"/>
            <w:vAlign w:val="bottom"/>
            <w:gridSpan w:val="7"/>
          </w:tcPr>
          <w:p>
            <w:pPr>
              <w:ind w:left="540"/>
              <w:spacing w:after="0"/>
              <w:rPr>
                <w:sz w:val="20"/>
                <w:szCs w:val="20"/>
                <w:color w:val="auto"/>
              </w:rPr>
            </w:pPr>
            <w:r>
              <w:rPr>
                <w:rFonts w:ascii="Arial" w:cs="Arial" w:eastAsia="Arial" w:hAnsi="Arial"/>
                <w:sz w:val="13"/>
                <w:szCs w:val="13"/>
                <w:b w:val="1"/>
                <w:bCs w:val="1"/>
                <w:color w:val="auto"/>
              </w:rPr>
              <w:t>Three Months Ended September 30,</w:t>
            </w:r>
          </w:p>
        </w:tc>
        <w:tc>
          <w:tcPr>
            <w:tcW w:w="720" w:type="dxa"/>
            <w:vAlign w:val="bottom"/>
          </w:tcPr>
          <w:p>
            <w:pPr>
              <w:spacing w:after="0"/>
              <w:rPr>
                <w:sz w:val="15"/>
                <w:szCs w:val="15"/>
                <w:color w:val="auto"/>
              </w:rPr>
            </w:pPr>
          </w:p>
        </w:tc>
        <w:tc>
          <w:tcPr>
            <w:tcW w:w="2960" w:type="dxa"/>
            <w:vAlign w:val="bottom"/>
            <w:gridSpan w:val="6"/>
          </w:tcPr>
          <w:p>
            <w:pPr>
              <w:jc w:val="center"/>
              <w:ind w:right="653"/>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74"/>
        </w:trPr>
        <w:tc>
          <w:tcPr>
            <w:tcW w:w="38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4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 Change</w:t>
            </w:r>
          </w:p>
        </w:tc>
      </w:tr>
      <w:tr>
        <w:trPr>
          <w:trHeight w:val="200"/>
        </w:trPr>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3"/>
          </w:tcPr>
          <w:p>
            <w:pPr>
              <w:jc w:val="right"/>
              <w:ind w:right="111"/>
              <w:spacing w:after="0"/>
              <w:rPr>
                <w:sz w:val="20"/>
                <w:szCs w:val="20"/>
                <w:color w:val="auto"/>
              </w:rPr>
            </w:pPr>
            <w:r>
              <w:rPr>
                <w:rFonts w:ascii="Arial" w:cs="Arial" w:eastAsia="Arial" w:hAnsi="Arial"/>
                <w:sz w:val="13"/>
                <w:szCs w:val="13"/>
                <w:color w:val="auto"/>
              </w:rPr>
              <w:t>(Dollars in thousands)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7"/>
        </w:trPr>
        <w:tc>
          <w:tcPr>
            <w:tcW w:w="38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 (expense), net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1,068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c>
          <w:tcPr>
            <w:tcW w:w="12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(1,713)</w:t>
            </w:r>
          </w:p>
        </w:tc>
        <w:tc>
          <w:tcPr>
            <w:tcW w:w="12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275%</w:t>
            </w:r>
          </w:p>
        </w:tc>
      </w:tr>
      <w:tr>
        <w:trPr>
          <w:trHeight w:val="180"/>
        </w:trPr>
        <w:tc>
          <w:tcPr>
            <w:tcW w:w="38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(expense) income, net</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242424"/>
              </w:rPr>
              <w:t>(10,164)</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5,114</w:t>
            </w:r>
          </w:p>
        </w:tc>
        <w:tc>
          <w:tcPr>
            <w:tcW w:w="1260" w:type="dxa"/>
            <w:vAlign w:val="bottom"/>
            <w:tcBorders>
              <w:bottom w:val="single" w:sz="8" w:color="CCEEFF"/>
            </w:tcBorders>
            <w:gridSpan w:val="2"/>
          </w:tcPr>
          <w:p>
            <w:pPr>
              <w:jc w:val="right"/>
              <w:ind w:right="33"/>
              <w:spacing w:after="0"/>
              <w:rPr>
                <w:sz w:val="20"/>
                <w:szCs w:val="20"/>
                <w:color w:val="auto"/>
              </w:rPr>
            </w:pPr>
            <w:r>
              <w:rPr>
                <w:rFonts w:ascii="Arial" w:cs="Arial" w:eastAsia="Arial" w:hAnsi="Arial"/>
                <w:sz w:val="14"/>
                <w:szCs w:val="14"/>
                <w:color w:val="auto"/>
              </w:rPr>
              <w:t>(299)%</w:t>
            </w:r>
          </w:p>
        </w:tc>
        <w:tc>
          <w:tcPr>
            <w:tcW w:w="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9,391</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w:t>
            </w:r>
          </w:p>
        </w:tc>
        <w:tc>
          <w:tcPr>
            <w:tcW w:w="1260" w:type="dxa"/>
            <w:vAlign w:val="bottom"/>
            <w:tcBorders>
              <w:bottom w:val="single" w:sz="8" w:color="CCEEFF"/>
            </w:tcBorders>
            <w:gridSpan w:val="2"/>
          </w:tcPr>
          <w:p>
            <w:pPr>
              <w:jc w:val="right"/>
              <w:ind w:right="33"/>
              <w:spacing w:after="0"/>
              <w:rPr>
                <w:sz w:val="20"/>
                <w:szCs w:val="20"/>
                <w:color w:val="auto"/>
              </w:rPr>
            </w:pPr>
            <w:r>
              <w:rPr>
                <w:rFonts w:ascii="Arial" w:cs="Arial" w:eastAsia="Arial" w:hAnsi="Arial"/>
                <w:sz w:val="14"/>
                <w:szCs w:val="14"/>
                <w:color w:val="auto"/>
              </w:rPr>
              <w:t>392%</w:t>
            </w:r>
          </w:p>
        </w:tc>
      </w:tr>
      <w:tr>
        <w:trPr>
          <w:trHeight w:val="171"/>
        </w:trPr>
        <w:tc>
          <w:tcPr>
            <w:tcW w:w="38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other (expense) income, net</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242424"/>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242424"/>
              </w:rPr>
              <w:t>(9,096)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5,515</w:t>
            </w:r>
          </w:p>
        </w:tc>
        <w:tc>
          <w:tcPr>
            <w:tcW w:w="12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1"/>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12,396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71"/>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60" w:type="dxa"/>
            <w:vAlign w:val="bottom"/>
            <w:gridSpan w:val="2"/>
            <w:shd w:val="clear" w:color="auto" w:fill="CCEEFF"/>
          </w:tcPr>
          <w:p>
            <w:pPr>
              <w:jc w:val="right"/>
              <w:ind w:right="33"/>
              <w:spacing w:after="0"/>
              <w:rPr>
                <w:sz w:val="20"/>
                <w:szCs w:val="20"/>
                <w:color w:val="auto"/>
              </w:rPr>
            </w:pPr>
            <w:r>
              <w:rPr>
                <w:rFonts w:ascii="Arial" w:cs="Arial" w:eastAsia="Arial" w:hAnsi="Arial"/>
                <w:sz w:val="14"/>
                <w:szCs w:val="14"/>
                <w:color w:val="auto"/>
              </w:rPr>
              <w:t>6257%</w:t>
            </w:r>
          </w:p>
        </w:tc>
      </w:tr>
    </w:tbl>
    <w:p>
      <w:pPr>
        <w:spacing w:after="0" w:line="244" w:lineRule="exact"/>
        <w:rPr>
          <w:sz w:val="20"/>
          <w:szCs w:val="20"/>
          <w:color w:val="auto"/>
        </w:rPr>
      </w:pPr>
    </w:p>
    <w:p>
      <w:pPr>
        <w:jc w:val="both"/>
        <w:ind w:right="80" w:firstLine="509"/>
        <w:spacing w:after="0" w:line="297" w:lineRule="auto"/>
        <w:rPr>
          <w:sz w:val="20"/>
          <w:szCs w:val="20"/>
          <w:color w:val="auto"/>
        </w:rPr>
      </w:pPr>
      <w:r>
        <w:rPr>
          <w:rFonts w:ascii="Arial" w:cs="Arial" w:eastAsia="Arial" w:hAnsi="Arial"/>
          <w:sz w:val="13"/>
          <w:szCs w:val="13"/>
          <w:color w:val="auto"/>
        </w:rPr>
        <w:t>Total other (expense) income, net decreased to an expense of $9.1 million for the three months ended September 30, 2023 from income of $5.5 million for the comparable period in 2022 primarily due to $7.2 million change in fair value of the earn-out settlements related to prior acquisitions, and reduced losses recognized related to the Company’s equity method investment compared to the three months ended September 30, 2022. The remaining amount of total other (expense) income, net fluctuation is attributable to currency rate fluctuations.</w:t>
      </w:r>
    </w:p>
    <w:p>
      <w:pPr>
        <w:spacing w:after="0" w:line="71" w:lineRule="exact"/>
        <w:rPr>
          <w:sz w:val="20"/>
          <w:szCs w:val="20"/>
          <w:color w:val="auto"/>
        </w:rPr>
      </w:pPr>
    </w:p>
    <w:p>
      <w:pPr>
        <w:jc w:val="both"/>
        <w:ind w:right="80" w:firstLine="509"/>
        <w:spacing w:after="0" w:line="262" w:lineRule="auto"/>
        <w:rPr>
          <w:sz w:val="20"/>
          <w:szCs w:val="20"/>
          <w:color w:val="auto"/>
        </w:rPr>
      </w:pPr>
      <w:r>
        <w:rPr>
          <w:rFonts w:ascii="Arial" w:cs="Arial" w:eastAsia="Arial" w:hAnsi="Arial"/>
          <w:sz w:val="14"/>
          <w:szCs w:val="14"/>
          <w:color w:val="auto"/>
        </w:rPr>
        <w:t>Total other (expense) income, net increased to $12.4 million for the nine months ended September 30, 2023 from $0.2 million for the comparable period in 2022. The increase is primarily due to a gain of $10.0 million related to a legal settlement, a gain of $7.2 million resulting from the debt repurchase of 2024 Notes, $5.4 million change in fair value of earn-out settlements related to prior acquisitions, and reduced losses recognized related to the Company’s equity method investment compared to the nine months ended September 30, 2022. The remaining amount of total other (expense) income, net fluctuation is attributable to currency rate fluctuations.</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Provision For Income Taxes</w:t>
      </w:r>
    </w:p>
    <w:p>
      <w:pPr>
        <w:spacing w:after="0" w:line="200" w:lineRule="exact"/>
        <w:rPr>
          <w:sz w:val="20"/>
          <w:szCs w:val="20"/>
          <w:color w:val="auto"/>
        </w:rPr>
      </w:pPr>
    </w:p>
    <w:p>
      <w:pPr>
        <w:spacing w:after="0" w:line="36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893" w:right="23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180"/>
        </w:trPr>
        <w:tc>
          <w:tcPr>
            <w:tcW w:w="3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0" w:type="dxa"/>
            <w:vAlign w:val="bottom"/>
            <w:gridSpan w:val="7"/>
          </w:tcPr>
          <w:p>
            <w:pPr>
              <w:jc w:val="center"/>
              <w:ind w:right="840"/>
              <w:spacing w:after="0"/>
              <w:rPr>
                <w:sz w:val="20"/>
                <w:szCs w:val="20"/>
                <w:color w:val="auto"/>
              </w:rPr>
            </w:pPr>
            <w:r>
              <w:rPr>
                <w:rFonts w:ascii="Arial" w:cs="Arial" w:eastAsia="Arial" w:hAnsi="Arial"/>
                <w:sz w:val="13"/>
                <w:szCs w:val="13"/>
                <w:b w:val="1"/>
                <w:bCs w:val="1"/>
                <w:color w:val="auto"/>
                <w:w w:val="94"/>
              </w:rPr>
              <w:t>Three Months Ended September 30,</w:t>
            </w:r>
          </w:p>
        </w:tc>
        <w:tc>
          <w:tcPr>
            <w:tcW w:w="760" w:type="dxa"/>
            <w:vAlign w:val="bottom"/>
          </w:tcPr>
          <w:p>
            <w:pPr>
              <w:spacing w:after="0"/>
              <w:rPr>
                <w:sz w:val="15"/>
                <w:szCs w:val="15"/>
                <w:color w:val="auto"/>
              </w:rPr>
            </w:pPr>
          </w:p>
        </w:tc>
        <w:tc>
          <w:tcPr>
            <w:tcW w:w="2920" w:type="dxa"/>
            <w:vAlign w:val="bottom"/>
            <w:gridSpan w:val="6"/>
          </w:tcPr>
          <w:p>
            <w:pPr>
              <w:jc w:val="center"/>
              <w:ind w:right="691"/>
              <w:spacing w:after="0"/>
              <w:rPr>
                <w:sz w:val="20"/>
                <w:szCs w:val="20"/>
                <w:color w:val="auto"/>
              </w:rPr>
            </w:pPr>
            <w:r>
              <w:rPr>
                <w:rFonts w:ascii="Arial" w:cs="Arial" w:eastAsia="Arial" w:hAnsi="Arial"/>
                <w:sz w:val="13"/>
                <w:szCs w:val="13"/>
                <w:b w:val="1"/>
                <w:bCs w:val="1"/>
                <w:color w:val="auto"/>
                <w:w w:val="93"/>
              </w:rPr>
              <w:t>Nine Months Ended September 30,</w:t>
            </w:r>
          </w:p>
        </w:tc>
      </w:tr>
      <w:tr>
        <w:trPr>
          <w:trHeight w:val="174"/>
        </w:trPr>
        <w:tc>
          <w:tcPr>
            <w:tcW w:w="382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3"/>
                <w:szCs w:val="13"/>
                <w:b w:val="1"/>
                <w:bCs w:val="1"/>
                <w:color w:val="auto"/>
              </w:rPr>
              <w:t>% Change</w:t>
            </w:r>
          </w:p>
        </w:tc>
        <w:tc>
          <w:tcPr>
            <w:tcW w:w="8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3"/>
                <w:szCs w:val="13"/>
                <w:b w:val="1"/>
                <w:bCs w:val="1"/>
                <w:color w:val="auto"/>
              </w:rPr>
              <w:t>2022</w:t>
            </w:r>
          </w:p>
        </w:tc>
        <w:tc>
          <w:tcPr>
            <w:tcW w:w="80" w:type="dxa"/>
            <w:vAlign w:val="bottom"/>
            <w:tcBorders>
              <w:top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3"/>
                <w:szCs w:val="13"/>
                <w:b w:val="1"/>
                <w:bCs w:val="1"/>
                <w:color w:val="auto"/>
              </w:rPr>
              <w:t>% Change</w:t>
            </w:r>
          </w:p>
        </w:tc>
      </w:tr>
      <w:tr>
        <w:trPr>
          <w:trHeight w:val="200"/>
        </w:trPr>
        <w:tc>
          <w:tcPr>
            <w:tcW w:w="3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3"/>
          </w:tcPr>
          <w:p>
            <w:pPr>
              <w:jc w:val="right"/>
              <w:ind w:right="131"/>
              <w:spacing w:after="0"/>
              <w:rPr>
                <w:sz w:val="20"/>
                <w:szCs w:val="20"/>
                <w:color w:val="auto"/>
              </w:rPr>
            </w:pPr>
            <w:r>
              <w:rPr>
                <w:rFonts w:ascii="Arial" w:cs="Arial" w:eastAsia="Arial" w:hAnsi="Arial"/>
                <w:sz w:val="13"/>
                <w:szCs w:val="13"/>
                <w:color w:val="auto"/>
              </w:rPr>
              <w:t>(Dollars in thousands)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7"/>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76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11"/>
              <w:spacing w:after="0"/>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1,600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26%</w:t>
            </w:r>
          </w:p>
        </w:tc>
      </w:tr>
    </w:tbl>
    <w:p>
      <w:pPr>
        <w:spacing w:after="0" w:line="2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auto"/>
        </w:rPr>
        <w:t>The provision for income taxes increased by 117% to $0.5 million for the three months ended September 30, 2023 from $0.2 million for the comparable period in 2022. The Company’s consolidated effective tax rate was affected by the statutory income tax rates applicable to each of the jurisdictions in which the Company operates and valuation allowance as a result of tax losses in jurisdictions in which the Company does not receive a tax benefit. The change in the tax provision for the three months ended September 30, 2023 as compared to the three months ended September 30, 2022 is a result of the jurisdictional mix of income between the periods and changes in valuation allowances.</w:t>
      </w:r>
    </w:p>
    <w:p>
      <w:pPr>
        <w:spacing w:after="0" w:line="167"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4"/>
          <w:szCs w:val="14"/>
          <w:color w:val="auto"/>
        </w:rPr>
        <w:t>Provision for income taxes increased by 26% to $1.6 million for the nine months ended September 30, 2023 from $1.3 million for the comparable period in 2022. The tax provision for nine months ended September 30, 2023 consists of $1.4 million on operating earnings coupled with a stock compensation tax deficiency of $0.2 million related to stock compensation arrangements of LivePerson, LivePerson (UK) Ltd. and LivePerson Ltd. (Israel). During the first quarter of 2023, and included within the provision on operating earnings noted above, the Company sold Kasamba, Inc. and Kasamba LTD in a taxable transaction that resulted in a tax provision of $0.8 million related to an increase in valuation allowance on deferred tax assets resulting from a release of Kasamba’s deferred tax liabilities. The Company’s consolidated effective tax rate was affected by the statutory income tax rates applicable to each of the jurisdictions in which the Company operates and valuation allowance as a result of tax losses in jurisdictions in which the Company does not receive a tax benefit. The change in the tax provision for the nine months ended September 30, 2023 as compared to the nine months ended September 30, 2022 is a result of the jurisdictional mix of income between the periods and changes in valuation allowances connected to the release of Kasamba’s deferred tax liabilities resulting from the sale of Kasamba, Inc. and Kasamba LTD during the first quarter of 2023 and the acquisition of WildHealth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Liquidity and Capital Resources</w:t>
      </w: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351"/>
              <w:spacing w:after="0"/>
              <w:rPr>
                <w:sz w:val="20"/>
                <w:szCs w:val="20"/>
                <w:color w:val="auto"/>
              </w:rPr>
            </w:pPr>
            <w:r>
              <w:rPr>
                <w:rFonts w:ascii="Arial" w:cs="Arial" w:eastAsia="Arial" w:hAnsi="Arial"/>
                <w:sz w:val="13"/>
                <w:szCs w:val="13"/>
                <w:b w:val="1"/>
                <w:bCs w:val="1"/>
                <w:color w:val="auto"/>
                <w:w w:val="95"/>
              </w:rPr>
              <w:t>Nine Months Ended September 30,</w:t>
            </w:r>
          </w:p>
        </w:tc>
      </w:tr>
      <w:tr>
        <w:trPr>
          <w:trHeight w:val="160"/>
        </w:trPr>
        <w:tc>
          <w:tcPr>
            <w:tcW w:w="276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r>
      <w:tr>
        <w:trPr>
          <w:trHeight w:val="198"/>
        </w:trPr>
        <w:tc>
          <w:tcPr>
            <w:tcW w:w="276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right"/>
              <w:ind w:right="29"/>
              <w:spacing w:after="0"/>
              <w:rPr>
                <w:sz w:val="20"/>
                <w:szCs w:val="20"/>
                <w:color w:val="auto"/>
              </w:rPr>
            </w:pPr>
            <w:r>
              <w:rPr>
                <w:rFonts w:ascii="Arial" w:cs="Arial" w:eastAsia="Arial" w:hAnsi="Arial"/>
                <w:sz w:val="13"/>
                <w:szCs w:val="13"/>
                <w:color w:val="auto"/>
              </w:rPr>
              <w:t>(In thousands)</w:t>
            </w:r>
          </w:p>
        </w:tc>
        <w:tc>
          <w:tcPr>
            <w:tcW w:w="880" w:type="dxa"/>
            <w:vAlign w:val="bottom"/>
          </w:tcPr>
          <w:p>
            <w:pPr>
              <w:spacing w:after="0"/>
              <w:rPr>
                <w:sz w:val="17"/>
                <w:szCs w:val="17"/>
                <w:color w:val="auto"/>
              </w:rPr>
            </w:pPr>
          </w:p>
        </w:tc>
      </w:tr>
      <w:tr>
        <w:trPr>
          <w:trHeight w:val="167"/>
        </w:trPr>
        <w:tc>
          <w:tcPr>
            <w:tcW w:w="842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Consolidated Statements of Cash Flows Data:</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27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cash used in operating activities</w:t>
            </w:r>
          </w:p>
        </w:tc>
        <w:tc>
          <w:tcPr>
            <w:tcW w:w="566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(24,302)</w:t>
            </w:r>
          </w:p>
        </w:tc>
        <w:tc>
          <w:tcPr>
            <w:tcW w:w="1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jc w:val="right"/>
              <w:ind w:right="28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(79,471)</w:t>
            </w:r>
          </w:p>
        </w:tc>
      </w:tr>
      <w:tr>
        <w:trPr>
          <w:trHeight w:val="181"/>
        </w:trPr>
        <w:tc>
          <w:tcPr>
            <w:tcW w:w="8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(44,057)</w:t>
            </w:r>
          </w:p>
        </w:tc>
      </w:tr>
      <w:tr>
        <w:trPr>
          <w:trHeight w:val="180"/>
        </w:trPr>
        <w:tc>
          <w:tcPr>
            <w:tcW w:w="8420" w:type="dxa"/>
            <w:vAlign w:val="bottom"/>
            <w:gridSpan w:val="2"/>
          </w:tcPr>
          <w:p>
            <w:pPr>
              <w:spacing w:after="0"/>
              <w:rPr>
                <w:sz w:val="20"/>
                <w:szCs w:val="20"/>
                <w:color w:val="auto"/>
              </w:rPr>
            </w:pPr>
            <w:r>
              <w:rPr>
                <w:rFonts w:ascii="Arial" w:cs="Arial" w:eastAsia="Arial" w:hAnsi="Arial"/>
                <w:sz w:val="14"/>
                <w:szCs w:val="14"/>
                <w:color w:val="auto"/>
              </w:rPr>
              <w:t>Net cash used in financing activities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(150,548)</w:t>
            </w:r>
          </w:p>
        </w:tc>
        <w:tc>
          <w:tcPr>
            <w:tcW w:w="10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(1,547)</w:t>
            </w:r>
          </w:p>
        </w:tc>
      </w:tr>
    </w:tbl>
    <w:p>
      <w:pPr>
        <w:spacing w:after="0" w:line="244"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As of September 30, 2023, we had approximately $214.3 million in cash, cash equivalents, and restricted cash, a decrease of approximately $177.9 million from December 31, 2022. The decrease is primarily attributable to payment of approximately $149.7 million in cash for the repurchase of approximately $157.5 million in aggregate principal amount of the 2024 Notes, coupled with the payment of bonuses in cash and various other uses of cash for operating purposes. The decrease was partially offset by $13.8 million in cash proceeds from the divestiture of Kasamba.</w:t>
      </w:r>
    </w:p>
    <w:p>
      <w:pPr>
        <w:spacing w:after="0" w:line="145"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Net cash used in operating activities was $24.3 million for the nine months ended September 30, 2023. Our net loss of $59.9 million includes the effect of non-cash expenses related to depreciation of $24.9 million, amortization of purchased intangibles and finance leases of $16.4 million, a goodwill impairment of $11.9 million and intangible assets impairment of $3.0 million related to our WildHealth reporting unit, and $5.4 million change in fair value of contingent consideration, partially offset by a gain on divestiture of $17.6 million, a gain on repurchase of convertible notes of $7.2 million and a net expense in stock-based compensation of $4.5 million, largely attributable to the settlement of earn-outs related to prior acquisitions. This was further driven by an increase in prepaid expenses and other current assets of $18.0 million, an increase in</w:t>
      </w:r>
    </w:p>
    <w:p>
      <w:pPr>
        <w:spacing w:after="0" w:line="200" w:lineRule="exact"/>
        <w:rPr>
          <w:sz w:val="20"/>
          <w:szCs w:val="20"/>
          <w:color w:val="auto"/>
        </w:rPr>
      </w:pP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8" w:right="319" w:bottom="1440" w:gutter="0" w:footer="0" w:header="0"/>
        </w:sectPr>
      </w:pPr>
    </w:p>
    <w:bookmarkStart w:id="48" w:name="page49"/>
    <w:bookmarkEnd w:id="48"/>
    <w:p>
      <w:pPr>
        <w:jc w:val="both"/>
        <w:spacing w:after="0" w:line="281" w:lineRule="auto"/>
        <w:rPr>
          <w:sz w:val="20"/>
          <w:szCs w:val="20"/>
          <w:color w:val="auto"/>
        </w:rPr>
      </w:pPr>
      <w:r>
        <w:rPr>
          <w:rFonts w:ascii="Arial" w:cs="Arial" w:eastAsia="Arial" w:hAnsi="Arial"/>
          <w:sz w:val="14"/>
          <w:szCs w:val="14"/>
          <w:color w:val="auto"/>
        </w:rPr>
        <w:t>accounts receivable of $16.4 million, a decrease in accounts payable of $13.4 million, a decrease in other liabilities of $7.8 million, and an increase in accrued expenses and other current liabilities of $21.2 million, partially offset by an increase in deferred revenue of $12.7 million and an increase in contract acquisition costs of $6.2 million.</w:t>
      </w:r>
    </w:p>
    <w:p>
      <w:pPr>
        <w:spacing w:after="0" w:line="153"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Net cash used in operating activities was $79.5 million for the nine months ended September 30, 2022. Our net loss of $184.0 million includes the effect of non-cash expenses related to stock-based compensation of $100.3 million, depreciation of $21.4 million, amortization of purchased intangibles and finance leases of $16.5 million as well as an increase in deferred revenue of $7.5 million. This was further driven by an increase in accounts receivable of $13.9 million, an increase in prepaid expenses of $13.5 million, and a decrease in accrued expenses of $12.2 million.</w:t>
      </w:r>
    </w:p>
    <w:p>
      <w:pPr>
        <w:spacing w:after="0" w:line="145"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Net cash used in investing activities was $11.9 million for the nine months ended September 30, 2023, and was primarily driven by purchases of fixed assets and capitalization of internally developed software, partially offset by the proceeds from the sale of Kasamba. Net cash used in investing activities was $44.1 million for the nine months ended September 30, 2022 and was primarily driven by the acquisition costs for the purchase of WildHealth, the purchase of fixed assets for our co-location facilities, and capitalization of internally developed software.</w:t>
      </w:r>
    </w:p>
    <w:p>
      <w:pPr>
        <w:spacing w:after="0" w:line="145"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Net cash used in financing activities was $150.5 million for the nine months ended September 30, 2023, which was driven primarily by the repurchase of our 2024 Notes. Net cash used in financing activities was $1.5 million for the nine months ended September 30, 2022, consisting of principal payments related to finance leases of $2.8 million, partially offset by proceeds from issuance of common stock in connection with the exercise of stock options by employees of $1.2 million.</w:t>
      </w:r>
    </w:p>
    <w:p>
      <w:pPr>
        <w:spacing w:after="0" w:line="163" w:lineRule="exact"/>
        <w:rPr>
          <w:sz w:val="20"/>
          <w:szCs w:val="20"/>
          <w:color w:val="auto"/>
        </w:rPr>
      </w:pPr>
    </w:p>
    <w:p>
      <w:pPr>
        <w:jc w:val="both"/>
        <w:ind w:firstLine="509"/>
        <w:spacing w:after="0" w:line="278" w:lineRule="auto"/>
        <w:rPr>
          <w:sz w:val="20"/>
          <w:szCs w:val="20"/>
          <w:color w:val="auto"/>
        </w:rPr>
      </w:pPr>
      <w:r>
        <w:rPr>
          <w:rFonts w:ascii="Arial" w:cs="Arial" w:eastAsia="Arial" w:hAnsi="Arial"/>
          <w:sz w:val="13"/>
          <w:szCs w:val="13"/>
          <w:color w:val="auto"/>
        </w:rPr>
        <w:t>We have incurred significant expenses to develop our technology and services, to hire employees in our customer service, sales and marketing departments, and for the amortization of purchased intangible assets, as well as stock-based compensation costs. Historically, we have incurred net losses and negative cash flows for various quarterly and annual periods since our inception, including during numerous quarters and annual periods in the past several years. As of September 30, 2023, we had an accumulated deficit of approximately $816.4 million.</w:t>
      </w:r>
    </w:p>
    <w:p>
      <w:pPr>
        <w:jc w:val="both"/>
        <w:ind w:firstLine="509"/>
        <w:spacing w:after="0" w:line="272" w:lineRule="auto"/>
        <w:rPr>
          <w:sz w:val="20"/>
          <w:szCs w:val="20"/>
          <w:color w:val="auto"/>
        </w:rPr>
      </w:pPr>
      <w:r>
        <w:rPr>
          <w:rFonts w:ascii="Arial" w:cs="Arial" w:eastAsia="Arial" w:hAnsi="Arial"/>
          <w:sz w:val="13"/>
          <w:szCs w:val="13"/>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4"/>
          <w:szCs w:val="14"/>
          <w:color w:val="auto"/>
        </w:rPr>
        <w:t>The Company may from time to time, subject to board authorization and any applicable restrictions under contracts to which it may be or become a party, depending upon market conditions and the Company’s financing needs, use available funds to refinance or repurchase its outstanding debt or equity securities in privately negotiated or open market transactions, by tender offer or otherwise, in compliance with applicable laws, rules and regulations, at prices and on terms the Company deems appropriate (which, in the case of debt securities, may be below par) and subject to the Company’s cash requirements for other purposes and other factors management deems relevant.</w:t>
      </w:r>
    </w:p>
    <w:p>
      <w:pPr>
        <w:ind w:left="520"/>
        <w:spacing w:after="0"/>
        <w:rPr>
          <w:sz w:val="20"/>
          <w:szCs w:val="20"/>
          <w:color w:val="auto"/>
        </w:rPr>
      </w:pPr>
      <w:r>
        <w:rPr>
          <w:rFonts w:ascii="Arial" w:cs="Arial" w:eastAsia="Arial" w:hAnsi="Arial"/>
          <w:sz w:val="14"/>
          <w:szCs w:val="14"/>
          <w:color w:val="auto"/>
        </w:rPr>
        <w:t>We do not engage in off-balance sheet financing arrangements. We do not currently have any investments in cryptocurrencies or other blockchain-based assets.</w:t>
      </w:r>
    </w:p>
    <w:p>
      <w:pPr>
        <w:spacing w:after="0" w:line="200" w:lineRule="exact"/>
        <w:rPr>
          <w:sz w:val="20"/>
          <w:szCs w:val="20"/>
          <w:color w:val="auto"/>
        </w:rPr>
      </w:pPr>
    </w:p>
    <w:p>
      <w:pPr>
        <w:spacing w:after="0" w:line="26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Item 3. Quantitative and Qualitative Disclosures About Market Risk</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Exchange Risks</w:t>
      </w:r>
    </w:p>
    <w:p>
      <w:pPr>
        <w:spacing w:after="0" w:line="200"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4"/>
          <w:szCs w:val="14"/>
          <w:color w:val="auto"/>
        </w:rPr>
        <w:t>Our Israeli operations have currency rate fluctuation risk associated with the exchange rate movement of the U.S. dollar against the NIS. For both the three and nine months ended September 30, 2023, the U.S. dollar appreciated on average by approximately 10% against the NIS as compared to the three and nine months ended September 30, 2022. During the three and nine months ended September 30, 2023, expenses generated by our Israeli operations totaled approximately $4.3 million and $20.5 million, respectively. We actively monitor the movement of the U.S. dollar against the NIS, Pound Sterling, Euro, Australian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into these types of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Collection Risks</w:t>
      </w:r>
    </w:p>
    <w:p>
      <w:pPr>
        <w:spacing w:after="0" w:line="200"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2023, our allowance for credit losses decreased by $0.5 million to approximately $8.7 million. A large proportion of our receivables are due from larger corporate customers that typically have longer payment cycles. We base our allowance for credit losses on specifically identified credit risks of customers, historical trends and other information that we believe to be reasonable. Receivables are written-off and charged against the applicable recorded allowance when we have exhausted collection efforts without success. We adjust our allowance for credit losses when accounts previously reserved have been collected.</w:t>
      </w:r>
    </w:p>
    <w:p>
      <w:pPr>
        <w:spacing w:after="0" w:line="15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3"/>
          <w:szCs w:val="13"/>
          <w:color w:val="auto"/>
        </w:rPr>
        <w:t>An allowance for credit losses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collectable from the customer. For all other customers, we use an aging schedule and recognize allowances for credit losses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collectable.</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Our investments consist of cash and cash equivalents. Therefore, changes in market interest rates do not affect in any material respect the value of the investments as recorded by us.</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Inflation Risk</w:t>
      </w:r>
    </w:p>
    <w:p>
      <w:pPr>
        <w:spacing w:after="0" w:line="200"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Item 4. Controls and Procedures</w:t>
      </w: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Evaluation of Disclosure Controls and Procedures</w:t>
      </w:r>
    </w:p>
    <w:p>
      <w:pPr>
        <w:spacing w:after="0" w:line="200"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3"/>
          <w:szCs w:val="13"/>
          <w:color w:val="auto"/>
        </w:rPr>
        <w:t xml:space="preserve">Our management, including the Interim Chief Executive Officer and Chief Financial Officer, evaluated the effectiveness of our “disclosure controls and procedures,” as that term is defined in Rule 13a-15(e) promulgated under the Exchange Act, as of September 30, 2023. Disclosure controls and procedures ensure that the information we are required to disclose in the reports that we file or submit under the Exchange Act is recorded, processed and summarized within the time periods specified in the Securities and Exchange Commission’s rules and forms, and ensure that such information is accumulated and communicated to our management, including the Interim Chief Executive Officer and Chief Financial Officer, as appropriate to allow timely decisions regarding required disclosure. </w:t>
      </w:r>
      <w:r>
        <w:rPr>
          <w:rFonts w:ascii="Arial" w:cs="Arial" w:eastAsia="Arial" w:hAnsi="Arial"/>
          <w:sz w:val="13"/>
          <w:szCs w:val="13"/>
          <w:color w:val="1D1C1D"/>
        </w:rPr>
        <w:t>Based on that evaluation, the Interim Chief Executive Officer and Chief Financial Officer concluded that our disclosure controls and procedures were not effective as of</w:t>
      </w:r>
      <w:r>
        <w:rPr>
          <w:rFonts w:ascii="Arial" w:cs="Arial" w:eastAsia="Arial" w:hAnsi="Arial"/>
          <w:sz w:val="13"/>
          <w:szCs w:val="13"/>
          <w:color w:val="auto"/>
        </w:rPr>
        <w:t xml:space="preserve"> </w:t>
      </w:r>
      <w:r>
        <w:rPr>
          <w:rFonts w:ascii="Arial" w:cs="Arial" w:eastAsia="Arial" w:hAnsi="Arial"/>
          <w:sz w:val="13"/>
          <w:szCs w:val="13"/>
          <w:color w:val="1D1C1D"/>
        </w:rPr>
        <w:t>September 30, 2023 due to the previously disclosed material weakness in the Company’s internal control over financial reporting described below.</w:t>
      </w:r>
    </w:p>
    <w:p>
      <w:pPr>
        <w:spacing w:after="0" w:line="156"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4"/>
          <w:szCs w:val="14"/>
          <w:color w:val="1D1C1D"/>
        </w:rPr>
        <w:t>Our management evaluated the effectiveness of our internal control over financial reporting as of December 31, 2022. As a part of our annual review, management identified control deficiencies that aggregated to a material weakness in the Company’s internal control over financial reporting as of December 31, 2022. This material weakness related to the Company’s previously disclosed review of certain transactions related to its subsidiary WildHealth, which was acquired in February 2022, and primarily includes a combination of ineffective operation of controls and inadequate controls in certain areas along with formal review, approval and evaluation of manual journal entries.</w:t>
      </w:r>
    </w:p>
    <w:p>
      <w:pPr>
        <w:spacing w:after="0" w:line="167"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1D1C1D"/>
        </w:rPr>
        <w:t>We are monitoring and making progress on improving our processes and controls around formal review, approval, and evaluation of non-core, complex transactions. We believe our ongoing efforts will be sufficient to remediate the identified material weakness.</w:t>
      </w:r>
    </w:p>
    <w:p>
      <w:pPr>
        <w:spacing w:after="0" w:line="15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1D1C1D"/>
        </w:rPr>
        <w:t>We will not consider the material weakness described above remediated until the remedial controls operate for a sufficient period of time and we have concluded, through testing, that these controls are effectively designed and operating effectively. We will continue to assess throughout 2023.</w:t>
      </w:r>
    </w:p>
    <w:p>
      <w:pPr>
        <w:spacing w:after="0" w:line="153" w:lineRule="exact"/>
        <w:rPr>
          <w:sz w:val="20"/>
          <w:szCs w:val="20"/>
          <w:color w:val="auto"/>
        </w:rPr>
      </w:pPr>
    </w:p>
    <w:p>
      <w:pPr>
        <w:jc w:val="both"/>
        <w:ind w:firstLine="509"/>
        <w:spacing w:after="0" w:line="321" w:lineRule="auto"/>
        <w:rPr>
          <w:sz w:val="20"/>
          <w:szCs w:val="20"/>
          <w:color w:val="auto"/>
        </w:rPr>
      </w:pPr>
      <w:r>
        <w:rPr>
          <w:rFonts w:ascii="Arial" w:cs="Arial" w:eastAsia="Arial" w:hAnsi="Arial"/>
          <w:sz w:val="13"/>
          <w:szCs w:val="13"/>
          <w:color w:val="auto"/>
        </w:rPr>
        <w:t>Under the supervision and with the participation of management, including the Interim Chief Executive Officer and Chief Financial Officer, we will continue to evaluate the effectiveness of our internal control over financial reporting and the possibility that a material misstatement of our consolidated financial statements could be prevented or detected on a timely basis.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in Internal Control Over Financial Reporting</w:t>
      </w:r>
    </w:p>
    <w:p>
      <w:pPr>
        <w:spacing w:after="0" w:line="200"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4"/>
          <w:szCs w:val="14"/>
          <w:color w:val="auto"/>
        </w:rPr>
        <w:t>Except for the remediation efforts related to the material weakness noted above, there have been no changes in the Company’s internal control over financial reporting during the quarter ended September 30, 2023 that have materially affected, or are reasonably likely to materially affect, the Company’s internal control over financial reporting.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 Other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 Legal Proceedings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[24]7 Litigation</w:t>
      </w:r>
    </w:p>
    <w:p>
      <w:pPr>
        <w:spacing w:after="0" w:line="200" w:lineRule="exact"/>
        <w:rPr>
          <w:sz w:val="20"/>
          <w:szCs w:val="20"/>
          <w:color w:val="auto"/>
        </w:rPr>
      </w:pPr>
    </w:p>
    <w:p>
      <w:pPr>
        <w:jc w:val="both"/>
        <w:ind w:firstLine="509"/>
        <w:spacing w:after="0" w:line="260" w:lineRule="auto"/>
        <w:rPr>
          <w:sz w:val="20"/>
          <w:szCs w:val="20"/>
          <w:color w:val="auto"/>
        </w:rPr>
      </w:pPr>
      <w:r>
        <w:rPr>
          <w:rFonts w:ascii="Arial" w:cs="Arial" w:eastAsia="Arial" w:hAnsi="Arial"/>
          <w:sz w:val="14"/>
          <w:szCs w:val="14"/>
          <w:color w:val="auto"/>
        </w:rPr>
        <w:t>The Company filed an intellectual property suit (the “Company IP Suit”) against [24]7 Customer, Inc. (“[24]7”) on March 6, 2014. On June 22, 2015, and December 7, 2015, [24]7 filed separate countersuits (together, the “Countersuits”) against the Company. The trial with respect to the Company IP Suit occurred on May 24, 2021 and a trial verdict was issued in favor of the Company. In August 2022, 24[7] appealed the verdict. In addition, a trial to adjudicate [24]7’s Countersuits against the Company began in 2023, and a trial with respect to a second set of intellectual property claims brought by the Company against [24]7 had been set for trial in early 2024. During the quarter ended September 30, 2023, all litigation matters between the parties were dismissed with prejudice pursuant to a binding settlement previously entered by the parties.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9"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i w:val="1"/>
          <w:iCs w:val="1"/>
          <w:color w:val="auto"/>
        </w:rPr>
        <w:t>COVID-Related Matters</w:t>
      </w:r>
    </w:p>
    <w:p>
      <w:pPr>
        <w:spacing w:after="0" w:line="200" w:lineRule="exact"/>
        <w:rPr>
          <w:sz w:val="20"/>
          <w:szCs w:val="20"/>
          <w:color w:val="auto"/>
        </w:rPr>
      </w:pPr>
    </w:p>
    <w:p>
      <w:pPr>
        <w:jc w:val="both"/>
        <w:ind w:firstLine="509"/>
        <w:spacing w:after="0" w:line="280" w:lineRule="auto"/>
        <w:rPr>
          <w:sz w:val="20"/>
          <w:szCs w:val="20"/>
          <w:color w:val="auto"/>
        </w:rPr>
      </w:pPr>
      <w:r>
        <w:rPr>
          <w:rFonts w:ascii="Arial" w:cs="Arial" w:eastAsia="Arial" w:hAnsi="Arial"/>
          <w:sz w:val="13"/>
          <w:szCs w:val="13"/>
          <w:color w:val="auto"/>
        </w:rPr>
        <w:t>As has been widely reported, there is heightened scrutiny by the federal government across many programs related to COVID-19 that were introduced during the COVID-19 pandemic. The Company and its wholly-owned subsidiary WildHealth were each previously engaged in the delivery of products and services related to COVID-19 testing and have been subsequently subject to governmental inquiries with respect to those COVID-19 related products and services, including inquiries by Medicare, the Department of Justice and the U.S. Food and Drug Administration (“governmental agencies”). As previously disclosed, in November 2022, a professional corporation managed by WildHealth received notice that Medicare reimbursements for its services rendered under a Medicare demonstration program related to COVID-19 testing (the “Program”) were suspended pending further review. Subsequently, WildHealth received and successfully responded to inquiries from additional governmental agencies with respect to its participation in the Program. The Centers for Medicare and Medicaid Services (CMS) has provided notice that the Medicare payment suspension will be terminated. The reimbursements for services rendered under the Program are expected to be released in November 2023.</w:t>
      </w:r>
    </w:p>
    <w:p>
      <w:pPr>
        <w:spacing w:after="0" w:line="158"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The Company also previously provided other products and services related to COVID-19 testing and accompanying software. Those COVID-19 related products and services have also been the subject of inquiry and pending review by governmental agencies. The Company and WildHealth have discontinued all products and services related to COVID-19, and have responded to and intend to continue to cooperate with governmental inquiries related to their previous engagement in COVID-19 related product and service offerings.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Legal, Administrative, Governmental and Regulatory Matters</w:t>
      </w:r>
    </w:p>
    <w:p>
      <w:pPr>
        <w:spacing w:after="0" w:line="20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3"/>
          <w:szCs w:val="13"/>
          <w:color w:val="auto"/>
        </w:rPr>
        <w:t>From time to time, the Company is or may be subject to or involved in legal, administrative, governmental and/or regulatory proceedings, inquiries and investigations as well as actual or threatened litigation, claims and/or demands (each an “Action” and collectively “Actions”). These have included and may include (without limitation) Actions brought by or against the Company, its affiliates, subsidiaries, directors and/or officers with respect to intellectual property, contracts, financial, commercial, employment, legal, compliance, privacy, data security, regulatory and/or other matters related to our business, as well as Actions brought against the Company’s customers for which the Company has a contractual indemnification obligation.</w:t>
      </w:r>
    </w:p>
    <w:p>
      <w:pPr>
        <w:spacing w:after="0" w:line="152" w:lineRule="exact"/>
        <w:rPr>
          <w:sz w:val="20"/>
          <w:szCs w:val="20"/>
          <w:color w:val="auto"/>
        </w:rPr>
      </w:pPr>
    </w:p>
    <w:p>
      <w:pPr>
        <w:ind w:left="520"/>
        <w:spacing w:after="0"/>
        <w:rPr>
          <w:sz w:val="20"/>
          <w:szCs w:val="20"/>
          <w:color w:val="auto"/>
        </w:rPr>
      </w:pPr>
      <w:r>
        <w:rPr>
          <w:rFonts w:ascii="Arial" w:cs="Arial" w:eastAsia="Arial" w:hAnsi="Arial"/>
          <w:sz w:val="12"/>
          <w:szCs w:val="12"/>
          <w:color w:val="auto"/>
        </w:rPr>
        <w:t>Regardless of the outcome, Actions can have an adverse impact on the Company because of defense and/or settlement costs, diversion of management resources, reputational risks and other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factors.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Contingencies</w:t>
      </w:r>
    </w:p>
    <w:p>
      <w:pPr>
        <w:spacing w:after="0" w:line="200" w:lineRule="exact"/>
        <w:rPr>
          <w:sz w:val="20"/>
          <w:szCs w:val="20"/>
          <w:color w:val="auto"/>
        </w:rPr>
      </w:pPr>
    </w:p>
    <w:p>
      <w:pPr>
        <w:jc w:val="both"/>
        <w:ind w:firstLine="509"/>
        <w:spacing w:after="0" w:line="307" w:lineRule="auto"/>
        <w:rPr>
          <w:sz w:val="20"/>
          <w:szCs w:val="20"/>
          <w:color w:val="auto"/>
        </w:rPr>
      </w:pPr>
      <w:r>
        <w:rPr>
          <w:rFonts w:ascii="Arial" w:cs="Arial" w:eastAsia="Arial" w:hAnsi="Arial"/>
          <w:sz w:val="12"/>
          <w:szCs w:val="12"/>
          <w:color w:val="auto"/>
        </w:rPr>
        <w:t>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1A. Risk Factors</w:t>
      </w:r>
    </w:p>
    <w:p>
      <w:pPr>
        <w:spacing w:after="0" w:line="204" w:lineRule="exact"/>
        <w:rPr>
          <w:sz w:val="20"/>
          <w:szCs w:val="20"/>
          <w:color w:val="auto"/>
        </w:rPr>
      </w:pPr>
    </w:p>
    <w:p>
      <w:pPr>
        <w:jc w:val="both"/>
        <w:ind w:firstLine="509"/>
        <w:spacing w:after="0" w:line="297" w:lineRule="auto"/>
        <w:rPr>
          <w:sz w:val="20"/>
          <w:szCs w:val="20"/>
          <w:color w:val="auto"/>
        </w:rPr>
      </w:pPr>
      <w:r>
        <w:rPr>
          <w:rFonts w:ascii="Arial" w:cs="Arial" w:eastAsia="Arial" w:hAnsi="Arial"/>
          <w:sz w:val="13"/>
          <w:szCs w:val="13"/>
          <w:color w:val="auto"/>
        </w:rPr>
        <w:t>Our operations and financial results are subject to various risks and uncertainties, including those described in Part I, Item 1A. “Risk Factors” in our Annual Report on Form 10-K for the year ended December 31, 2022, filed on March 16, 2023 (as amended on May 1, 2023),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i w:val="1"/>
          <w:iCs w:val="1"/>
          <w:color w:val="auto"/>
        </w:rPr>
        <w:t>Unregistered Sales of Equity Securities</w:t>
      </w:r>
    </w:p>
    <w:p>
      <w:pPr>
        <w:spacing w:after="0" w:line="20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4"/>
          <w:szCs w:val="14"/>
          <w:color w:val="auto"/>
        </w:rPr>
        <w:t>In September 2023, we issued 190,042 shares of common stock (the “Earn-out Shares”) to former shareholders of Tenfold, as earn-out consideration as contemplated by the acquisition agreement. The issuance of the Earn-out Shares did not involve a public offering and was exempt from the registration requirements of the Securities Act pursuant to Section 4(a)(2) of the Securities Act.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Purchase of Equity Securities by the Issuer</w:t>
      </w:r>
    </w:p>
    <w:p>
      <w:pPr>
        <w:spacing w:after="0" w:line="20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There were no repurchases of equity securities by the issuer during the three months ended September 30, 2023.</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3. Defaults Upon Senior Securities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None.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4. Mine Safety Disclosures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Not applicable.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Item 5. Other Information</w:t>
      </w:r>
    </w:p>
    <w:p>
      <w:pPr>
        <w:spacing w:after="0" w:line="204" w:lineRule="exact"/>
        <w:rPr>
          <w:sz w:val="20"/>
          <w:szCs w:val="20"/>
          <w:color w:val="auto"/>
        </w:rPr>
      </w:pPr>
    </w:p>
    <w:p>
      <w:pPr>
        <w:ind w:left="700" w:hanging="186"/>
        <w:spacing w:after="0"/>
        <w:tabs>
          <w:tab w:leader="none" w:pos="7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None.</w:t>
      </w:r>
    </w:p>
    <w:p>
      <w:pPr>
        <w:spacing w:after="0" w:line="199" w:lineRule="exact"/>
        <w:rPr>
          <w:rFonts w:ascii="Arial" w:cs="Arial" w:eastAsia="Arial" w:hAnsi="Arial"/>
          <w:sz w:val="14"/>
          <w:szCs w:val="14"/>
          <w:color w:val="auto"/>
        </w:rPr>
      </w:pPr>
    </w:p>
    <w:p>
      <w:pPr>
        <w:ind w:left="720" w:hanging="206"/>
        <w:spacing w:after="0"/>
        <w:tabs>
          <w:tab w:leader="none" w:pos="7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None.</w:t>
      </w:r>
    </w:p>
    <w:p>
      <w:pPr>
        <w:spacing w:after="0" w:line="199" w:lineRule="exact"/>
        <w:rPr>
          <w:rFonts w:ascii="Arial" w:cs="Arial" w:eastAsia="Arial" w:hAnsi="Arial"/>
          <w:sz w:val="14"/>
          <w:szCs w:val="14"/>
          <w:color w:val="auto"/>
        </w:rPr>
      </w:pPr>
    </w:p>
    <w:p>
      <w:pPr>
        <w:ind w:firstLine="514"/>
        <w:spacing w:after="0" w:line="281" w:lineRule="auto"/>
        <w:tabs>
          <w:tab w:leader="none" w:pos="711"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During the three months ended September 30, 2023, no director or executive officer of the Company adopted or terminated a “Rule 10b5-1 trading arrangement” or “non-Rule 10b5-1 trading arrangement,” as each term is defined in Item 408(a) of Regulations S-K.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2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3" w:right="319" w:bottom="1440" w:gutter="0" w:footer="0" w:header="0"/>
        </w:sectPr>
      </w:pPr>
    </w:p>
    <w:bookmarkStart w:id="53" w:name="page54"/>
    <w:bookmarkEnd w:id="53"/>
    <w:p>
      <w:pPr>
        <w:jc w:val="center"/>
        <w:ind w:right="80"/>
        <w:spacing w:after="0"/>
        <w:rPr>
          <w:sz w:val="20"/>
          <w:szCs w:val="20"/>
          <w:color w:val="auto"/>
        </w:rPr>
      </w:pPr>
      <w:r>
        <w:rPr>
          <w:rFonts w:ascii="Arial" w:cs="Arial" w:eastAsia="Arial" w:hAnsi="Arial"/>
          <w:sz w:val="14"/>
          <w:szCs w:val="14"/>
          <w:b w:val="1"/>
          <w:bCs w:val="1"/>
          <w:color w:val="auto"/>
        </w:rPr>
        <w:t>ITEM 6. EXHIBITS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920" w:type="dxa"/>
            <w:vAlign w:val="bottom"/>
            <w:vMerge w:val="restart"/>
          </w:tcPr>
          <w:p>
            <w:pPr>
              <w:jc w:val="center"/>
              <w:ind w:left="76"/>
              <w:spacing w:after="0"/>
              <w:rPr>
                <w:sz w:val="20"/>
                <w:szCs w:val="20"/>
                <w:color w:val="auto"/>
              </w:rPr>
            </w:pPr>
            <w:r>
              <w:rPr>
                <w:rFonts w:ascii="Arial" w:cs="Arial" w:eastAsia="Arial" w:hAnsi="Arial"/>
                <w:sz w:val="13"/>
                <w:szCs w:val="13"/>
                <w:color w:val="auto"/>
                <w:w w:val="86"/>
              </w:rPr>
              <w:t>10.1</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520" w:type="dxa"/>
            <w:vAlign w:val="bottom"/>
            <w:tcBorders>
              <w:bottom w:val="single" w:sz="8" w:color="0000FF"/>
            </w:tcBorders>
            <w:gridSpan w:val="7"/>
          </w:tcPr>
          <w:p>
            <w:pPr>
              <w:spacing w:after="0" w:line="138" w:lineRule="exact"/>
              <w:rPr>
                <w:rFonts w:ascii="Arial" w:cs="Arial" w:eastAsia="Arial" w:hAnsi="Arial"/>
                <w:sz w:val="13"/>
                <w:szCs w:val="13"/>
                <w:color w:val="0000FF"/>
                <w:w w:val="88"/>
              </w:rPr>
            </w:pPr>
            <w:hyperlink r:id="rId73">
              <w:r>
                <w:rPr>
                  <w:rFonts w:ascii="Arial" w:cs="Arial" w:eastAsia="Arial" w:hAnsi="Arial"/>
                  <w:sz w:val="13"/>
                  <w:szCs w:val="13"/>
                  <w:color w:val="0000FF"/>
                  <w:w w:val="88"/>
                </w:rPr>
                <w:t>Letter Agreement, by and between the Company and Robert P. LoCascio, dated July 10, 2023 (incorporated by reference to Exhibit 10.1 to LivePerson’s Current Report on Form 8-K filed</w:t>
              </w:r>
            </w:hyperlink>
          </w:p>
        </w:tc>
        <w:tc>
          <w:tcPr>
            <w:tcW w:w="0" w:type="dxa"/>
            <w:vAlign w:val="bottom"/>
          </w:tcPr>
          <w:p>
            <w:pPr>
              <w:spacing w:after="0"/>
              <w:rPr>
                <w:sz w:val="1"/>
                <w:szCs w:val="1"/>
                <w:color w:val="auto"/>
              </w:rPr>
            </w:pPr>
          </w:p>
        </w:tc>
      </w:tr>
      <w:tr>
        <w:trPr>
          <w:trHeight w:val="92"/>
        </w:trPr>
        <w:tc>
          <w:tcPr>
            <w:tcW w:w="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680" w:type="dxa"/>
            <w:vAlign w:val="bottom"/>
            <w:gridSpan w:val="8"/>
            <w:vMerge w:val="restart"/>
          </w:tcPr>
          <w:p>
            <w:pPr>
              <w:ind w:left="160"/>
              <w:spacing w:after="0" w:line="129" w:lineRule="exact"/>
              <w:rPr>
                <w:rFonts w:ascii="Arial" w:cs="Arial" w:eastAsia="Arial" w:hAnsi="Arial"/>
                <w:sz w:val="13"/>
                <w:szCs w:val="13"/>
                <w:color w:val="0000FF"/>
              </w:rPr>
            </w:pPr>
            <w:hyperlink r:id="rId73">
              <w:r>
                <w:rPr>
                  <w:rFonts w:ascii="Arial" w:cs="Arial" w:eastAsia="Arial" w:hAnsi="Arial"/>
                  <w:sz w:val="13"/>
                  <w:szCs w:val="13"/>
                  <w:color w:val="0000FF"/>
                </w:rPr>
                <w:t>July 12, 2023)</w:t>
              </w:r>
            </w:hyperlink>
          </w:p>
        </w:tc>
        <w:tc>
          <w:tcPr>
            <w:tcW w:w="0" w:type="dxa"/>
            <w:vAlign w:val="bottom"/>
          </w:tcPr>
          <w:p>
            <w:pPr>
              <w:spacing w:after="0"/>
              <w:rPr>
                <w:sz w:val="1"/>
                <w:szCs w:val="1"/>
                <w:color w:val="auto"/>
              </w:rPr>
            </w:pPr>
          </w:p>
        </w:tc>
      </w:tr>
      <w:tr>
        <w:trPr>
          <w:trHeight w:val="36"/>
        </w:trPr>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920" w:type="dxa"/>
            <w:vAlign w:val="bottom"/>
            <w:vMerge w:val="restart"/>
          </w:tcPr>
          <w:p>
            <w:pPr>
              <w:jc w:val="center"/>
              <w:ind w:left="76"/>
              <w:spacing w:after="0"/>
              <w:rPr>
                <w:sz w:val="20"/>
                <w:szCs w:val="20"/>
                <w:color w:val="auto"/>
              </w:rPr>
            </w:pPr>
            <w:r>
              <w:rPr>
                <w:rFonts w:ascii="Arial" w:cs="Arial" w:eastAsia="Arial" w:hAnsi="Arial"/>
                <w:sz w:val="13"/>
                <w:szCs w:val="13"/>
                <w:color w:val="auto"/>
                <w:w w:val="86"/>
              </w:rPr>
              <w:t>10.2</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520" w:type="dxa"/>
            <w:vAlign w:val="bottom"/>
            <w:tcBorders>
              <w:bottom w:val="single" w:sz="8" w:color="0000FF"/>
            </w:tcBorders>
            <w:gridSpan w:val="7"/>
          </w:tcPr>
          <w:p>
            <w:pPr>
              <w:spacing w:after="0" w:line="138" w:lineRule="exact"/>
              <w:rPr>
                <w:rFonts w:ascii="Arial" w:cs="Arial" w:eastAsia="Arial" w:hAnsi="Arial"/>
                <w:sz w:val="13"/>
                <w:szCs w:val="13"/>
                <w:color w:val="0000FF"/>
                <w:w w:val="89"/>
              </w:rPr>
            </w:pPr>
            <w:hyperlink r:id="rId74">
              <w:r>
                <w:rPr>
                  <w:rFonts w:ascii="Arial" w:cs="Arial" w:eastAsia="Arial" w:hAnsi="Arial"/>
                  <w:sz w:val="13"/>
                  <w:szCs w:val="13"/>
                  <w:color w:val="0000FF"/>
                  <w:w w:val="89"/>
                </w:rPr>
                <w:t>Letter Agreement, by and between the Company and Robert P. LoCascio, dated August 7, 2023 (incorporated by reference to Exhibit 10.1 to LivePerson’s Current Report on Form 8-K f</w:t>
              </w:r>
            </w:hyperlink>
          </w:p>
        </w:tc>
        <w:tc>
          <w:tcPr>
            <w:tcW w:w="0" w:type="dxa"/>
            <w:vAlign w:val="bottom"/>
          </w:tcPr>
          <w:p>
            <w:pPr>
              <w:spacing w:after="0"/>
              <w:rPr>
                <w:sz w:val="1"/>
                <w:szCs w:val="1"/>
                <w:color w:val="auto"/>
              </w:rPr>
            </w:pPr>
          </w:p>
        </w:tc>
      </w:tr>
      <w:tr>
        <w:trPr>
          <w:trHeight w:val="92"/>
        </w:trPr>
        <w:tc>
          <w:tcPr>
            <w:tcW w:w="92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9680" w:type="dxa"/>
            <w:vAlign w:val="bottom"/>
            <w:gridSpan w:val="8"/>
            <w:vMerge w:val="restart"/>
          </w:tcPr>
          <w:p>
            <w:pPr>
              <w:ind w:left="160"/>
              <w:spacing w:after="0" w:line="129" w:lineRule="exact"/>
              <w:rPr>
                <w:rFonts w:ascii="Arial" w:cs="Arial" w:eastAsia="Arial" w:hAnsi="Arial"/>
                <w:sz w:val="13"/>
                <w:szCs w:val="13"/>
                <w:color w:val="0000FF"/>
              </w:rPr>
            </w:pPr>
            <w:hyperlink r:id="rId74">
              <w:r>
                <w:rPr>
                  <w:rFonts w:ascii="Arial" w:cs="Arial" w:eastAsia="Arial" w:hAnsi="Arial"/>
                  <w:sz w:val="13"/>
                  <w:szCs w:val="13"/>
                  <w:color w:val="0000FF"/>
                </w:rPr>
                <w:t>on August 8, 2023)</w:t>
              </w:r>
            </w:hyperlink>
          </w:p>
        </w:tc>
        <w:tc>
          <w:tcPr>
            <w:tcW w:w="0" w:type="dxa"/>
            <w:vAlign w:val="bottom"/>
          </w:tcPr>
          <w:p>
            <w:pPr>
              <w:spacing w:after="0"/>
              <w:rPr>
                <w:sz w:val="1"/>
                <w:szCs w:val="1"/>
                <w:color w:val="auto"/>
              </w:rPr>
            </w:pPr>
          </w:p>
        </w:tc>
      </w:tr>
      <w:tr>
        <w:trPr>
          <w:trHeight w:val="36"/>
        </w:trPr>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c>
          <w:tcPr>
            <w:tcW w:w="968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10.3</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line="138" w:lineRule="exact"/>
              <w:rPr>
                <w:sz w:val="20"/>
                <w:szCs w:val="20"/>
                <w:color w:val="auto"/>
              </w:rPr>
            </w:pPr>
            <w:r>
              <w:rPr>
                <w:rFonts w:ascii="Arial" w:cs="Arial" w:eastAsia="Arial" w:hAnsi="Arial"/>
                <w:sz w:val="13"/>
                <w:szCs w:val="13"/>
                <w:color w:val="0000FF"/>
              </w:rPr>
              <w:t>Letter Agreement, by and between the Company and John Collins, entered into August 10, 2023.</w:t>
            </w:r>
          </w:p>
        </w:tc>
        <w:tc>
          <w:tcPr>
            <w:tcW w:w="0" w:type="dxa"/>
            <w:vAlign w:val="bottom"/>
          </w:tcPr>
          <w:p>
            <w:pPr>
              <w:spacing w:after="0"/>
              <w:rPr>
                <w:sz w:val="1"/>
                <w:szCs w:val="1"/>
                <w:color w:val="auto"/>
              </w:rPr>
            </w:pP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38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10.4</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line="138" w:lineRule="exact"/>
              <w:rPr>
                <w:sz w:val="20"/>
                <w:szCs w:val="20"/>
                <w:color w:val="auto"/>
              </w:rPr>
            </w:pPr>
            <w:r>
              <w:rPr>
                <w:rFonts w:ascii="Arial" w:cs="Arial" w:eastAsia="Arial" w:hAnsi="Arial"/>
                <w:sz w:val="13"/>
                <w:szCs w:val="13"/>
                <w:color w:val="0000FF"/>
              </w:rPr>
              <w:t>Letter Agreement, by and between the Company and Monica Greenberg, entered into August 9, 2023.</w:t>
            </w:r>
          </w:p>
        </w:tc>
        <w:tc>
          <w:tcPr>
            <w:tcW w:w="0" w:type="dxa"/>
            <w:vAlign w:val="bottom"/>
          </w:tcPr>
          <w:p>
            <w:pPr>
              <w:spacing w:after="0"/>
              <w:rPr>
                <w:sz w:val="1"/>
                <w:szCs w:val="1"/>
                <w:color w:val="auto"/>
              </w:rPr>
            </w:pP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388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260" w:type="dxa"/>
            <w:vAlign w:val="bottom"/>
            <w:tcBorders>
              <w:top w:val="single" w:sz="8" w:color="0000FF"/>
            </w:tcBorders>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920" w:type="dxa"/>
            <w:vAlign w:val="bottom"/>
          </w:tcPr>
          <w:p>
            <w:pPr>
              <w:jc w:val="center"/>
              <w:ind w:left="76"/>
              <w:spacing w:after="0" w:line="138" w:lineRule="exact"/>
              <w:rPr>
                <w:sz w:val="20"/>
                <w:szCs w:val="20"/>
                <w:color w:val="auto"/>
              </w:rPr>
            </w:pPr>
            <w:r>
              <w:rPr>
                <w:rFonts w:ascii="Arial" w:cs="Arial" w:eastAsia="Arial" w:hAnsi="Arial"/>
                <w:sz w:val="13"/>
                <w:szCs w:val="13"/>
                <w:color w:val="auto"/>
                <w:w w:val="86"/>
              </w:rPr>
              <w:t>10.5</w:t>
            </w:r>
          </w:p>
        </w:tc>
        <w:tc>
          <w:tcPr>
            <w:tcW w:w="420" w:type="dxa"/>
            <w:vAlign w:val="bottom"/>
          </w:tcPr>
          <w:p>
            <w:pPr>
              <w:ind w:left="140"/>
              <w:spacing w:after="0" w:line="138" w:lineRule="exact"/>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line="138" w:lineRule="exact"/>
              <w:rPr>
                <w:sz w:val="20"/>
                <w:szCs w:val="20"/>
                <w:color w:val="auto"/>
              </w:rPr>
            </w:pPr>
            <w:r>
              <w:rPr>
                <w:rFonts w:ascii="Arial" w:cs="Arial" w:eastAsia="Arial" w:hAnsi="Arial"/>
                <w:sz w:val="13"/>
                <w:szCs w:val="13"/>
                <w:color w:val="0000FF"/>
              </w:rPr>
              <w:t>Letter Agreement, by and between the Company and Jeffrey Ford, entered into August 1, 2023.</w:t>
            </w:r>
          </w:p>
        </w:tc>
        <w:tc>
          <w:tcPr>
            <w:tcW w:w="0" w:type="dxa"/>
            <w:vAlign w:val="bottom"/>
          </w:tcPr>
          <w:p>
            <w:pPr>
              <w:spacing w:after="0"/>
              <w:rPr>
                <w:sz w:val="1"/>
                <w:szCs w:val="1"/>
                <w:color w:val="auto"/>
              </w:rPr>
            </w:pPr>
          </w:p>
        </w:tc>
      </w:tr>
      <w:tr>
        <w:trPr>
          <w:trHeight w:val="218"/>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0000FF"/>
            </w:tcBorders>
            <w:shd w:val="clear" w:color="auto" w:fill="CCEEFF"/>
          </w:tcPr>
          <w:p>
            <w:pPr>
              <w:spacing w:after="0"/>
              <w:rPr>
                <w:sz w:val="18"/>
                <w:szCs w:val="18"/>
                <w:color w:val="auto"/>
              </w:rPr>
            </w:pPr>
          </w:p>
        </w:tc>
        <w:tc>
          <w:tcPr>
            <w:tcW w:w="240" w:type="dxa"/>
            <w:vAlign w:val="bottom"/>
            <w:tcBorders>
              <w:top w:val="single" w:sz="8" w:color="0000FF"/>
            </w:tcBorders>
            <w:shd w:val="clear" w:color="auto" w:fill="CCEEFF"/>
          </w:tcPr>
          <w:p>
            <w:pPr>
              <w:spacing w:after="0"/>
              <w:rPr>
                <w:sz w:val="18"/>
                <w:szCs w:val="18"/>
                <w:color w:val="auto"/>
              </w:rPr>
            </w:pPr>
          </w:p>
        </w:tc>
        <w:tc>
          <w:tcPr>
            <w:tcW w:w="3880" w:type="dxa"/>
            <w:vAlign w:val="bottom"/>
            <w:tcBorders>
              <w:top w:val="single" w:sz="8" w:color="0000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6"/>
              </w:rPr>
              <w:t>31.1</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0000FF"/>
                <w:w w:val="89"/>
              </w:rPr>
              <w:t>Certification by Interim Chief Executive Officer and Chief Financial Officer pursuant to Exchange Act Rule 13a-14(a), as adopted pursuant to Section 302 of the Sarbanes-Oxley Act of 2</w:t>
            </w: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6"/>
              </w:rPr>
              <w:t>32.1</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0000FF"/>
                <w:w w:val="90"/>
              </w:rPr>
              <w:t>Certification by Interim Chief Executive Officer and Chief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2"/>
        </w:trPr>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18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9"/>
              </w:rPr>
              <w:t>101.INS</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auto"/>
                <w:w w:val="94"/>
              </w:rPr>
              <w:t>Inline XBRL Instance Document -- 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20" w:type="dxa"/>
            <w:vAlign w:val="bottom"/>
          </w:tcPr>
          <w:p>
            <w:pPr>
              <w:jc w:val="center"/>
              <w:ind w:left="56"/>
              <w:spacing w:after="0"/>
              <w:rPr>
                <w:sz w:val="20"/>
                <w:szCs w:val="20"/>
                <w:color w:val="auto"/>
              </w:rPr>
            </w:pPr>
            <w:r>
              <w:rPr>
                <w:rFonts w:ascii="Arial" w:cs="Arial" w:eastAsia="Arial" w:hAnsi="Arial"/>
                <w:sz w:val="13"/>
                <w:szCs w:val="13"/>
                <w:color w:val="auto"/>
                <w:w w:val="90"/>
              </w:rPr>
              <w:t>101.SCH</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20" w:type="dxa"/>
            <w:vAlign w:val="bottom"/>
          </w:tcPr>
          <w:p>
            <w:pPr>
              <w:jc w:val="center"/>
              <w:ind w:left="56"/>
              <w:spacing w:after="0"/>
              <w:rPr>
                <w:sz w:val="20"/>
                <w:szCs w:val="20"/>
                <w:color w:val="auto"/>
              </w:rPr>
            </w:pPr>
            <w:r>
              <w:rPr>
                <w:rFonts w:ascii="Arial" w:cs="Arial" w:eastAsia="Arial" w:hAnsi="Arial"/>
                <w:sz w:val="13"/>
                <w:szCs w:val="13"/>
                <w:color w:val="auto"/>
                <w:w w:val="94"/>
              </w:rPr>
              <w:t>101.CAL</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9"/>
              </w:rPr>
              <w:t>101.DEF</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20" w:type="dxa"/>
            <w:vAlign w:val="bottom"/>
          </w:tcPr>
          <w:p>
            <w:pPr>
              <w:jc w:val="center"/>
              <w:ind w:left="56"/>
              <w:spacing w:after="0"/>
              <w:rPr>
                <w:sz w:val="20"/>
                <w:szCs w:val="20"/>
                <w:color w:val="auto"/>
              </w:rPr>
            </w:pPr>
            <w:r>
              <w:rPr>
                <w:rFonts w:ascii="Arial" w:cs="Arial" w:eastAsia="Arial" w:hAnsi="Arial"/>
                <w:sz w:val="13"/>
                <w:szCs w:val="13"/>
                <w:color w:val="auto"/>
                <w:w w:val="96"/>
              </w:rPr>
              <w:t>101.LAB</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20" w:type="dxa"/>
            <w:vAlign w:val="bottom"/>
          </w:tcPr>
          <w:p>
            <w:pPr>
              <w:jc w:val="center"/>
              <w:ind w:left="76"/>
              <w:spacing w:after="0"/>
              <w:rPr>
                <w:sz w:val="20"/>
                <w:szCs w:val="20"/>
                <w:color w:val="auto"/>
              </w:rPr>
            </w:pPr>
            <w:r>
              <w:rPr>
                <w:rFonts w:ascii="Arial" w:cs="Arial" w:eastAsia="Arial" w:hAnsi="Arial"/>
                <w:sz w:val="13"/>
                <w:szCs w:val="13"/>
                <w:color w:val="auto"/>
                <w:w w:val="88"/>
              </w:rPr>
              <w:t>101.PRE</w:t>
            </w:r>
          </w:p>
        </w:tc>
        <w:tc>
          <w:tcPr>
            <w:tcW w:w="420" w:type="dxa"/>
            <w:vAlign w:val="bottom"/>
          </w:tcPr>
          <w:p>
            <w:pPr>
              <w:ind w:left="140"/>
              <w:spacing w:after="0"/>
              <w:rPr>
                <w:sz w:val="20"/>
                <w:szCs w:val="20"/>
                <w:color w:val="auto"/>
              </w:rPr>
            </w:pPr>
            <w:r>
              <w:rPr>
                <w:rFonts w:ascii="Arial" w:cs="Arial" w:eastAsia="Arial" w:hAnsi="Arial"/>
                <w:sz w:val="13"/>
                <w:szCs w:val="13"/>
                <w:color w:val="auto"/>
              </w:rPr>
              <w:t>*</w:t>
            </w:r>
          </w:p>
        </w:tc>
        <w:tc>
          <w:tcPr>
            <w:tcW w:w="9680" w:type="dxa"/>
            <w:vAlign w:val="bottom"/>
            <w:gridSpan w:val="8"/>
          </w:tcPr>
          <w:p>
            <w:pPr>
              <w:ind w:left="160"/>
              <w:spacing w:after="0"/>
              <w:rPr>
                <w:sz w:val="20"/>
                <w:szCs w:val="20"/>
                <w:color w:val="auto"/>
              </w:rPr>
            </w:pPr>
            <w:r>
              <w:rPr>
                <w:rFonts w:ascii="Arial" w:cs="Arial" w:eastAsia="Arial" w:hAnsi="Arial"/>
                <w:sz w:val="13"/>
                <w:szCs w:val="13"/>
                <w:color w:val="auto"/>
              </w:rPr>
              <w:t>Inline XBRL Taxonomy Extension Presentation Linkbase Document</w:t>
            </w:r>
          </w:p>
        </w:tc>
        <w:tc>
          <w:tcPr>
            <w:tcW w:w="0" w:type="dxa"/>
            <w:vAlign w:val="bottom"/>
          </w:tcPr>
          <w:p>
            <w:pPr>
              <w:spacing w:after="0"/>
              <w:rPr>
                <w:sz w:val="1"/>
                <w:szCs w:val="1"/>
                <w:color w:val="auto"/>
              </w:rPr>
            </w:pPr>
          </w:p>
        </w:tc>
      </w:tr>
      <w:tr>
        <w:trPr>
          <w:trHeight w:val="214"/>
        </w:trPr>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060" w:hanging="631"/>
        <w:spacing w:after="0"/>
        <w:tabs>
          <w:tab w:leader="none" w:pos="1060" w:val="left"/>
        </w:tabs>
        <w:numPr>
          <w:ilvl w:val="1"/>
          <w:numId w:val="1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Cover Page Interactive Data File (formatted as Inline XBRL)</w:t>
      </w:r>
    </w:p>
    <w:p>
      <w:pPr>
        <w:spacing w:after="0" w:line="16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  Filed herewith</w:t>
      </w:r>
    </w:p>
    <w:p>
      <w:pPr>
        <w:spacing w:after="0" w:line="93" w:lineRule="exact"/>
        <w:rPr>
          <w:rFonts w:ascii="Arial" w:cs="Arial" w:eastAsia="Arial" w:hAnsi="Arial"/>
          <w:sz w:val="13"/>
          <w:szCs w:val="13"/>
          <w:color w:val="auto"/>
        </w:rPr>
      </w:pPr>
    </w:p>
    <w:p>
      <w:pPr>
        <w:ind w:left="280" w:hanging="276"/>
        <w:spacing w:after="0"/>
        <w:tabs>
          <w:tab w:leader="none" w:pos="2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640" w:top="889" w:right="239" w:bottom="1440" w:gutter="0" w:footer="0" w:header="0"/>
        </w:sectPr>
      </w:pPr>
    </w:p>
    <w:bookmarkStart w:id="54" w:name="page55"/>
    <w:bookmarkEnd w:id="54"/>
    <w:p>
      <w:pPr>
        <w:jc w:val="center"/>
        <w:ind w:right="-559"/>
        <w:spacing w:after="0"/>
        <w:rPr>
          <w:sz w:val="20"/>
          <w:szCs w:val="20"/>
          <w:color w:val="auto"/>
        </w:rPr>
      </w:pPr>
      <w:r>
        <w:rPr>
          <w:rFonts w:ascii="Arial" w:cs="Arial" w:eastAsia="Arial" w:hAnsi="Arial"/>
          <w:sz w:val="14"/>
          <w:szCs w:val="14"/>
          <w:b w:val="1"/>
          <w:bCs w:val="1"/>
          <w:color w:val="auto"/>
        </w:rPr>
        <w:t>SIGNATURES</w:t>
      </w:r>
    </w:p>
    <w:p>
      <w:pPr>
        <w:spacing w:after="0" w:line="98" w:lineRule="exact"/>
        <w:rPr>
          <w:sz w:val="20"/>
          <w:szCs w:val="20"/>
          <w:color w:val="auto"/>
        </w:rPr>
      </w:pPr>
    </w:p>
    <w:p>
      <w:pPr>
        <w:jc w:val="center"/>
        <w:ind w:right="-299"/>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3" w:lineRule="exact"/>
        <w:rPr>
          <w:sz w:val="20"/>
          <w:szCs w:val="20"/>
          <w:color w:val="auto"/>
        </w:rPr>
      </w:pPr>
    </w:p>
    <w:p>
      <w:pPr>
        <w:ind w:left="5000"/>
        <w:spacing w:after="0"/>
        <w:rPr>
          <w:sz w:val="20"/>
          <w:szCs w:val="20"/>
          <w:color w:val="auto"/>
        </w:rPr>
      </w:pPr>
      <w:r>
        <w:rPr>
          <w:rFonts w:ascii="Arial" w:cs="Arial" w:eastAsia="Arial" w:hAnsi="Arial"/>
          <w:sz w:val="13"/>
          <w:szCs w:val="13"/>
          <w:b w:val="1"/>
          <w:bCs w:val="1"/>
          <w:color w:val="auto"/>
        </w:rPr>
        <w:t>LIVEPERSON, INC.</w:t>
      </w:r>
    </w:p>
    <w:p>
      <w:pPr>
        <w:spacing w:after="0" w:line="24"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(Registrant)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3"/>
                <w:szCs w:val="13"/>
                <w:color w:val="auto"/>
              </w:rPr>
              <w:t>Date:</w:t>
            </w:r>
          </w:p>
        </w:tc>
        <w:tc>
          <w:tcPr>
            <w:tcW w:w="2820" w:type="dxa"/>
            <w:vAlign w:val="bottom"/>
          </w:tcPr>
          <w:p>
            <w:pPr>
              <w:ind w:left="200"/>
              <w:spacing w:after="0"/>
              <w:rPr>
                <w:sz w:val="20"/>
                <w:szCs w:val="20"/>
                <w:color w:val="auto"/>
              </w:rPr>
            </w:pPr>
            <w:r>
              <w:rPr>
                <w:rFonts w:ascii="Arial" w:cs="Arial" w:eastAsia="Arial" w:hAnsi="Arial"/>
                <w:sz w:val="13"/>
                <w:szCs w:val="13"/>
                <w:color w:val="auto"/>
              </w:rPr>
              <w:t>November 9, 2023</w:t>
            </w:r>
          </w:p>
        </w:tc>
        <w:tc>
          <w:tcPr>
            <w:tcW w:w="2500" w:type="dxa"/>
            <w:vAlign w:val="bottom"/>
          </w:tcPr>
          <w:p>
            <w:pPr>
              <w:ind w:left="1680"/>
              <w:spacing w:after="0"/>
              <w:rPr>
                <w:sz w:val="20"/>
                <w:szCs w:val="20"/>
                <w:color w:val="auto"/>
              </w:rPr>
            </w:pPr>
            <w:r>
              <w:rPr>
                <w:rFonts w:ascii="Arial" w:cs="Arial" w:eastAsia="Arial" w:hAnsi="Arial"/>
                <w:sz w:val="13"/>
                <w:szCs w:val="13"/>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JOHN D. COLLINS</w:t>
            </w:r>
          </w:p>
        </w:tc>
      </w:tr>
      <w:tr>
        <w:trPr>
          <w:trHeight w:val="160"/>
        </w:trPr>
        <w:tc>
          <w:tcPr>
            <w:tcW w:w="5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Name:</w:t>
            </w:r>
          </w:p>
        </w:tc>
        <w:tc>
          <w:tcPr>
            <w:tcW w:w="5200" w:type="dxa"/>
            <w:vAlign w:val="bottom"/>
          </w:tcPr>
          <w:p>
            <w:pPr>
              <w:ind w:left="20"/>
              <w:spacing w:after="0"/>
              <w:rPr>
                <w:sz w:val="20"/>
                <w:szCs w:val="20"/>
                <w:color w:val="auto"/>
              </w:rPr>
            </w:pPr>
            <w:r>
              <w:rPr>
                <w:rFonts w:ascii="Arial" w:cs="Arial" w:eastAsia="Arial" w:hAnsi="Arial"/>
                <w:sz w:val="13"/>
                <w:szCs w:val="13"/>
                <w:b w:val="1"/>
                <w:bCs w:val="1"/>
                <w:color w:val="auto"/>
              </w:rPr>
              <w:t>John D. Collins</w:t>
            </w:r>
          </w:p>
        </w:tc>
      </w:tr>
      <w:tr>
        <w:trPr>
          <w:trHeight w:val="167"/>
        </w:trPr>
        <w:tc>
          <w:tcPr>
            <w:tcW w:w="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00" w:type="dxa"/>
            <w:vAlign w:val="bottom"/>
          </w:tcPr>
          <w:p>
            <w:pPr>
              <w:ind w:left="1680"/>
              <w:spacing w:after="0"/>
              <w:rPr>
                <w:sz w:val="20"/>
                <w:szCs w:val="20"/>
                <w:color w:val="auto"/>
              </w:rPr>
            </w:pPr>
            <w:r>
              <w:rPr>
                <w:rFonts w:ascii="Arial" w:cs="Arial" w:eastAsia="Arial" w:hAnsi="Arial"/>
                <w:sz w:val="13"/>
                <w:szCs w:val="13"/>
                <w:color w:val="auto"/>
              </w:rPr>
              <w:t>Title:</w:t>
            </w:r>
          </w:p>
        </w:tc>
        <w:tc>
          <w:tcPr>
            <w:tcW w:w="5200" w:type="dxa"/>
            <w:vAlign w:val="bottom"/>
          </w:tcPr>
          <w:p>
            <w:pPr>
              <w:ind w:left="20"/>
              <w:spacing w:after="0"/>
              <w:rPr>
                <w:sz w:val="20"/>
                <w:szCs w:val="20"/>
                <w:color w:val="auto"/>
              </w:rPr>
            </w:pPr>
            <w:r>
              <w:rPr>
                <w:rFonts w:ascii="Arial" w:cs="Arial" w:eastAsia="Arial" w:hAnsi="Arial"/>
                <w:sz w:val="13"/>
                <w:szCs w:val="13"/>
                <w:color w:val="auto"/>
                <w:w w:val="99"/>
              </w:rPr>
              <w:t>Interim Chief Executive Officer and Chief Financial Officer (Principal Executive Officer and</w:t>
            </w:r>
          </w:p>
        </w:tc>
      </w:tr>
      <w:tr>
        <w:trPr>
          <w:trHeight w:val="161"/>
        </w:trPr>
        <w:tc>
          <w:tcPr>
            <w:tcW w:w="5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200" w:type="dxa"/>
            <w:vAlign w:val="bottom"/>
          </w:tcPr>
          <w:p>
            <w:pPr>
              <w:ind w:left="20"/>
              <w:spacing w:after="0"/>
              <w:rPr>
                <w:sz w:val="20"/>
                <w:szCs w:val="20"/>
                <w:color w:val="auto"/>
              </w:rPr>
            </w:pPr>
            <w:r>
              <w:rPr>
                <w:rFonts w:ascii="Arial" w:cs="Arial" w:eastAsia="Arial" w:hAnsi="Arial"/>
                <w:sz w:val="13"/>
                <w:szCs w:val="13"/>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5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020"/>
          </w:cols>
          <w:pgMar w:left="320" w:top="889" w:right="559" w:bottom="144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3" w:name="page74"/>
    <w:bookmarkEnd w:id="73"/>
    <w:p>
      <w:pPr>
        <w:jc w:val="right"/>
        <w:spacing w:after="0"/>
        <w:rPr>
          <w:sz w:val="20"/>
          <w:szCs w:val="20"/>
          <w:color w:val="auto"/>
        </w:rPr>
      </w:pPr>
      <w:r>
        <w:rPr>
          <w:rFonts w:ascii="Arial" w:cs="Arial" w:eastAsia="Arial" w:hAnsi="Arial"/>
          <w:sz w:val="14"/>
          <w:szCs w:val="14"/>
          <w:u w:val="single" w:color="auto"/>
          <w:color w:val="auto"/>
        </w:rPr>
        <w:t>Exhibit 31.1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I, John Collins, certify that:</w:t>
      </w:r>
    </w:p>
    <w:p>
      <w:pPr>
        <w:spacing w:after="0" w:line="83"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have reviewed this Quarterly Report on Form 10-Q of LivePerson, Inc.;</w:t>
      </w:r>
    </w:p>
    <w:p>
      <w:pPr>
        <w:spacing w:after="0" w:line="83" w:lineRule="exact"/>
        <w:rPr>
          <w:rFonts w:ascii="Arial" w:cs="Arial" w:eastAsia="Arial" w:hAnsi="Arial"/>
          <w:sz w:val="14"/>
          <w:szCs w:val="14"/>
          <w:color w:val="auto"/>
        </w:rPr>
      </w:pPr>
    </w:p>
    <w:p>
      <w:pPr>
        <w:ind w:left="260" w:right="140" w:hanging="255"/>
        <w:spacing w:after="0" w:line="281"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Arial" w:cs="Arial" w:eastAsia="Arial" w:hAnsi="Arial"/>
          <w:sz w:val="14"/>
          <w:szCs w:val="14"/>
          <w:color w:val="auto"/>
        </w:rPr>
      </w:pPr>
    </w:p>
    <w:p>
      <w:pPr>
        <w:ind w:left="260" w:right="200" w:hanging="255"/>
        <w:spacing w:after="0" w:line="281"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 w:lineRule="exact"/>
        <w:rPr>
          <w:rFonts w:ascii="Arial" w:cs="Arial" w:eastAsia="Arial" w:hAnsi="Arial"/>
          <w:sz w:val="14"/>
          <w:szCs w:val="14"/>
          <w:color w:val="auto"/>
        </w:rPr>
      </w:pPr>
    </w:p>
    <w:p>
      <w:pPr>
        <w:ind w:left="260" w:right="60" w:hanging="255"/>
        <w:spacing w:after="0" w:line="281" w:lineRule="auto"/>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sz w:val="20"/>
          <w:szCs w:val="20"/>
          <w:color w:val="auto"/>
        </w:rPr>
      </w:pPr>
    </w:p>
    <w:p>
      <w:pPr>
        <w:ind w:left="260" w:right="340" w:hanging="255"/>
        <w:spacing w:after="0" w:line="321" w:lineRule="auto"/>
        <w:tabs>
          <w:tab w:leader="none" w:pos="258"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3" w:lineRule="exact"/>
        <w:rPr>
          <w:rFonts w:ascii="Arial" w:cs="Arial" w:eastAsia="Arial" w:hAnsi="Arial"/>
          <w:sz w:val="13"/>
          <w:szCs w:val="13"/>
          <w:color w:val="auto"/>
        </w:rPr>
      </w:pPr>
    </w:p>
    <w:p>
      <w:pPr>
        <w:ind w:left="260" w:right="180" w:hanging="255"/>
        <w:spacing w:after="0" w:line="321" w:lineRule="auto"/>
        <w:tabs>
          <w:tab w:leader="none" w:pos="255" w:val="left"/>
        </w:tabs>
        <w:numPr>
          <w:ilvl w:val="0"/>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Arial" w:cs="Arial" w:eastAsia="Arial" w:hAnsi="Arial"/>
          <w:sz w:val="13"/>
          <w:szCs w:val="13"/>
          <w:color w:val="auto"/>
        </w:rPr>
      </w:pPr>
    </w:p>
    <w:p>
      <w:pPr>
        <w:ind w:left="260" w:right="100" w:hanging="255"/>
        <w:spacing w:after="0" w:line="281" w:lineRule="auto"/>
        <w:tabs>
          <w:tab w:leader="none" w:pos="258" w:val="left"/>
        </w:tabs>
        <w:numPr>
          <w:ilvl w:val="0"/>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36" w:lineRule="exact"/>
        <w:rPr>
          <w:rFonts w:ascii="Arial" w:cs="Arial" w:eastAsia="Arial" w:hAnsi="Arial"/>
          <w:sz w:val="14"/>
          <w:szCs w:val="14"/>
          <w:color w:val="auto"/>
        </w:rPr>
      </w:pPr>
    </w:p>
    <w:p>
      <w:pPr>
        <w:ind w:left="260" w:right="140" w:hanging="255"/>
        <w:spacing w:after="0" w:line="321" w:lineRule="auto"/>
        <w:tabs>
          <w:tab w:leader="none" w:pos="255"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 w:lineRule="exact"/>
        <w:rPr>
          <w:sz w:val="20"/>
          <w:szCs w:val="20"/>
          <w:color w:val="auto"/>
        </w:rPr>
      </w:pPr>
    </w:p>
    <w:p>
      <w:pPr>
        <w:ind w:left="260" w:right="380" w:hanging="255"/>
        <w:spacing w:after="0" w:line="281"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37" w:lineRule="exact"/>
        <w:rPr>
          <w:sz w:val="20"/>
          <w:szCs w:val="20"/>
          <w:color w:val="auto"/>
        </w:rPr>
      </w:pPr>
    </w:p>
    <w:p>
      <w:pPr>
        <w:ind w:left="260" w:right="80" w:hanging="255"/>
        <w:spacing w:after="0" w:line="281" w:lineRule="auto"/>
        <w:tabs>
          <w:tab w:leader="none" w:pos="258"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Arial" w:cs="Arial" w:eastAsia="Arial" w:hAnsi="Arial"/>
          <w:sz w:val="14"/>
          <w:szCs w:val="14"/>
          <w:color w:val="auto"/>
        </w:rPr>
      </w:pPr>
    </w:p>
    <w:p>
      <w:pPr>
        <w:ind w:left="260" w:hanging="255"/>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660" w:type="dxa"/>
            <w:vAlign w:val="bottom"/>
          </w:tcPr>
          <w:p>
            <w:pPr>
              <w:spacing w:after="0"/>
              <w:rPr>
                <w:sz w:val="20"/>
                <w:szCs w:val="20"/>
                <w:color w:val="auto"/>
              </w:rPr>
            </w:pPr>
            <w:r>
              <w:rPr>
                <w:rFonts w:ascii="Arial" w:cs="Arial" w:eastAsia="Arial" w:hAnsi="Arial"/>
                <w:sz w:val="14"/>
                <w:szCs w:val="14"/>
                <w:color w:val="auto"/>
              </w:rPr>
              <w:t>Date:</w:t>
            </w:r>
          </w:p>
        </w:tc>
        <w:tc>
          <w:tcPr>
            <w:tcW w:w="2960" w:type="dxa"/>
            <w:vAlign w:val="bottom"/>
          </w:tcPr>
          <w:p>
            <w:pPr>
              <w:ind w:left="360"/>
              <w:spacing w:after="0"/>
              <w:rPr>
                <w:sz w:val="20"/>
                <w:szCs w:val="20"/>
                <w:color w:val="auto"/>
              </w:rPr>
            </w:pPr>
            <w:r>
              <w:rPr>
                <w:rFonts w:ascii="Arial" w:cs="Arial" w:eastAsia="Arial" w:hAnsi="Arial"/>
                <w:sz w:val="14"/>
                <w:szCs w:val="14"/>
                <w:color w:val="auto"/>
              </w:rPr>
              <w:t>November 9, 2023</w:t>
            </w:r>
          </w:p>
        </w:tc>
        <w:tc>
          <w:tcPr>
            <w:tcW w:w="2260" w:type="dxa"/>
            <w:vAlign w:val="bottom"/>
          </w:tcPr>
          <w:p>
            <w:pPr>
              <w:ind w:left="1560"/>
              <w:spacing w:after="0"/>
              <w:rPr>
                <w:sz w:val="20"/>
                <w:szCs w:val="20"/>
                <w:color w:val="auto"/>
              </w:rPr>
            </w:pPr>
            <w:r>
              <w:rPr>
                <w:rFonts w:ascii="Arial" w:cs="Arial" w:eastAsia="Arial" w:hAnsi="Arial"/>
                <w:sz w:val="14"/>
                <w:szCs w:val="14"/>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John Collins</w:t>
            </w:r>
          </w:p>
        </w:tc>
      </w:tr>
      <w:tr>
        <w:trPr>
          <w:trHeight w:val="171"/>
        </w:trPr>
        <w:tc>
          <w:tcPr>
            <w:tcW w:w="6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60" w:type="dxa"/>
            <w:vAlign w:val="bottom"/>
          </w:tcPr>
          <w:p>
            <w:pPr>
              <w:ind w:left="1560"/>
              <w:spacing w:after="0"/>
              <w:rPr>
                <w:sz w:val="20"/>
                <w:szCs w:val="20"/>
                <w:color w:val="auto"/>
              </w:rPr>
            </w:pPr>
            <w:r>
              <w:rPr>
                <w:rFonts w:ascii="Arial" w:cs="Arial" w:eastAsia="Arial" w:hAnsi="Arial"/>
                <w:sz w:val="14"/>
                <w:szCs w:val="14"/>
                <w:color w:val="auto"/>
              </w:rPr>
              <w:t>Name:</w:t>
            </w:r>
          </w:p>
        </w:tc>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John Collins</w:t>
            </w:r>
          </w:p>
        </w:tc>
      </w:tr>
      <w:tr>
        <w:trPr>
          <w:trHeight w:val="180"/>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60" w:type="dxa"/>
            <w:vAlign w:val="bottom"/>
          </w:tcPr>
          <w:p>
            <w:pPr>
              <w:ind w:left="1560"/>
              <w:spacing w:after="0"/>
              <w:rPr>
                <w:sz w:val="20"/>
                <w:szCs w:val="20"/>
                <w:color w:val="auto"/>
              </w:rPr>
            </w:pPr>
            <w:r>
              <w:rPr>
                <w:rFonts w:ascii="Arial" w:cs="Arial" w:eastAsia="Arial" w:hAnsi="Arial"/>
                <w:sz w:val="14"/>
                <w:szCs w:val="14"/>
                <w:color w:val="auto"/>
              </w:rPr>
              <w:t>Title:</w:t>
            </w:r>
          </w:p>
        </w:tc>
        <w:tc>
          <w:tcPr>
            <w:tcW w:w="5220" w:type="dxa"/>
            <w:vAlign w:val="bottom"/>
          </w:tcPr>
          <w:p>
            <w:pPr>
              <w:ind w:left="20"/>
              <w:spacing w:after="0"/>
              <w:rPr>
                <w:sz w:val="20"/>
                <w:szCs w:val="20"/>
                <w:color w:val="auto"/>
              </w:rPr>
            </w:pPr>
            <w:r>
              <w:rPr>
                <w:rFonts w:ascii="Arial" w:cs="Arial" w:eastAsia="Arial" w:hAnsi="Arial"/>
                <w:sz w:val="14"/>
                <w:szCs w:val="14"/>
                <w:color w:val="auto"/>
                <w:w w:val="97"/>
              </w:rPr>
              <w:t>Interim Chief Executive Officer and Chief Financial Officer (Principal Executive Officer</w:t>
            </w:r>
          </w:p>
        </w:tc>
      </w:tr>
      <w:tr>
        <w:trPr>
          <w:trHeight w:val="180"/>
        </w:trPr>
        <w:tc>
          <w:tcPr>
            <w:tcW w:w="66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220" w:type="dxa"/>
            <w:vAlign w:val="bottom"/>
          </w:tcPr>
          <w:p>
            <w:pPr>
              <w:ind w:left="20"/>
              <w:spacing w:after="0"/>
              <w:rPr>
                <w:sz w:val="20"/>
                <w:szCs w:val="20"/>
                <w:color w:val="auto"/>
              </w:rPr>
            </w:pPr>
            <w:r>
              <w:rPr>
                <w:rFonts w:ascii="Arial" w:cs="Arial" w:eastAsia="Arial" w:hAnsi="Arial"/>
                <w:sz w:val="14"/>
                <w:szCs w:val="14"/>
                <w:color w:val="auto"/>
              </w:rPr>
              <w:t>and Principal Financial Officer)</w:t>
            </w:r>
          </w:p>
        </w:tc>
      </w:tr>
    </w:tbl>
    <w:p>
      <w:pPr>
        <w:sectPr>
          <w:pgSz w:w="11900" w:h="16838" w:orient="portrait"/>
          <w:cols w:equalWidth="0" w:num="1">
            <w:col w:w="11280"/>
          </w:cols>
          <w:pgMar w:left="300" w:top="129" w:right="319" w:bottom="1440" w:gutter="0" w:footer="0" w:header="0"/>
        </w:sectPr>
      </w:pPr>
    </w:p>
    <w:bookmarkStart w:id="74" w:name="page75"/>
    <w:bookmarkEnd w:id="74"/>
    <w:p>
      <w:pPr>
        <w:jc w:val="right"/>
        <w:spacing w:after="0"/>
        <w:rPr>
          <w:sz w:val="20"/>
          <w:szCs w:val="20"/>
          <w:color w:val="auto"/>
        </w:rPr>
      </w:pPr>
      <w:r>
        <w:rPr>
          <w:rFonts w:ascii="Arial" w:cs="Arial" w:eastAsia="Arial" w:hAnsi="Arial"/>
          <w:sz w:val="14"/>
          <w:szCs w:val="14"/>
          <w:u w:val="single" w:color="auto"/>
          <w:color w:val="auto"/>
        </w:rPr>
        <w:t>Exhibit 32.1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CERTIFICATION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SECTION 906 OF THE SARBANES-OXLEY ACT OF 2002</w:t>
      </w:r>
    </w:p>
    <w:p>
      <w:pPr>
        <w:spacing w:after="0" w:line="83"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I, John Collins, Interim Chief Executive Officer and Chief Financial Officer of LivePerson, Inc. (the “Company”), certify, pursuant to 18 U.S.C. Section 1350, as adopted pursuant to Section 906 of the Sarbanes-Oxley Act of 2002, that:</w:t>
      </w:r>
    </w:p>
    <w:p>
      <w:pPr>
        <w:spacing w:after="0" w:line="37" w:lineRule="exact"/>
        <w:rPr>
          <w:sz w:val="20"/>
          <w:szCs w:val="20"/>
          <w:color w:val="auto"/>
        </w:rPr>
      </w:pPr>
    </w:p>
    <w:p>
      <w:pPr>
        <w:ind w:left="520" w:right="80" w:hanging="260"/>
        <w:spacing w:after="0" w:line="281" w:lineRule="auto"/>
        <w:tabs>
          <w:tab w:leader="none" w:pos="515"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Quarterly Report of the Company on Form 10-Q for the period ended September 30, 2023, as filed with the Securities and Exchange Commission (the “Report”), fully complies with the requirements of Section 13(a) or 15(d) of the Securities Exchange Act of 1934; and</w:t>
      </w:r>
    </w:p>
    <w:p>
      <w:pPr>
        <w:spacing w:after="0" w:line="26" w:lineRule="exact"/>
        <w:rPr>
          <w:rFonts w:ascii="Arial" w:cs="Arial" w:eastAsia="Arial" w:hAnsi="Arial"/>
          <w:sz w:val="14"/>
          <w:szCs w:val="14"/>
          <w:color w:val="auto"/>
        </w:rPr>
      </w:pPr>
    </w:p>
    <w:p>
      <w:pPr>
        <w:ind w:left="500" w:hanging="240"/>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15" w:lineRule="exact"/>
        <w:rPr>
          <w:sz w:val="20"/>
          <w:szCs w:val="20"/>
          <w:color w:val="auto"/>
        </w:rPr>
      </w:pPr>
    </w:p>
    <w:tbl>
      <w:tblPr>
        <w:tblLayout w:type="fixed"/>
        <w:tblInd w:w="140" w:type="dxa"/>
        <w:tblCellMar>
          <w:top w:w="0" w:type="dxa"/>
          <w:left w:w="0" w:type="dxa"/>
          <w:bottom w:w="0" w:type="dxa"/>
          <w:right w:w="0" w:type="dxa"/>
        </w:tblCellMar>
      </w:tblPr>
      <w:tr>
        <w:trPr>
          <w:trHeight w:val="180"/>
        </w:trPr>
        <w:tc>
          <w:tcPr>
            <w:tcW w:w="680" w:type="dxa"/>
            <w:vAlign w:val="bottom"/>
          </w:tcPr>
          <w:p>
            <w:pPr>
              <w:spacing w:after="0"/>
              <w:rPr>
                <w:sz w:val="20"/>
                <w:szCs w:val="20"/>
                <w:color w:val="auto"/>
              </w:rPr>
            </w:pPr>
            <w:r>
              <w:rPr>
                <w:rFonts w:ascii="Arial" w:cs="Arial" w:eastAsia="Arial" w:hAnsi="Arial"/>
                <w:sz w:val="14"/>
                <w:szCs w:val="14"/>
                <w:color w:val="auto"/>
              </w:rPr>
              <w:t>Date:</w:t>
            </w:r>
          </w:p>
        </w:tc>
        <w:tc>
          <w:tcPr>
            <w:tcW w:w="3140" w:type="dxa"/>
            <w:vAlign w:val="bottom"/>
          </w:tcPr>
          <w:p>
            <w:pPr>
              <w:ind w:left="360"/>
              <w:spacing w:after="0"/>
              <w:rPr>
                <w:sz w:val="20"/>
                <w:szCs w:val="20"/>
                <w:color w:val="auto"/>
              </w:rPr>
            </w:pPr>
            <w:r>
              <w:rPr>
                <w:rFonts w:ascii="Arial" w:cs="Arial" w:eastAsia="Arial" w:hAnsi="Arial"/>
                <w:sz w:val="14"/>
                <w:szCs w:val="14"/>
                <w:color w:val="auto"/>
              </w:rPr>
              <w:t>November 9, 2023</w:t>
            </w:r>
          </w:p>
        </w:tc>
        <w:tc>
          <w:tcPr>
            <w:tcW w:w="2440" w:type="dxa"/>
            <w:vAlign w:val="bottom"/>
          </w:tcPr>
          <w:p>
            <w:pPr>
              <w:ind w:left="1720"/>
              <w:spacing w:after="0"/>
              <w:rPr>
                <w:sz w:val="20"/>
                <w:szCs w:val="20"/>
                <w:color w:val="auto"/>
              </w:rPr>
            </w:pPr>
            <w:r>
              <w:rPr>
                <w:rFonts w:ascii="Arial" w:cs="Arial" w:eastAsia="Arial" w:hAnsi="Arial"/>
                <w:sz w:val="14"/>
                <w:szCs w:val="14"/>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John Collins</w:t>
            </w:r>
          </w:p>
        </w:tc>
      </w:tr>
      <w:tr>
        <w:trPr>
          <w:trHeight w:val="171"/>
        </w:trPr>
        <w:tc>
          <w:tcPr>
            <w:tcW w:w="6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40" w:type="dxa"/>
            <w:vAlign w:val="bottom"/>
          </w:tcPr>
          <w:p>
            <w:pPr>
              <w:ind w:left="1720"/>
              <w:spacing w:after="0"/>
              <w:rPr>
                <w:sz w:val="20"/>
                <w:szCs w:val="20"/>
                <w:color w:val="auto"/>
              </w:rPr>
            </w:pPr>
            <w:r>
              <w:rPr>
                <w:rFonts w:ascii="Arial" w:cs="Arial" w:eastAsia="Arial" w:hAnsi="Arial"/>
                <w:sz w:val="14"/>
                <w:szCs w:val="14"/>
                <w:color w:val="auto"/>
              </w:rPr>
              <w:t>Name:</w:t>
            </w:r>
          </w:p>
        </w:tc>
        <w:tc>
          <w:tcPr>
            <w:tcW w:w="4760" w:type="dxa"/>
            <w:vAlign w:val="bottom"/>
          </w:tcPr>
          <w:p>
            <w:pPr>
              <w:spacing w:after="0"/>
              <w:rPr>
                <w:sz w:val="20"/>
                <w:szCs w:val="20"/>
                <w:color w:val="auto"/>
              </w:rPr>
            </w:pPr>
            <w:r>
              <w:rPr>
                <w:rFonts w:ascii="Arial" w:cs="Arial" w:eastAsia="Arial" w:hAnsi="Arial"/>
                <w:sz w:val="14"/>
                <w:szCs w:val="14"/>
                <w:b w:val="1"/>
                <w:bCs w:val="1"/>
                <w:color w:val="auto"/>
              </w:rPr>
              <w:t>John Collins</w:t>
            </w:r>
          </w:p>
        </w:tc>
      </w:tr>
      <w:tr>
        <w:trPr>
          <w:trHeight w:val="180"/>
        </w:trPr>
        <w:tc>
          <w:tcPr>
            <w:tcW w:w="6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40" w:type="dxa"/>
            <w:vAlign w:val="bottom"/>
          </w:tcPr>
          <w:p>
            <w:pPr>
              <w:ind w:left="1720"/>
              <w:spacing w:after="0"/>
              <w:rPr>
                <w:sz w:val="20"/>
                <w:szCs w:val="20"/>
                <w:color w:val="auto"/>
              </w:rPr>
            </w:pPr>
            <w:r>
              <w:rPr>
                <w:rFonts w:ascii="Arial" w:cs="Arial" w:eastAsia="Arial" w:hAnsi="Arial"/>
                <w:sz w:val="14"/>
                <w:szCs w:val="14"/>
                <w:color w:val="auto"/>
              </w:rPr>
              <w:t>Title:</w:t>
            </w:r>
          </w:p>
        </w:tc>
        <w:tc>
          <w:tcPr>
            <w:tcW w:w="4760" w:type="dxa"/>
            <w:vAlign w:val="bottom"/>
          </w:tcPr>
          <w:p>
            <w:pPr>
              <w:spacing w:after="0"/>
              <w:rPr>
                <w:sz w:val="20"/>
                <w:szCs w:val="20"/>
                <w:color w:val="auto"/>
              </w:rPr>
            </w:pPr>
            <w:r>
              <w:rPr>
                <w:rFonts w:ascii="Arial" w:cs="Arial" w:eastAsia="Arial" w:hAnsi="Arial"/>
                <w:sz w:val="14"/>
                <w:szCs w:val="14"/>
                <w:color w:val="auto"/>
                <w:w w:val="97"/>
              </w:rPr>
              <w:t>Interim Chief Executive Officer and Chief Financial Officer (Principal Executive</w:t>
            </w:r>
          </w:p>
        </w:tc>
      </w:tr>
      <w:tr>
        <w:trPr>
          <w:trHeight w:val="180"/>
        </w:trPr>
        <w:tc>
          <w:tcPr>
            <w:tcW w:w="68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760" w:type="dxa"/>
            <w:vAlign w:val="bottom"/>
          </w:tcPr>
          <w:p>
            <w:pPr>
              <w:spacing w:after="0"/>
              <w:rPr>
                <w:sz w:val="20"/>
                <w:szCs w:val="20"/>
                <w:color w:val="auto"/>
              </w:rPr>
            </w:pPr>
            <w:r>
              <w:rPr>
                <w:rFonts w:ascii="Arial" w:cs="Arial" w:eastAsia="Arial" w:hAnsi="Arial"/>
                <w:sz w:val="14"/>
                <w:szCs w:val="14"/>
                <w:color w:val="auto"/>
              </w:rPr>
              <w:t>Officer and Principal Financial Officer)</w:t>
            </w:r>
          </w:p>
        </w:tc>
      </w:tr>
    </w:tbl>
    <w:p>
      <w:pPr>
        <w:spacing w:after="0" w:line="149" w:lineRule="exact"/>
        <w:rPr>
          <w:sz w:val="20"/>
          <w:szCs w:val="20"/>
          <w:color w:val="auto"/>
        </w:rPr>
      </w:pPr>
    </w:p>
    <w:p>
      <w:pPr>
        <w:ind w:right="420"/>
        <w:spacing w:after="0" w:line="368" w:lineRule="auto"/>
        <w:rPr>
          <w:sz w:val="20"/>
          <w:szCs w:val="20"/>
          <w:color w:val="auto"/>
        </w:rPr>
      </w:pPr>
      <w:r>
        <w:rPr>
          <w:rFonts w:ascii="Arial" w:cs="Arial" w:eastAsia="Arial" w:hAnsi="Arial"/>
          <w:sz w:val="12"/>
          <w:szCs w:val="12"/>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80"/>
      </w:cols>
      <w:pgMar w:left="30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
      <w:numFmt w:val="bullet"/>
      <w:start w:val="1"/>
    </w:lvl>
    <w:lvl w:ilvl="1">
      <w:lvlJc w:val="left"/>
      <w:lvlText w:val="%2"/>
      <w:numFmt w:val="decimal"/>
      <w:start w:val="104"/>
    </w:lvl>
  </w:abstractNum>
  <w:abstractNum w:abstractNumId="16">
    <w:nsid w:val="257130A3"/>
    <w:multiLevelType w:val="hybridMultilevel"/>
    <w:lvl w:ilvl="0">
      <w:lvlJc w:val="left"/>
      <w:lvlText w:val="**"/>
      <w:numFmt w:val="bullet"/>
      <w:start w:val="1"/>
    </w:lvl>
    <w:lvl w:ilvl="1">
      <w:lvlJc w:val="left"/>
      <w:lvlText w:val="%2"/>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73" Type="http://schemas.openxmlformats.org/officeDocument/2006/relationships/hyperlink" Target="https://www.sec.gov/Archives/edgar/data/1102993/000121390023056490/ea181703ex10-1_liveperson.htm" TargetMode="External"/><Relationship Id="rId74" Type="http://schemas.openxmlformats.org/officeDocument/2006/relationships/hyperlink" Target="https://www.sec.gov/Archives/edgar/data/1102993/000121390023064603/ea183078ex10-1_livepers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2023-11-09T16:41:19Z</dcterms:created>
  <dcterms:modified xsi:type="dcterms:W3CDTF">2023-11-09T16:41:19Z</dcterms:modified>
</cp:coreProperties>
</file>