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80" w:right="1880" w:hanging="3872"/>
        <w:spacing w:after="0" w:line="266" w:lineRule="auto"/>
        <w:tabs>
          <w:tab w:leader="none" w:pos="21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520" w:right="1860" w:hanging="2512"/>
        <w:spacing w:after="0" w:line="312" w:lineRule="auto"/>
        <w:tabs>
          <w:tab w:leader="none" w:pos="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____________________ to ____________________</w:t>
      </w:r>
    </w:p>
    <w:p>
      <w:pPr>
        <w:spacing w:after="0" w:line="16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000-30141</w:t>
      </w:r>
    </w:p>
    <w:p>
      <w:pPr>
        <w:spacing w:after="0" w:line="158"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6" w:lineRule="exact"/>
        <w:rPr>
          <w:sz w:val="24"/>
          <w:szCs w:val="24"/>
          <w:color w:val="auto"/>
        </w:rPr>
      </w:pPr>
    </w:p>
    <w:tbl>
      <w:tblPr>
        <w:tblLayout w:type="fixed"/>
        <w:tblInd w:w="960" w:type="dxa"/>
        <w:tblCellMar>
          <w:top w:w="0" w:type="dxa"/>
          <w:left w:w="0" w:type="dxa"/>
          <w:bottom w:w="0" w:type="dxa"/>
          <w:right w:w="0" w:type="dxa"/>
        </w:tblCellMar>
      </w:tblPr>
      <w:tr>
        <w:trPr>
          <w:trHeight w:val="237"/>
        </w:trPr>
        <w:tc>
          <w:tcPr>
            <w:tcW w:w="4080" w:type="dxa"/>
            <w:vAlign w:val="bottom"/>
          </w:tcPr>
          <w:p>
            <w:pPr>
              <w:jc w:val="center"/>
              <w:ind w:left="54"/>
              <w:spacing w:after="0"/>
              <w:rPr>
                <w:sz w:val="20"/>
                <w:szCs w:val="20"/>
                <w:color w:val="auto"/>
              </w:rPr>
            </w:pPr>
            <w:r>
              <w:rPr>
                <w:rFonts w:ascii="Arial" w:cs="Arial" w:eastAsia="Arial" w:hAnsi="Arial"/>
                <w:sz w:val="18"/>
                <w:szCs w:val="18"/>
                <w:color w:val="auto"/>
                <w:w w:val="92"/>
              </w:rPr>
              <w:t>Delaware</w:t>
            </w:r>
          </w:p>
        </w:tc>
        <w:tc>
          <w:tcPr>
            <w:tcW w:w="5240" w:type="dxa"/>
            <w:vAlign w:val="bottom"/>
            <w:gridSpan w:val="3"/>
          </w:tcPr>
          <w:p>
            <w:pPr>
              <w:jc w:val="right"/>
              <w:ind w:right="1599"/>
              <w:spacing w:after="0"/>
              <w:rPr>
                <w:sz w:val="20"/>
                <w:szCs w:val="20"/>
                <w:color w:val="auto"/>
              </w:rPr>
            </w:pPr>
            <w:r>
              <w:rPr>
                <w:rFonts w:ascii="Arial" w:cs="Arial" w:eastAsia="Arial" w:hAnsi="Arial"/>
                <w:sz w:val="18"/>
                <w:szCs w:val="18"/>
                <w:color w:val="auto"/>
              </w:rPr>
              <w:t>13-3861628</w:t>
            </w:r>
          </w:p>
        </w:tc>
      </w:tr>
      <w:tr>
        <w:trPr>
          <w:trHeight w:val="237"/>
        </w:trPr>
        <w:tc>
          <w:tcPr>
            <w:tcW w:w="4080" w:type="dxa"/>
            <w:vAlign w:val="bottom"/>
            <w:tcBorders>
              <w:top w:val="single" w:sz="8" w:color="auto"/>
            </w:tcBorders>
          </w:tcPr>
          <w:p>
            <w:pPr>
              <w:jc w:val="center"/>
              <w:ind w:left="54"/>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14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(IRS Employer Identification No.)</w:t>
            </w:r>
          </w:p>
        </w:tc>
      </w:tr>
      <w:tr>
        <w:trPr>
          <w:trHeight w:val="371"/>
        </w:trPr>
        <w:tc>
          <w:tcPr>
            <w:tcW w:w="4080" w:type="dxa"/>
            <w:vAlign w:val="bottom"/>
          </w:tcPr>
          <w:p>
            <w:pPr>
              <w:jc w:val="center"/>
              <w:ind w:left="54"/>
              <w:spacing w:after="0"/>
              <w:rPr>
                <w:sz w:val="20"/>
                <w:szCs w:val="20"/>
                <w:color w:val="auto"/>
              </w:rPr>
            </w:pPr>
            <w:r>
              <w:rPr>
                <w:rFonts w:ascii="Arial" w:cs="Arial" w:eastAsia="Arial" w:hAnsi="Arial"/>
                <w:sz w:val="18"/>
                <w:szCs w:val="18"/>
                <w:color w:val="auto"/>
                <w:w w:val="93"/>
              </w:rPr>
              <w:t>530 7th Ave, Floor M1</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50"/>
        </w:trPr>
        <w:tc>
          <w:tcPr>
            <w:tcW w:w="4080" w:type="dxa"/>
            <w:vAlign w:val="bottom"/>
          </w:tcPr>
          <w:p>
            <w:pPr>
              <w:jc w:val="center"/>
              <w:ind w:left="74"/>
              <w:spacing w:after="0"/>
              <w:rPr>
                <w:sz w:val="20"/>
                <w:szCs w:val="20"/>
                <w:color w:val="auto"/>
              </w:rPr>
            </w:pPr>
            <w:r>
              <w:rPr>
                <w:rFonts w:ascii="Arial" w:cs="Arial" w:eastAsia="Arial" w:hAnsi="Arial"/>
                <w:sz w:val="18"/>
                <w:szCs w:val="18"/>
                <w:color w:val="auto"/>
                <w:w w:val="93"/>
              </w:rPr>
              <w:t>New York, New York</w:t>
            </w:r>
          </w:p>
        </w:tc>
        <w:tc>
          <w:tcPr>
            <w:tcW w:w="5240" w:type="dxa"/>
            <w:vAlign w:val="bottom"/>
            <w:gridSpan w:val="3"/>
          </w:tcPr>
          <w:p>
            <w:pPr>
              <w:jc w:val="right"/>
              <w:ind w:right="1819"/>
              <w:spacing w:after="0"/>
              <w:rPr>
                <w:sz w:val="20"/>
                <w:szCs w:val="20"/>
                <w:color w:val="auto"/>
              </w:rPr>
            </w:pPr>
            <w:r>
              <w:rPr>
                <w:rFonts w:ascii="Arial" w:cs="Arial" w:eastAsia="Arial" w:hAnsi="Arial"/>
                <w:sz w:val="18"/>
                <w:szCs w:val="18"/>
                <w:color w:val="auto"/>
              </w:rPr>
              <w:t>10018</w:t>
            </w:r>
          </w:p>
        </w:tc>
      </w:tr>
      <w:tr>
        <w:trPr>
          <w:trHeight w:val="237"/>
        </w:trPr>
        <w:tc>
          <w:tcPr>
            <w:tcW w:w="4080" w:type="dxa"/>
            <w:vAlign w:val="bottom"/>
            <w:tcBorders>
              <w:top w:val="single" w:sz="8" w:color="auto"/>
            </w:tcBorders>
          </w:tcPr>
          <w:p>
            <w:pPr>
              <w:jc w:val="center"/>
              <w:ind w:left="54"/>
              <w:spacing w:after="0"/>
              <w:rPr>
                <w:sz w:val="20"/>
                <w:szCs w:val="20"/>
                <w:color w:val="auto"/>
              </w:rPr>
            </w:pPr>
            <w:r>
              <w:rPr>
                <w:rFonts w:ascii="Arial" w:cs="Arial" w:eastAsia="Arial" w:hAnsi="Arial"/>
                <w:sz w:val="16"/>
                <w:szCs w:val="16"/>
                <w:color w:val="auto"/>
                <w:w w:val="94"/>
              </w:rPr>
              <w:t>(Address of principal executive offices)</w:t>
            </w:r>
          </w:p>
        </w:tc>
        <w:tc>
          <w:tcPr>
            <w:tcW w:w="14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(Zip Code)</w:t>
            </w:r>
          </w:p>
        </w:tc>
      </w:tr>
      <w:tr>
        <w:trPr>
          <w:trHeight w:val="411"/>
        </w:trPr>
        <w:tc>
          <w:tcPr>
            <w:tcW w:w="4080" w:type="dxa"/>
            <w:vAlign w:val="bottom"/>
          </w:tcPr>
          <w:p>
            <w:pPr>
              <w:spacing w:after="0"/>
              <w:rPr>
                <w:sz w:val="24"/>
                <w:szCs w:val="24"/>
                <w:color w:val="auto"/>
              </w:rPr>
            </w:pPr>
          </w:p>
        </w:tc>
        <w:tc>
          <w:tcPr>
            <w:tcW w:w="5240" w:type="dxa"/>
            <w:vAlign w:val="bottom"/>
            <w:gridSpan w:val="3"/>
          </w:tcPr>
          <w:p>
            <w:pPr>
              <w:jc w:val="right"/>
              <w:ind w:right="4019"/>
              <w:spacing w:after="0"/>
              <w:rPr>
                <w:sz w:val="20"/>
                <w:szCs w:val="20"/>
                <w:color w:val="auto"/>
              </w:rPr>
            </w:pPr>
            <w:r>
              <w:rPr>
                <w:rFonts w:ascii="Arial" w:cs="Arial" w:eastAsia="Arial" w:hAnsi="Arial"/>
                <w:sz w:val="18"/>
                <w:szCs w:val="18"/>
                <w:color w:val="auto"/>
                <w:w w:val="90"/>
              </w:rPr>
              <w:t>(212) 609-4200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1"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34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16"/>
                <w:szCs w:val="16"/>
                <w:color w:val="auto"/>
                <w:w w:val="92"/>
              </w:rPr>
              <w:t>Title of each class</w:t>
            </w:r>
          </w:p>
        </w:tc>
        <w:tc>
          <w:tcPr>
            <w:tcW w:w="2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240" w:type="dxa"/>
            <w:vAlign w:val="bottom"/>
            <w:tcBorders>
              <w:top w:val="single" w:sz="8" w:color="auto"/>
              <w:bottom w:val="single" w:sz="8" w:color="auto"/>
            </w:tcBorders>
          </w:tcPr>
          <w:p>
            <w:pPr>
              <w:jc w:val="center"/>
              <w:ind w:left="75"/>
              <w:spacing w:after="0"/>
              <w:rPr>
                <w:sz w:val="20"/>
                <w:szCs w:val="20"/>
                <w:color w:val="auto"/>
              </w:rPr>
            </w:pPr>
            <w:r>
              <w:rPr>
                <w:rFonts w:ascii="Arial" w:cs="Arial" w:eastAsia="Arial" w:hAnsi="Arial"/>
                <w:sz w:val="16"/>
                <w:szCs w:val="16"/>
                <w:color w:val="auto"/>
                <w:w w:val="90"/>
              </w:rPr>
              <w:t>Name of each exchange on which registered</w:t>
            </w:r>
          </w:p>
        </w:tc>
      </w:tr>
      <w:tr>
        <w:trPr>
          <w:trHeight w:val="225"/>
        </w:trPr>
        <w:tc>
          <w:tcPr>
            <w:tcW w:w="4340" w:type="dxa"/>
            <w:vAlign w:val="bottom"/>
          </w:tcPr>
          <w:p>
            <w:pPr>
              <w:jc w:val="center"/>
              <w:ind w:right="95"/>
              <w:spacing w:after="0"/>
              <w:rPr>
                <w:sz w:val="20"/>
                <w:szCs w:val="20"/>
                <w:color w:val="auto"/>
              </w:rPr>
            </w:pPr>
            <w:r>
              <w:rPr>
                <w:rFonts w:ascii="Arial" w:cs="Arial" w:eastAsia="Arial" w:hAnsi="Arial"/>
                <w:sz w:val="18"/>
                <w:szCs w:val="18"/>
                <w:color w:val="auto"/>
                <w:w w:val="89"/>
              </w:rPr>
              <w:t>Common Stock, par value $0.001 per share</w:t>
            </w:r>
          </w:p>
        </w:tc>
        <w:tc>
          <w:tcPr>
            <w:tcW w:w="2660" w:type="dxa"/>
            <w:vAlign w:val="bottom"/>
          </w:tcPr>
          <w:p>
            <w:pPr>
              <w:jc w:val="center"/>
              <w:spacing w:after="0"/>
              <w:rPr>
                <w:sz w:val="20"/>
                <w:szCs w:val="20"/>
                <w:color w:val="auto"/>
              </w:rPr>
            </w:pPr>
            <w:r>
              <w:rPr>
                <w:rFonts w:ascii="Arial" w:cs="Arial" w:eastAsia="Arial" w:hAnsi="Arial"/>
                <w:sz w:val="18"/>
                <w:szCs w:val="18"/>
                <w:color w:val="auto"/>
                <w:w w:val="93"/>
              </w:rPr>
              <w:t>LPSN</w:t>
            </w:r>
          </w:p>
        </w:tc>
        <w:tc>
          <w:tcPr>
            <w:tcW w:w="4240" w:type="dxa"/>
            <w:vAlign w:val="bottom"/>
          </w:tcPr>
          <w:p>
            <w:pPr>
              <w:jc w:val="center"/>
              <w:ind w:left="55"/>
              <w:spacing w:after="0"/>
              <w:rPr>
                <w:sz w:val="20"/>
                <w:szCs w:val="20"/>
                <w:color w:val="auto"/>
              </w:rPr>
            </w:pPr>
            <w:r>
              <w:rPr>
                <w:rFonts w:ascii="Arial" w:cs="Arial" w:eastAsia="Arial" w:hAnsi="Arial"/>
                <w:sz w:val="18"/>
                <w:szCs w:val="18"/>
                <w:color w:val="auto"/>
                <w:w w:val="91"/>
              </w:rPr>
              <w:t>The Nasdaq Stock Market LLC</w:t>
            </w:r>
          </w:p>
        </w:tc>
      </w:tr>
    </w:tbl>
    <w:p>
      <w:pPr>
        <w:spacing w:after="0" w:line="322"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16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00" w:type="dxa"/>
            <w:vAlign w:val="bottom"/>
          </w:tcPr>
          <w:p>
            <w:pPr>
              <w:ind w:left="12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06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August 2, 2021, 69,765,416 shares of the registrant’s common stock were outstanding.</w:t>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80" w:type="dxa"/>
            <w:vAlign w:val="bottom"/>
            <w:gridSpan w:val="12"/>
            <w:vMerge w:val="restart"/>
          </w:tcPr>
          <w:p>
            <w:pPr>
              <w:jc w:val="center"/>
              <w:ind w:right="3280"/>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PART I. Financial Information</w:t>
              </w:r>
            </w:hyperlink>
          </w:p>
        </w:tc>
        <w:tc>
          <w:tcPr>
            <w:tcW w:w="10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80" w:type="dxa"/>
            <w:vAlign w:val="bottom"/>
            <w:gridSpan w:val="12"/>
            <w:vMerge w:val="continue"/>
          </w:tcPr>
          <w:p>
            <w:pPr>
              <w:spacing w:after="0"/>
              <w:rPr>
                <w:sz w:val="14"/>
                <w:szCs w:val="14"/>
                <w:color w:val="auto"/>
              </w:rPr>
            </w:pPr>
          </w:p>
        </w:tc>
        <w:tc>
          <w:tcPr>
            <w:tcW w:w="1000" w:type="dxa"/>
            <w:vAlign w:val="bottom"/>
            <w:gridSpan w:val="4"/>
          </w:tcPr>
          <w:p>
            <w:pPr>
              <w:jc w:val="right"/>
              <w:ind w:right="20"/>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000" w:type="dxa"/>
            <w:vAlign w:val="bottom"/>
            <w:gridSpan w:val="2"/>
            <w:shd w:val="clear" w:color="auto" w:fill="0000FF"/>
          </w:tcPr>
          <w:p>
            <w:pPr>
              <w:spacing w:after="0"/>
              <w:rPr>
                <w:sz w:val="2"/>
                <w:szCs w:val="2"/>
                <w:color w:val="auto"/>
              </w:rPr>
            </w:pPr>
          </w:p>
        </w:tc>
        <w:tc>
          <w:tcPr>
            <w:tcW w:w="2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80" w:type="dxa"/>
            <w:vAlign w:val="bottom"/>
            <w:gridSpan w:val="8"/>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Financial Statements (Unaudited):</w:t>
              </w:r>
            </w:hyperlink>
          </w:p>
        </w:tc>
        <w:tc>
          <w:tcPr>
            <w:tcW w:w="980" w:type="dxa"/>
            <w:vAlign w:val="bottom"/>
            <w:gridSpan w:val="3"/>
          </w:tcPr>
          <w:p>
            <w:pPr>
              <w:spacing w:after="0"/>
              <w:rPr>
                <w:sz w:val="24"/>
                <w:szCs w:val="24"/>
                <w:color w:val="auto"/>
              </w:rPr>
            </w:pPr>
          </w:p>
        </w:tc>
        <w:tc>
          <w:tcPr>
            <w:tcW w:w="3000" w:type="dxa"/>
            <w:vAlign w:val="bottom"/>
            <w:gridSpan w:val="9"/>
          </w:tcPr>
          <w:p>
            <w:pPr>
              <w:spacing w:after="0"/>
              <w:rPr>
                <w:sz w:val="24"/>
                <w:szCs w:val="24"/>
                <w:color w:val="auto"/>
              </w:rPr>
            </w:pPr>
          </w:p>
        </w:tc>
        <w:tc>
          <w:tcPr>
            <w:tcW w:w="2480" w:type="dxa"/>
            <w:vAlign w:val="bottom"/>
          </w:tcPr>
          <w:p>
            <w:pPr>
              <w:spacing w:after="0"/>
              <w:rPr>
                <w:sz w:val="24"/>
                <w:szCs w:val="24"/>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00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0" w:type="dxa"/>
            <w:vAlign w:val="bottom"/>
            <w:gridSpan w:val="20"/>
          </w:tcPr>
          <w:p>
            <w:pPr>
              <w:spacing w:after="0" w:line="156" w:lineRule="exact"/>
              <w:rPr>
                <w:sz w:val="20"/>
                <w:szCs w:val="20"/>
                <w:color w:val="auto"/>
              </w:rPr>
            </w:pPr>
            <w:r>
              <w:rPr>
                <w:rFonts w:ascii="Arial" w:cs="Arial" w:eastAsia="Arial" w:hAnsi="Arial"/>
                <w:sz w:val="18"/>
                <w:szCs w:val="18"/>
                <w:color w:val="auto"/>
              </w:rPr>
              <w:t>as of June 30, 2021 and December 31, 2020</w:t>
            </w:r>
          </w:p>
        </w:tc>
        <w:tc>
          <w:tcPr>
            <w:tcW w:w="10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6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auto"/>
                <w:w w:val="89"/>
              </w:rPr>
              <w:t>for the Three and Six Months Ended June 30, 2021</w:t>
            </w:r>
          </w:p>
        </w:tc>
        <w:tc>
          <w:tcPr>
            <w:tcW w:w="40" w:type="dxa"/>
            <w:vAlign w:val="bottom"/>
          </w:tcPr>
          <w:p>
            <w:pPr>
              <w:spacing w:after="0"/>
              <w:rPr>
                <w:sz w:val="13"/>
                <w:szCs w:val="13"/>
                <w:color w:val="auto"/>
              </w:rPr>
            </w:pPr>
          </w:p>
        </w:tc>
        <w:tc>
          <w:tcPr>
            <w:tcW w:w="4900" w:type="dxa"/>
            <w:vAlign w:val="bottom"/>
            <w:gridSpan w:val="8"/>
          </w:tcPr>
          <w:p>
            <w:pPr>
              <w:ind w:left="20"/>
              <w:spacing w:after="0" w:line="156" w:lineRule="exact"/>
              <w:rPr>
                <w:sz w:val="20"/>
                <w:szCs w:val="20"/>
                <w:color w:val="auto"/>
              </w:rPr>
            </w:pPr>
            <w:r>
              <w:rPr>
                <w:rFonts w:ascii="Arial" w:cs="Arial" w:eastAsia="Arial" w:hAnsi="Arial"/>
                <w:sz w:val="18"/>
                <w:szCs w:val="18"/>
                <w:color w:val="auto"/>
              </w:rPr>
              <w:t>and 2020</w:t>
            </w:r>
          </w:p>
        </w:tc>
        <w:tc>
          <w:tcPr>
            <w:tcW w:w="1000" w:type="dxa"/>
            <w:vAlign w:val="bottom"/>
            <w:gridSpan w:val="4"/>
          </w:tcPr>
          <w:p>
            <w:pPr>
              <w:jc w:val="right"/>
              <w:ind w:right="20"/>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0" w:type="dxa"/>
            <w:vAlign w:val="bottom"/>
            <w:gridSpan w:val="20"/>
            <w:vMerge w:val="restart"/>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Loss</w:t>
              </w:r>
            </w:hyperlink>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0" w:type="dxa"/>
            <w:vAlign w:val="bottom"/>
            <w:gridSpan w:val="20"/>
            <w:vMerge w:val="continue"/>
          </w:tcPr>
          <w:p>
            <w:pPr>
              <w:spacing w:after="0"/>
              <w:rPr>
                <w:sz w:val="24"/>
                <w:szCs w:val="24"/>
                <w:color w:val="auto"/>
              </w:rPr>
            </w:pPr>
          </w:p>
        </w:tc>
        <w:tc>
          <w:tcPr>
            <w:tcW w:w="100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38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auto"/>
                <w:w w:val="89"/>
              </w:rPr>
              <w:t>for the Three and Six Months Ended June 30, 2021 and 2020</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24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0" w:type="dxa"/>
            <w:vAlign w:val="bottom"/>
            <w:gridSpan w:val="20"/>
            <w:vMerge w:val="restart"/>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Equity</w:t>
              </w:r>
            </w:hyperlink>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0" w:type="dxa"/>
            <w:vAlign w:val="bottom"/>
            <w:gridSpan w:val="20"/>
            <w:vMerge w:val="continue"/>
          </w:tcPr>
          <w:p>
            <w:pPr>
              <w:spacing w:after="0"/>
              <w:rPr>
                <w:sz w:val="24"/>
                <w:szCs w:val="24"/>
                <w:color w:val="auto"/>
              </w:rPr>
            </w:pPr>
          </w:p>
        </w:tc>
        <w:tc>
          <w:tcPr>
            <w:tcW w:w="100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auto"/>
                <w:w w:val="89"/>
              </w:rPr>
              <w:t>for the Three and Six Months Ended June 30, 2021 and 2020</w:t>
            </w:r>
          </w:p>
        </w:tc>
        <w:tc>
          <w:tcPr>
            <w:tcW w:w="72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24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0" w:type="dxa"/>
            <w:vAlign w:val="bottom"/>
            <w:gridSpan w:val="20"/>
            <w:vMerge w:val="restart"/>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0" w:type="dxa"/>
            <w:vAlign w:val="bottom"/>
            <w:gridSpan w:val="20"/>
            <w:vMerge w:val="continue"/>
          </w:tcPr>
          <w:p>
            <w:pPr>
              <w:spacing w:after="0"/>
              <w:rPr>
                <w:sz w:val="24"/>
                <w:szCs w:val="24"/>
                <w:color w:val="auto"/>
              </w:rPr>
            </w:pPr>
          </w:p>
        </w:tc>
        <w:tc>
          <w:tcPr>
            <w:tcW w:w="1000" w:type="dxa"/>
            <w:vAlign w:val="bottom"/>
            <w:gridSpan w:val="4"/>
            <w:vMerge w:val="restart"/>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70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auto"/>
                <w:w w:val="91"/>
              </w:rPr>
              <w:t>for the Six Months Ended June 30, 2021 and 2020</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spacing w:after="0"/>
              <w:rPr>
                <w:sz w:val="13"/>
                <w:szCs w:val="13"/>
                <w:color w:val="auto"/>
              </w:rPr>
            </w:pPr>
          </w:p>
        </w:tc>
        <w:tc>
          <w:tcPr>
            <w:tcW w:w="1000" w:type="dxa"/>
            <w:vAlign w:val="bottom"/>
            <w:gridSpan w:val="2"/>
          </w:tcPr>
          <w:p>
            <w:pPr>
              <w:spacing w:after="0"/>
              <w:rPr>
                <w:sz w:val="13"/>
                <w:szCs w:val="13"/>
                <w:color w:val="auto"/>
              </w:rPr>
            </w:pPr>
          </w:p>
        </w:tc>
        <w:tc>
          <w:tcPr>
            <w:tcW w:w="24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0" w:type="dxa"/>
            <w:vAlign w:val="bottom"/>
            <w:gridSpan w:val="13"/>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4600" w:type="dxa"/>
            <w:vAlign w:val="bottom"/>
            <w:gridSpan w:val="7"/>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940" w:type="dxa"/>
            <w:vAlign w:val="bottom"/>
            <w:gridSpan w:val="2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98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Quantitative and Qualitative Disclosures about Market Risk</w:t>
              </w:r>
            </w:hyperlink>
          </w:p>
        </w:tc>
        <w:tc>
          <w:tcPr>
            <w:tcW w:w="2120" w:type="dxa"/>
            <w:vAlign w:val="bottom"/>
            <w:tcBorders>
              <w:top w:val="single" w:sz="8" w:color="0000FF"/>
            </w:tcBorders>
            <w:gridSpan w:val="6"/>
          </w:tcPr>
          <w:p>
            <w:pPr>
              <w:spacing w:after="0"/>
              <w:rPr>
                <w:sz w:val="24"/>
                <w:szCs w:val="24"/>
                <w:color w:val="auto"/>
              </w:rPr>
            </w:pPr>
          </w:p>
        </w:tc>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54">
              <w:r>
                <w:rPr>
                  <w:rFonts w:ascii="Arial" w:cs="Arial" w:eastAsia="Arial" w:hAnsi="Arial"/>
                  <w:sz w:val="18"/>
                  <w:szCs w:val="18"/>
                  <w:color w:val="0000FF"/>
                  <w:w w:val="88"/>
                </w:rPr>
                <w:t>Controls and Procedures</w:t>
              </w:r>
            </w:hyperlink>
          </w:p>
        </w:tc>
        <w:tc>
          <w:tcPr>
            <w:tcW w:w="716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11"/>
          </w:tcPr>
          <w:p>
            <w:pPr>
              <w:jc w:val="center"/>
              <w:ind w:right="3380"/>
              <w:spacing w:after="0"/>
              <w:rPr>
                <w:rFonts w:ascii="Arial" w:cs="Arial" w:eastAsia="Arial" w:hAnsi="Arial"/>
                <w:sz w:val="18"/>
                <w:szCs w:val="18"/>
                <w:color w:val="0000FF"/>
                <w:w w:val="93"/>
              </w:rPr>
            </w:pPr>
            <w:hyperlink w:anchor="page55">
              <w:r>
                <w:rPr>
                  <w:rFonts w:ascii="Arial" w:cs="Arial" w:eastAsia="Arial" w:hAnsi="Arial"/>
                  <w:sz w:val="18"/>
                  <w:szCs w:val="18"/>
                  <w:color w:val="0000FF"/>
                  <w:w w:val="93"/>
                </w:rPr>
                <w:t>PART II. Other Information</w:t>
              </w:r>
            </w:hyperlink>
          </w:p>
        </w:tc>
        <w:tc>
          <w:tcPr>
            <w:tcW w:w="98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60" w:type="dxa"/>
            <w:vAlign w:val="bottom"/>
            <w:gridSpan w:val="11"/>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Legal Proceedings</w:t>
              </w:r>
            </w:hyperlink>
          </w:p>
        </w:tc>
        <w:tc>
          <w:tcPr>
            <w:tcW w:w="2000" w:type="dxa"/>
            <w:vAlign w:val="bottom"/>
            <w:tcBorders>
              <w:top w:val="single" w:sz="8" w:color="0000FF"/>
            </w:tcBorders>
            <w:gridSpan w:val="7"/>
          </w:tcPr>
          <w:p>
            <w:pPr>
              <w:spacing w:after="0"/>
              <w:rPr>
                <w:sz w:val="24"/>
                <w:szCs w:val="24"/>
                <w:color w:val="auto"/>
              </w:rPr>
            </w:pPr>
          </w:p>
        </w:tc>
        <w:tc>
          <w:tcPr>
            <w:tcW w:w="348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Risk Factors</w:t>
              </w:r>
            </w:hyperlink>
          </w:p>
        </w:tc>
        <w:tc>
          <w:tcPr>
            <w:tcW w:w="420" w:type="dxa"/>
            <w:vAlign w:val="bottom"/>
            <w:tcBorders>
              <w:top w:val="single" w:sz="8" w:color="0000FF"/>
            </w:tcBorders>
            <w:gridSpan w:val="2"/>
          </w:tcPr>
          <w:p>
            <w:pPr>
              <w:spacing w:after="0"/>
              <w:rPr>
                <w:sz w:val="24"/>
                <w:szCs w:val="24"/>
                <w:color w:val="auto"/>
              </w:rPr>
            </w:pPr>
          </w:p>
        </w:tc>
        <w:tc>
          <w:tcPr>
            <w:tcW w:w="7600" w:type="dxa"/>
            <w:vAlign w:val="bottom"/>
            <w:gridSpan w:val="16"/>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Unregistered Sales of Equity Securities and Use of Proceeds</w:t>
              </w:r>
            </w:hyperlink>
          </w:p>
        </w:tc>
        <w:tc>
          <w:tcPr>
            <w:tcW w:w="458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Defaults Upon Senior Securities</w:t>
              </w:r>
            </w:hyperlink>
          </w:p>
        </w:tc>
        <w:tc>
          <w:tcPr>
            <w:tcW w:w="6600" w:type="dxa"/>
            <w:vAlign w:val="bottom"/>
            <w:gridSpan w:val="14"/>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Mine Safety Disclosures</w:t>
              </w:r>
            </w:hyperlink>
          </w:p>
        </w:tc>
        <w:tc>
          <w:tcPr>
            <w:tcW w:w="716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940" w:type="dxa"/>
            <w:vAlign w:val="bottom"/>
            <w:gridSpan w:val="21"/>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Other Information</w:t>
              </w:r>
            </w:hyperlink>
          </w:p>
        </w:tc>
        <w:tc>
          <w:tcPr>
            <w:tcW w:w="98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7620" w:type="dxa"/>
            <w:vAlign w:val="bottom"/>
            <w:gridSpan w:val="17"/>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Signatures</w:t>
              </w:r>
            </w:hyperlink>
          </w:p>
        </w:tc>
        <w:tc>
          <w:tcPr>
            <w:tcW w:w="3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93"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Statements in this Quarterly Report on Form 10-Q about LivePerson, Inc. (“LivePerson”)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management strategies and the COVID-19 pandemic. Many of these statements are found in the “Management’s Discussion and Analysis of Financial Condition and Results of Operations” section of this Form 10-Q. When used in this Form 10-Q, the words “estimates,” “expects,” “anticipates,” “projects,” “plans,” “intends,” “believes”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Form 10-Q include those set forth in our Annual Report on Form 10-K filed with the SEC on March 8, 2021 in the section entitled “Item 1A —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2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654,152</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Arial" w:cs="Arial" w:eastAsia="Arial" w:hAnsi="Arial"/>
                <w:sz w:val="16"/>
                <w:szCs w:val="16"/>
                <w:color w:val="auto"/>
                <w:w w:val="96"/>
              </w:rPr>
              <w:t>Accounts receivable, net of allowances of $5,837 and $5,344 as of June 30, 2021 and December 31, 2020, respectively</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89,807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80,423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14,236</w:t>
            </w:r>
          </w:p>
        </w:tc>
        <w:tc>
          <w:tcPr>
            <w:tcW w:w="0" w:type="dxa"/>
            <w:vAlign w:val="bottom"/>
          </w:tcPr>
          <w:p>
            <w:pPr>
              <w:spacing w:after="0"/>
              <w:rPr>
                <w:sz w:val="1"/>
                <w:szCs w:val="1"/>
                <w:color w:val="auto"/>
              </w:rPr>
            </w:pPr>
          </w:p>
        </w:tc>
      </w:tr>
      <w:tr>
        <w:trPr>
          <w:trHeight w:val="207"/>
        </w:trPr>
        <w:tc>
          <w:tcPr>
            <w:tcW w:w="8280" w:type="dxa"/>
            <w:vAlign w:val="bottom"/>
          </w:tcPr>
          <w:p>
            <w:pPr>
              <w:ind w:left="42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773,489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748,811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right of use assets (Note 9)</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Arial" w:cs="Arial" w:eastAsia="Arial" w:hAnsi="Arial"/>
                <w:sz w:val="16"/>
                <w:szCs w:val="16"/>
                <w:color w:val="auto"/>
              </w:rPr>
              <w:t>Property and equipment, net (Note 6)</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115,647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106,055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Contract acquisition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41,021</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Arial" w:cs="Arial" w:eastAsia="Arial" w:hAnsi="Arial"/>
                <w:sz w:val="16"/>
                <w:szCs w:val="16"/>
                <w:color w:val="auto"/>
              </w:rPr>
              <w:t>Intangibles, net (Note 5)</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10,927</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 (Note 5)</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95,192</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13"/>
        </w:trPr>
        <w:tc>
          <w:tcPr>
            <w:tcW w:w="828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1,043,757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1,006,432</w:t>
            </w:r>
          </w:p>
        </w:tc>
        <w:tc>
          <w:tcPr>
            <w:tcW w:w="0" w:type="dxa"/>
            <w:vAlign w:val="bottom"/>
          </w:tcPr>
          <w:p>
            <w:pPr>
              <w:spacing w:after="0"/>
              <w:rPr>
                <w:sz w:val="1"/>
                <w:szCs w:val="1"/>
                <w:color w:val="auto"/>
              </w:rPr>
            </w:pPr>
          </w:p>
        </w:tc>
      </w:tr>
      <w:tr>
        <w:trPr>
          <w:trHeight w:val="46"/>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8280" w:type="dxa"/>
            <w:vAlign w:val="bottom"/>
            <w:tcBorders>
              <w:top w:val="single" w:sz="8" w:color="CCEEFF"/>
            </w:tcBorders>
          </w:tcPr>
          <w:p>
            <w:pPr>
              <w:ind w:left="236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8,106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14,115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and other current liabilities (Note 7)</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99,870</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Arial" w:cs="Arial" w:eastAsia="Arial" w:hAnsi="Arial"/>
                <w:sz w:val="16"/>
                <w:szCs w:val="16"/>
                <w:color w:val="auto"/>
              </w:rPr>
              <w:t>Deferred revenue (Note 2)</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107,671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88,848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liability (Note 9)</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0" w:type="dxa"/>
            <w:vAlign w:val="bottom"/>
          </w:tcPr>
          <w:p>
            <w:pPr>
              <w:spacing w:after="0"/>
              <w:rPr>
                <w:sz w:val="1"/>
                <w:szCs w:val="1"/>
                <w:color w:val="auto"/>
              </w:rPr>
            </w:pPr>
          </w:p>
        </w:tc>
      </w:tr>
      <w:tr>
        <w:trPr>
          <w:trHeight w:val="206"/>
        </w:trPr>
        <w:tc>
          <w:tcPr>
            <w:tcW w:w="828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216,055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208,551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 net of current portion (Note 2)</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Arial" w:cs="Arial" w:eastAsia="Arial" w:hAnsi="Arial"/>
                <w:sz w:val="16"/>
                <w:szCs w:val="16"/>
                <w:color w:val="auto"/>
              </w:rPr>
              <w:t>Convertible senior notes, net (Note 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556,032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538,432</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liability, net of current portion (Note 9)</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Arial" w:cs="Arial" w:eastAsia="Arial" w:hAnsi="Arial"/>
                <w:sz w:val="16"/>
                <w:szCs w:val="16"/>
                <w:color w:val="auto"/>
              </w:rPr>
              <w:t>Deferred tax liability</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6,304</w:t>
            </w:r>
          </w:p>
        </w:tc>
        <w:tc>
          <w:tcPr>
            <w:tcW w:w="0" w:type="dxa"/>
            <w:vAlign w:val="bottom"/>
          </w:tcPr>
          <w:p>
            <w:pPr>
              <w:spacing w:after="0"/>
              <w:rPr>
                <w:sz w:val="1"/>
                <w:szCs w:val="1"/>
                <w:color w:val="auto"/>
              </w:rPr>
            </w:pPr>
          </w:p>
        </w:tc>
      </w:tr>
      <w:tr>
        <w:trPr>
          <w:trHeight w:val="206"/>
        </w:trPr>
        <w:tc>
          <w:tcPr>
            <w:tcW w:w="828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782,065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762,498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80" w:type="dxa"/>
            <w:vAlign w:val="bottom"/>
          </w:tcPr>
          <w:p>
            <w:pPr>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stock, $0.001 par value - 5,000,000 shares authorized, none issued</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80" w:type="dxa"/>
            <w:vAlign w:val="bottom"/>
          </w:tcPr>
          <w:p>
            <w:pPr>
              <w:ind w:left="120"/>
              <w:spacing w:after="0" w:line="166" w:lineRule="exact"/>
              <w:rPr>
                <w:sz w:val="20"/>
                <w:szCs w:val="20"/>
                <w:color w:val="auto"/>
              </w:rPr>
            </w:pPr>
            <w:r>
              <w:rPr>
                <w:rFonts w:ascii="Arial" w:cs="Arial" w:eastAsia="Arial" w:hAnsi="Arial"/>
                <w:sz w:val="16"/>
                <w:szCs w:val="16"/>
                <w:color w:val="auto"/>
                <w:w w:val="90"/>
              </w:rPr>
              <w:t>Common stock, $0.001 par value - 200,000,000 shares authorized, 72,017,145 and 70,264,265 shares issued, 69,307,315 and</w:t>
            </w:r>
          </w:p>
        </w:tc>
        <w:tc>
          <w:tcPr>
            <w:tcW w:w="2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9"/>
        </w:trPr>
        <w:tc>
          <w:tcPr>
            <w:tcW w:w="8280" w:type="dxa"/>
            <w:vAlign w:val="bottom"/>
          </w:tcPr>
          <w:p>
            <w:pPr>
              <w:ind w:left="120"/>
              <w:spacing w:after="0"/>
              <w:rPr>
                <w:sz w:val="20"/>
                <w:szCs w:val="20"/>
                <w:color w:val="auto"/>
              </w:rPr>
            </w:pPr>
            <w:r>
              <w:rPr>
                <w:rFonts w:ascii="Arial" w:cs="Arial" w:eastAsia="Arial" w:hAnsi="Arial"/>
                <w:sz w:val="16"/>
                <w:szCs w:val="16"/>
                <w:color w:val="auto"/>
              </w:rPr>
              <w:t>67,554,435 shares outstanding as of June 30, 2021 and December 31, 2020, respectively</w:t>
            </w: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696,923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635,672</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Arial" w:cs="Arial" w:eastAsia="Arial" w:hAnsi="Arial"/>
                <w:sz w:val="16"/>
                <w:szCs w:val="16"/>
                <w:color w:val="auto"/>
              </w:rPr>
              <w:t>Treasury stock - 2,709,830 shares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deficit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(391,885)</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other comprehensive (loss) income</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243,934</w:t>
            </w:r>
          </w:p>
        </w:tc>
        <w:tc>
          <w:tcPr>
            <w:tcW w:w="0" w:type="dxa"/>
            <w:vAlign w:val="bottom"/>
          </w:tcPr>
          <w:p>
            <w:pPr>
              <w:spacing w:after="0"/>
              <w:rPr>
                <w:sz w:val="1"/>
                <w:szCs w:val="1"/>
                <w:color w:val="auto"/>
              </w:rPr>
            </w:pPr>
          </w:p>
        </w:tc>
      </w:tr>
      <w:tr>
        <w:trPr>
          <w:trHeight w:val="210"/>
        </w:trPr>
        <w:tc>
          <w:tcPr>
            <w:tcW w:w="8280" w:type="dxa"/>
            <w:vAlign w:val="bottom"/>
          </w:tcPr>
          <w:p>
            <w:pPr>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1,043,757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1,006,432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 w:name="page5"/>
    <w:bookmarkEnd w:id="4"/>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6"/>
                <w:szCs w:val="16"/>
                <w:color w:val="auto"/>
              </w:rPr>
            </w:pPr>
          </w:p>
        </w:tc>
        <w:tc>
          <w:tcPr>
            <w:tcW w:w="1720" w:type="dxa"/>
            <w:vAlign w:val="bottom"/>
            <w:gridSpan w:val="3"/>
          </w:tcPr>
          <w:p>
            <w:pPr>
              <w:jc w:val="center"/>
              <w:ind w:left="463"/>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623"/>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8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209"/>
        </w:trPr>
        <w:tc>
          <w:tcPr>
            <w:tcW w:w="5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w w:val="96"/>
              </w:rPr>
              <w:t>2020</w:t>
            </w:r>
          </w:p>
        </w:tc>
      </w:tr>
      <w:tr>
        <w:trPr>
          <w:trHeight w:val="187"/>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0" w:type="dxa"/>
            <w:vAlign w:val="bottom"/>
            <w:gridSpan w:val="7"/>
          </w:tcPr>
          <w:p>
            <w:pPr>
              <w:ind w:left="20"/>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119,605</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91,603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227,496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169,691</w:t>
            </w:r>
          </w:p>
        </w:tc>
      </w:tr>
      <w:tr>
        <w:trPr>
          <w:trHeight w:val="216"/>
        </w:trPr>
        <w:tc>
          <w:tcPr>
            <w:tcW w:w="52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27,707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73,582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50,526</w:t>
            </w:r>
          </w:p>
        </w:tc>
      </w:tr>
      <w:tr>
        <w:trPr>
          <w:trHeight w:val="213"/>
        </w:trPr>
        <w:tc>
          <w:tcPr>
            <w:tcW w:w="520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38,622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34,618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75,575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77,298</w:t>
            </w:r>
          </w:p>
        </w:tc>
      </w:tr>
      <w:tr>
        <w:trPr>
          <w:trHeight w:val="219"/>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16,353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32,822</w:t>
            </w:r>
          </w:p>
        </w:tc>
      </w:tr>
      <w:tr>
        <w:trPr>
          <w:trHeight w:val="213"/>
        </w:trPr>
        <w:tc>
          <w:tcPr>
            <w:tcW w:w="5200" w:type="dxa"/>
            <w:vAlign w:val="bottom"/>
          </w:tcPr>
          <w:p>
            <w:pPr>
              <w:ind w:left="240"/>
              <w:spacing w:after="0"/>
              <w:rPr>
                <w:sz w:val="20"/>
                <w:szCs w:val="20"/>
                <w:color w:val="auto"/>
              </w:rPr>
            </w:pPr>
            <w:r>
              <w:rPr>
                <w:rFonts w:ascii="Arial" w:cs="Arial" w:eastAsia="Arial" w:hAnsi="Arial"/>
                <w:sz w:val="16"/>
                <w:szCs w:val="16"/>
                <w:color w:val="auto"/>
              </w:rPr>
              <w:t>Product development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26,967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70,981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52,681</w:t>
            </w:r>
          </w:p>
        </w:tc>
      </w:tr>
      <w:tr>
        <w:trPr>
          <w:trHeight w:val="219"/>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Restructuring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w:t>
            </w:r>
          </w:p>
        </w:tc>
      </w:tr>
      <w:tr>
        <w:trPr>
          <w:trHeight w:val="213"/>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Amortization of purchased intangibles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404</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r>
      <w:tr>
        <w:trPr>
          <w:trHeight w:val="213"/>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133,183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106,049</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254,703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217,329</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(13,578)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(14,446)</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(27,207)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(47,638)</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520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(18,410)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(6,002)</w:t>
            </w:r>
          </w:p>
        </w:tc>
      </w:tr>
      <w:tr>
        <w:trPr>
          <w:trHeight w:val="219"/>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w:t>
            </w:r>
          </w:p>
        </w:tc>
      </w:tr>
      <w:tr>
        <w:trPr>
          <w:trHeight w:val="20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income, net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(4,520)</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(7,977)</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(benefit from) income taxes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(55,615)</w:t>
            </w:r>
          </w:p>
        </w:tc>
      </w:tr>
      <w:tr>
        <w:trPr>
          <w:trHeight w:val="213"/>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(21,119)</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(18,627)</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(42,314)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of common stock:</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200" w:type="dxa"/>
            <w:vAlign w:val="bottom"/>
          </w:tcPr>
          <w:p>
            <w:pPr>
              <w:ind w:left="260"/>
              <w:spacing w:after="0"/>
              <w:rPr>
                <w:sz w:val="20"/>
                <w:szCs w:val="20"/>
                <w:color w:val="auto"/>
              </w:rPr>
            </w:pPr>
            <w:r>
              <w:rPr>
                <w:rFonts w:ascii="Arial" w:cs="Arial" w:eastAsia="Arial" w:hAnsi="Arial"/>
                <w:sz w:val="16"/>
                <w:szCs w:val="16"/>
                <w:color w:val="auto"/>
              </w:rPr>
              <w:t>Basic</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(0.31)</w:t>
            </w: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(0.28)</w:t>
            </w:r>
          </w:p>
        </w:tc>
        <w:tc>
          <w:tcPr>
            <w:tcW w:w="1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(0.86)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used to compute net loss per share: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200" w:type="dxa"/>
            <w:vAlign w:val="bottom"/>
          </w:tcPr>
          <w:p>
            <w:pPr>
              <w:ind w:left="26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69,057,129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65,650,782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68,482,653</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65,023,302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5"/>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69,057,129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65,650,782</w:t>
            </w: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68,482,653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65,023,302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57"/>
        </w:trPr>
        <w:tc>
          <w:tcPr>
            <w:tcW w:w="520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179"/>
        </w:trPr>
        <w:tc>
          <w:tcPr>
            <w:tcW w:w="5200" w:type="dxa"/>
            <w:vAlign w:val="bottom"/>
          </w:tcPr>
          <w:p>
            <w:pPr>
              <w:ind w:left="20"/>
              <w:spacing w:after="0"/>
              <w:rPr>
                <w:sz w:val="20"/>
                <w:szCs w:val="20"/>
                <w:color w:val="auto"/>
              </w:rPr>
            </w:pPr>
            <w:r>
              <w:rPr>
                <w:rFonts w:ascii="Arial" w:cs="Arial" w:eastAsia="Arial" w:hAnsi="Arial"/>
                <w:sz w:val="14"/>
                <w:szCs w:val="14"/>
                <w:color w:val="auto"/>
              </w:rPr>
              <w:t>(1)  Amounts include stock-based compensation expense, as follows: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2"/>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3,448</w:t>
            </w:r>
          </w:p>
        </w:tc>
      </w:tr>
      <w:tr>
        <w:trPr>
          <w:trHeight w:val="186"/>
        </w:trPr>
        <w:tc>
          <w:tcPr>
            <w:tcW w:w="520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2,525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7,155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7,664</w:t>
            </w:r>
          </w:p>
        </w:tc>
      </w:tr>
      <w:tr>
        <w:trPr>
          <w:trHeight w:val="192"/>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4,083</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6,811</w:t>
            </w:r>
          </w:p>
        </w:tc>
      </w:tr>
      <w:tr>
        <w:trPr>
          <w:trHeight w:val="186"/>
        </w:trPr>
        <w:tc>
          <w:tcPr>
            <w:tcW w:w="5200" w:type="dxa"/>
            <w:vAlign w:val="bottom"/>
          </w:tcPr>
          <w:p>
            <w:pPr>
              <w:ind w:left="360"/>
              <w:spacing w:after="0"/>
              <w:rPr>
                <w:sz w:val="20"/>
                <w:szCs w:val="20"/>
                <w:color w:val="auto"/>
              </w:rPr>
            </w:pPr>
            <w:r>
              <w:rPr>
                <w:rFonts w:ascii="Arial" w:cs="Arial" w:eastAsia="Arial" w:hAnsi="Arial"/>
                <w:sz w:val="14"/>
                <w:szCs w:val="14"/>
                <w:color w:val="auto"/>
              </w:rPr>
              <w:t>Product development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7,138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13,502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12,719</w:t>
            </w:r>
          </w:p>
        </w:tc>
      </w:tr>
      <w:tr>
        <w:trPr>
          <w:trHeight w:val="219"/>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(2)  Amounts include depreciation expense, as follows: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4,909</w:t>
            </w:r>
          </w:p>
        </w:tc>
      </w:tr>
      <w:tr>
        <w:trPr>
          <w:trHeight w:val="186"/>
        </w:trPr>
        <w:tc>
          <w:tcPr>
            <w:tcW w:w="520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1,287</w:t>
            </w:r>
          </w:p>
        </w:tc>
      </w:tr>
      <w:tr>
        <w:trPr>
          <w:trHeight w:val="192"/>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186"/>
        </w:trPr>
        <w:tc>
          <w:tcPr>
            <w:tcW w:w="5200" w:type="dxa"/>
            <w:vAlign w:val="bottom"/>
          </w:tcPr>
          <w:p>
            <w:pPr>
              <w:ind w:left="360"/>
              <w:spacing w:after="0"/>
              <w:rPr>
                <w:sz w:val="20"/>
                <w:szCs w:val="20"/>
                <w:color w:val="auto"/>
              </w:rPr>
            </w:pPr>
            <w:r>
              <w:rPr>
                <w:rFonts w:ascii="Arial" w:cs="Arial" w:eastAsia="Arial" w:hAnsi="Arial"/>
                <w:sz w:val="14"/>
                <w:szCs w:val="14"/>
                <w:color w:val="auto"/>
              </w:rPr>
              <w:t>Product development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2,532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7,104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4,924</w:t>
            </w:r>
          </w:p>
        </w:tc>
      </w:tr>
      <w:tr>
        <w:trPr>
          <w:trHeight w:val="219"/>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(3)  Amounts include amortization of purchased intangibles, as follows: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r>
      <w:tr>
        <w:trPr>
          <w:trHeight w:val="195"/>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10"/>
        </w:trPr>
        <w:tc>
          <w:tcPr>
            <w:tcW w:w="5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89"/>
              </w:rPr>
              <w:t>2020</w:t>
            </w:r>
          </w:p>
        </w:tc>
      </w:tr>
      <w:tr>
        <w:trPr>
          <w:trHeight w:val="187"/>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(42,314)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(55,628)</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(20,558)</w:t>
            </w: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(43,495)</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(55,090)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120" w:type="dxa"/>
            <w:vAlign w:val="bottom"/>
            <w:gridSpan w:val="5"/>
          </w:tcPr>
          <w:p>
            <w:pPr>
              <w:ind w:left="600"/>
              <w:spacing w:after="0"/>
              <w:rPr>
                <w:sz w:val="20"/>
                <w:szCs w:val="20"/>
                <w:color w:val="auto"/>
              </w:rPr>
            </w:pPr>
            <w:r>
              <w:rPr>
                <w:rFonts w:ascii="Arial" w:cs="Arial" w:eastAsia="Arial" w:hAnsi="Arial"/>
                <w:sz w:val="13"/>
                <w:szCs w:val="13"/>
                <w:b w:val="1"/>
                <w:bCs w:val="1"/>
                <w:color w:val="auto"/>
              </w:rPr>
              <w:t>Common Stock</w:t>
            </w:r>
          </w:p>
        </w:tc>
        <w:tc>
          <w:tcPr>
            <w:tcW w:w="1800" w:type="dxa"/>
            <w:vAlign w:val="bottom"/>
            <w:gridSpan w:val="3"/>
          </w:tcPr>
          <w:p>
            <w:pPr>
              <w:ind w:left="620"/>
              <w:spacing w:after="0"/>
              <w:rPr>
                <w:sz w:val="20"/>
                <w:szCs w:val="20"/>
                <w:color w:val="auto"/>
              </w:rPr>
            </w:pPr>
            <w:r>
              <w:rPr>
                <w:rFonts w:ascii="Arial" w:cs="Arial" w:eastAsia="Arial" w:hAnsi="Arial"/>
                <w:sz w:val="13"/>
                <w:szCs w:val="13"/>
                <w:b w:val="1"/>
                <w:bCs w:val="1"/>
                <w:color w:val="auto"/>
              </w:rPr>
              <w:t>Treasury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96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11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Comprehensive</w:t>
            </w: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left="72"/>
              <w:spacing w:after="0"/>
              <w:rPr>
                <w:sz w:val="20"/>
                <w:szCs w:val="20"/>
                <w:color w:val="auto"/>
              </w:rPr>
            </w:pPr>
            <w:r>
              <w:rPr>
                <w:rFonts w:ascii="Arial" w:cs="Arial" w:eastAsia="Arial" w:hAnsi="Arial"/>
                <w:sz w:val="13"/>
                <w:szCs w:val="13"/>
                <w:b w:val="1"/>
                <w:bCs w:val="1"/>
                <w:color w:val="auto"/>
                <w:w w:val="86"/>
              </w:rPr>
              <w:t>(In thousands, except share data)</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70,264,265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70</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w w:val="94"/>
              </w:rPr>
              <w:t>(2,709,830)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72"/>
              <w:spacing w:after="0"/>
              <w:rPr>
                <w:sz w:val="20"/>
                <w:szCs w:val="20"/>
                <w:color w:val="auto"/>
              </w:rPr>
            </w:pPr>
            <w:r>
              <w:rPr>
                <w:rFonts w:ascii="Arial" w:cs="Arial" w:eastAsia="Arial" w:hAnsi="Arial"/>
                <w:sz w:val="14"/>
                <w:szCs w:val="14"/>
                <w:b w:val="1"/>
                <w:bCs w:val="1"/>
                <w:color w:val="auto"/>
                <w:w w:val="76"/>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635,672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(391,885)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243,934</w:t>
            </w: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Arial" w:cs="Arial" w:eastAsia="Arial" w:hAnsi="Arial"/>
                <w:sz w:val="14"/>
                <w:szCs w:val="14"/>
                <w:color w:val="auto"/>
                <w:w w:val="95"/>
              </w:rPr>
              <w:t>Common stock issued upon exercise of</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209,185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color w:val="auto"/>
              </w:rPr>
              <w:t>2,617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2,617</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Common stock issued upon vesting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454,508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units (RSU)</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9,225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9,225</w:t>
            </w:r>
          </w:p>
        </w:tc>
        <w:tc>
          <w:tcPr>
            <w:tcW w:w="0" w:type="dxa"/>
            <w:vAlign w:val="bottom"/>
          </w:tcPr>
          <w:p>
            <w:pPr>
              <w:spacing w:after="0"/>
              <w:rPr>
                <w:sz w:val="1"/>
                <w:szCs w:val="1"/>
                <w:color w:val="auto"/>
              </w:rPr>
            </w:pPr>
          </w:p>
        </w:tc>
      </w:tr>
      <w:tr>
        <w:trPr>
          <w:trHeight w:val="160"/>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awards settled in shares of the</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Company’s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400,700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25,925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25,925</w:t>
            </w: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Arial" w:cs="Arial" w:eastAsia="Arial" w:hAnsi="Arial"/>
                <w:sz w:val="14"/>
                <w:szCs w:val="14"/>
                <w:color w:val="auto"/>
                <w:w w:val="96"/>
              </w:rPr>
              <w:t>Common stock issued under Employee</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22,544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color w:val="auto"/>
              </w:rPr>
              <w:t>1,257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1,257</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Stock Purchase Plan</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(21,195)</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186"/>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71,351,202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71</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b w:val="1"/>
                <w:bCs w:val="1"/>
                <w:color w:val="auto"/>
                <w:w w:val="94"/>
              </w:rPr>
              <w:t>(2,709,830)</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674,695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(413,080)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(1,666)</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260,017</w:t>
            </w: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Arial" w:cs="Arial" w:eastAsia="Arial" w:hAnsi="Arial"/>
                <w:sz w:val="14"/>
                <w:szCs w:val="14"/>
                <w:color w:val="auto"/>
                <w:w w:val="95"/>
              </w:rPr>
              <w:t>Common stock issued upon exercise of</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252,155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color w:val="auto"/>
              </w:rPr>
              <w:t>3,999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Common stock issued upon vesting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252,218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RSU</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9,524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9,524</w:t>
            </w:r>
          </w:p>
        </w:tc>
        <w:tc>
          <w:tcPr>
            <w:tcW w:w="0" w:type="dxa"/>
            <w:vAlign w:val="bottom"/>
          </w:tcPr>
          <w:p>
            <w:pPr>
              <w:spacing w:after="0"/>
              <w:rPr>
                <w:sz w:val="1"/>
                <w:szCs w:val="1"/>
                <w:color w:val="auto"/>
              </w:rPr>
            </w:pPr>
          </w:p>
        </w:tc>
      </w:tr>
      <w:tr>
        <w:trPr>
          <w:trHeight w:val="160"/>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awards settled in shares of the</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Company’s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7,578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7,578</w:t>
            </w: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Arial" w:cs="Arial" w:eastAsia="Arial" w:hAnsi="Arial"/>
                <w:sz w:val="14"/>
                <w:szCs w:val="14"/>
                <w:color w:val="auto"/>
                <w:w w:val="96"/>
              </w:rPr>
              <w:t>Common stock issued under Employee</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24,270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color w:val="auto"/>
              </w:rPr>
              <w:t>1,128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Stock Purchase Plan</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(21,119)</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72,017,145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4"/>
                <w:szCs w:val="14"/>
                <w:b w:val="1"/>
                <w:bCs w:val="1"/>
                <w:color w:val="auto"/>
                <w:w w:val="94"/>
              </w:rPr>
              <w:t>(2,709,830)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696,923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(434,199)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261,692</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CONDENSED CONSOLIDATED STATEMENTS OF STOCKHOLDERS’ EQUITY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120" w:type="dxa"/>
            <w:vAlign w:val="bottom"/>
            <w:gridSpan w:val="5"/>
          </w:tcPr>
          <w:p>
            <w:pPr>
              <w:ind w:left="600"/>
              <w:spacing w:after="0"/>
              <w:rPr>
                <w:sz w:val="20"/>
                <w:szCs w:val="20"/>
                <w:color w:val="auto"/>
              </w:rPr>
            </w:pPr>
            <w:r>
              <w:rPr>
                <w:rFonts w:ascii="Arial" w:cs="Arial" w:eastAsia="Arial" w:hAnsi="Arial"/>
                <w:sz w:val="13"/>
                <w:szCs w:val="13"/>
                <w:b w:val="1"/>
                <w:bCs w:val="1"/>
                <w:color w:val="auto"/>
              </w:rPr>
              <w:t>Common Stock</w:t>
            </w:r>
          </w:p>
        </w:tc>
        <w:tc>
          <w:tcPr>
            <w:tcW w:w="1800" w:type="dxa"/>
            <w:vAlign w:val="bottom"/>
            <w:gridSpan w:val="3"/>
          </w:tcPr>
          <w:p>
            <w:pPr>
              <w:ind w:left="620"/>
              <w:spacing w:after="0"/>
              <w:rPr>
                <w:sz w:val="20"/>
                <w:szCs w:val="20"/>
                <w:color w:val="auto"/>
              </w:rPr>
            </w:pPr>
            <w:r>
              <w:rPr>
                <w:rFonts w:ascii="Arial" w:cs="Arial" w:eastAsia="Arial" w:hAnsi="Arial"/>
                <w:sz w:val="13"/>
                <w:szCs w:val="13"/>
                <w:b w:val="1"/>
                <w:bCs w:val="1"/>
                <w:color w:val="auto"/>
              </w:rPr>
              <w:t>Treasury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96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11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Comprehensive</w:t>
            </w: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left="72"/>
              <w:spacing w:after="0"/>
              <w:rPr>
                <w:sz w:val="20"/>
                <w:szCs w:val="20"/>
                <w:color w:val="auto"/>
              </w:rPr>
            </w:pPr>
            <w:r>
              <w:rPr>
                <w:rFonts w:ascii="Arial" w:cs="Arial" w:eastAsia="Arial" w:hAnsi="Arial"/>
                <w:sz w:val="13"/>
                <w:szCs w:val="13"/>
                <w:b w:val="1"/>
                <w:bCs w:val="1"/>
                <w:color w:val="auto"/>
                <w:w w:val="86"/>
              </w:rPr>
              <w:t>(In thousands, except share data)</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66,543,073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67</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w w:val="94"/>
              </w:rPr>
              <w:t>(2,709,830)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72"/>
              <w:spacing w:after="0"/>
              <w:rPr>
                <w:sz w:val="20"/>
                <w:szCs w:val="20"/>
                <w:color w:val="auto"/>
              </w:rPr>
            </w:pPr>
            <w:r>
              <w:rPr>
                <w:rFonts w:ascii="Arial" w:cs="Arial" w:eastAsia="Arial" w:hAnsi="Arial"/>
                <w:sz w:val="14"/>
                <w:szCs w:val="14"/>
                <w:b w:val="1"/>
                <w:bCs w:val="1"/>
                <w:color w:val="auto"/>
                <w:w w:val="76"/>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436,557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(283,562)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(4,524)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148,535</w:t>
            </w: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Arial" w:cs="Arial" w:eastAsia="Arial" w:hAnsi="Arial"/>
                <w:sz w:val="14"/>
                <w:szCs w:val="14"/>
                <w:color w:val="auto"/>
                <w:w w:val="95"/>
              </w:rPr>
              <w:t>Common stock issued upon exercise of</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199,215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color w:val="auto"/>
              </w:rPr>
              <w:t>1,955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Common stock issued upon vesting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203,690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RSU</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Arial" w:cs="Arial" w:eastAsia="Arial" w:hAnsi="Arial"/>
                <w:sz w:val="14"/>
                <w:szCs w:val="14"/>
                <w:color w:val="auto"/>
                <w:w w:val="97"/>
              </w:rPr>
              <w:t>Common stock as earn-out payment in</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11,508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connection with AdvantageTec Inc.</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9,519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Arial" w:cs="Arial" w:eastAsia="Arial" w:hAnsi="Arial"/>
                <w:sz w:val="14"/>
                <w:szCs w:val="14"/>
                <w:color w:val="auto"/>
              </w:rPr>
              <w:t>Cash awards settled in shares of the</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991,905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color w:val="auto"/>
              </w:rPr>
              <w:t>24,656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24,656</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Company’s common stock</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ASU 2016-13 (Topic 326) Adjustment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(Note 1)</w:t>
            </w: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Arial" w:cs="Arial" w:eastAsia="Arial" w:hAnsi="Arial"/>
                <w:sz w:val="14"/>
                <w:szCs w:val="14"/>
                <w:color w:val="auto"/>
                <w:w w:val="96"/>
              </w:rPr>
              <w:t>Common stock issued under Employee</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50,818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color w:val="auto"/>
              </w:rPr>
              <w:t>1,626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Stock Purchase Plan</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(37,001)</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(2,469)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(2,469)</w:t>
            </w:r>
          </w:p>
        </w:tc>
        <w:tc>
          <w:tcPr>
            <w:tcW w:w="0" w:type="dxa"/>
            <w:vAlign w:val="bottom"/>
          </w:tcPr>
          <w:p>
            <w:pPr>
              <w:spacing w:after="0"/>
              <w:rPr>
                <w:sz w:val="1"/>
                <w:szCs w:val="1"/>
                <w:color w:val="auto"/>
              </w:rPr>
            </w:pPr>
          </w:p>
        </w:tc>
      </w:tr>
      <w:tr>
        <w:trPr>
          <w:trHeight w:val="186"/>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68,000,209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68</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b w:val="1"/>
                <w:bCs w:val="1"/>
                <w:color w:val="auto"/>
                <w:w w:val="94"/>
              </w:rPr>
              <w:t>(2,709,830)</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474,606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(321,292)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(6,993)</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146,386</w:t>
            </w: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Arial" w:cs="Arial" w:eastAsia="Arial" w:hAnsi="Arial"/>
                <w:sz w:val="14"/>
                <w:szCs w:val="14"/>
                <w:color w:val="auto"/>
                <w:w w:val="95"/>
              </w:rPr>
              <w:t>Common stock issued upon exercise of</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403,443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color w:val="auto"/>
              </w:rPr>
              <w:t>5,079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5,079</w:t>
            </w: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Common stock issued upon vesting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298,114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RSU</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7,433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7,433</w:t>
            </w: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6"/>
              </w:rPr>
              <w:t>Common stock issued under Employee</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1,111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Purchase Plan</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(18,627)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(18,627)</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68,731,477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69</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w w:val="94"/>
              </w:rPr>
              <w:t>(2,709,830)</w:t>
            </w:r>
          </w:p>
        </w:tc>
        <w:tc>
          <w:tcPr>
            <w:tcW w:w="10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488,229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(339,919)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(5,062)</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143,314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Six Months Ended</w:t>
      </w:r>
    </w:p>
    <w:p>
      <w:pPr>
        <w:spacing w:after="0" w:line="38" w:lineRule="exact"/>
        <w:rPr>
          <w:sz w:val="20"/>
          <w:szCs w:val="20"/>
          <w:color w:val="auto"/>
        </w:rPr>
      </w:pPr>
    </w:p>
    <w:p>
      <w:pPr>
        <w:ind w:left="954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1851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2"/>
        </w:trPr>
        <w:tc>
          <w:tcPr>
            <w:tcW w:w="8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tcPr>
          <w:p>
            <w:pPr>
              <w:jc w:val="right"/>
              <w:ind w:right="19"/>
              <w:spacing w:after="0"/>
              <w:rPr>
                <w:sz w:val="20"/>
                <w:szCs w:val="20"/>
                <w:color w:val="auto"/>
              </w:rPr>
            </w:pPr>
            <w:r>
              <w:rPr>
                <w:rFonts w:ascii="Arial" w:cs="Arial" w:eastAsia="Arial" w:hAnsi="Arial"/>
                <w:sz w:val="13"/>
                <w:szCs w:val="13"/>
                <w:b w:val="1"/>
                <w:bCs w:val="1"/>
                <w:color w:val="auto"/>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6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(42,314)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(55,628)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4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30,642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11,274</w:t>
            </w:r>
          </w:p>
        </w:tc>
        <w:tc>
          <w:tcPr>
            <w:tcW w:w="0" w:type="dxa"/>
            <w:vAlign w:val="bottom"/>
          </w:tcPr>
          <w:p>
            <w:pPr>
              <w:spacing w:after="0"/>
              <w:rPr>
                <w:sz w:val="1"/>
                <w:szCs w:val="1"/>
                <w:color w:val="auto"/>
              </w:rPr>
            </w:pPr>
          </w:p>
        </w:tc>
      </w:tr>
      <w:tr>
        <w:trPr>
          <w:trHeight w:val="213"/>
        </w:trPr>
        <w:tc>
          <w:tcPr>
            <w:tcW w:w="8320" w:type="dxa"/>
            <w:vAlign w:val="bottom"/>
          </w:tcPr>
          <w:p>
            <w:pPr>
              <w:ind w:left="480"/>
              <w:spacing w:after="0"/>
              <w:rPr>
                <w:sz w:val="20"/>
                <w:szCs w:val="20"/>
                <w:color w:val="auto"/>
              </w:rPr>
            </w:pPr>
            <w:r>
              <w:rPr>
                <w:rFonts w:ascii="Arial" w:cs="Arial" w:eastAsia="Arial" w:hAnsi="Arial"/>
                <w:sz w:val="16"/>
                <w:szCs w:val="16"/>
                <w:color w:val="auto"/>
              </w:rPr>
              <w:t>Amortization of tenant allowance</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purchased intangibles and finance leases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13"/>
        </w:trPr>
        <w:tc>
          <w:tcPr>
            <w:tcW w:w="8320" w:type="dxa"/>
            <w:vAlign w:val="bottom"/>
          </w:tcPr>
          <w:p>
            <w:pPr>
              <w:ind w:left="48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Accretion of debt discount on convertible senior notes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0" w:type="dxa"/>
            <w:vAlign w:val="bottom"/>
          </w:tcPr>
          <w:p>
            <w:pPr>
              <w:spacing w:after="0"/>
              <w:rPr>
                <w:sz w:val="1"/>
                <w:szCs w:val="1"/>
                <w:color w:val="auto"/>
              </w:rPr>
            </w:pPr>
          </w:p>
        </w:tc>
      </w:tr>
      <w:tr>
        <w:trPr>
          <w:trHeight w:val="213"/>
        </w:trPr>
        <w:tc>
          <w:tcPr>
            <w:tcW w:w="8320" w:type="dxa"/>
            <w:vAlign w:val="bottom"/>
          </w:tcPr>
          <w:p>
            <w:pPr>
              <w:ind w:left="480"/>
              <w:spacing w:after="0"/>
              <w:rPr>
                <w:sz w:val="20"/>
                <w:szCs w:val="20"/>
                <w:color w:val="auto"/>
              </w:rPr>
            </w:pPr>
            <w:r>
              <w:rPr>
                <w:rFonts w:ascii="Arial" w:cs="Arial" w:eastAsia="Arial" w:hAnsi="Arial"/>
                <w:sz w:val="16"/>
                <w:szCs w:val="16"/>
                <w:color w:val="auto"/>
              </w:rPr>
              <w:t>Changes in fair value of contingent consideration</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Allowance for credit losses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13"/>
        </w:trPr>
        <w:tc>
          <w:tcPr>
            <w:tcW w:w="8320" w:type="dxa"/>
            <w:vAlign w:val="bottom"/>
          </w:tcPr>
          <w:p>
            <w:pPr>
              <w:ind w:left="480"/>
              <w:spacing w:after="0"/>
              <w:rPr>
                <w:sz w:val="20"/>
                <w:szCs w:val="20"/>
                <w:color w:val="auto"/>
              </w:rPr>
            </w:pPr>
            <w:r>
              <w:rPr>
                <w:rFonts w:ascii="Arial" w:cs="Arial" w:eastAsia="Arial" w:hAnsi="Arial"/>
                <w:sz w:val="16"/>
                <w:szCs w:val="16"/>
                <w:color w:val="auto"/>
              </w:rPr>
              <w:t>Gain on settlement of leases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8320" w:type="dxa"/>
            <w:vAlign w:val="bottom"/>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10,051</w:t>
            </w:r>
          </w:p>
        </w:tc>
        <w:tc>
          <w:tcPr>
            <w:tcW w:w="0" w:type="dxa"/>
            <w:vAlign w:val="bottom"/>
          </w:tcPr>
          <w:p>
            <w:pPr>
              <w:spacing w:after="0"/>
              <w:rPr>
                <w:sz w:val="1"/>
                <w:szCs w:val="1"/>
                <w:color w:val="auto"/>
              </w:rPr>
            </w:pP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(5,377)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acquisition costs noncurrent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w:t>
            </w:r>
          </w:p>
        </w:tc>
        <w:tc>
          <w:tcPr>
            <w:tcW w:w="0" w:type="dxa"/>
            <w:vAlign w:val="bottom"/>
          </w:tcPr>
          <w:p>
            <w:pPr>
              <w:spacing w:after="0"/>
              <w:rPr>
                <w:sz w:val="1"/>
                <w:szCs w:val="1"/>
                <w:color w:val="auto"/>
              </w:rPr>
            </w:pP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0" w:type="dxa"/>
            <w:vAlign w:val="bottom"/>
          </w:tcPr>
          <w:p>
            <w:pPr>
              <w:spacing w:after="0"/>
              <w:rPr>
                <w:sz w:val="1"/>
                <w:szCs w:val="1"/>
                <w:color w:val="auto"/>
              </w:rPr>
            </w:pP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14,235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5,979</w:t>
            </w:r>
          </w:p>
        </w:tc>
        <w:tc>
          <w:tcPr>
            <w:tcW w:w="0" w:type="dxa"/>
            <w:vAlign w:val="bottom"/>
          </w:tcPr>
          <w:p>
            <w:pPr>
              <w:spacing w:after="0"/>
              <w:rPr>
                <w:sz w:val="1"/>
                <w:szCs w:val="1"/>
                <w:color w:val="auto"/>
              </w:rPr>
            </w:pP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832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12,306</w:t>
            </w:r>
          </w:p>
        </w:tc>
        <w:tc>
          <w:tcPr>
            <w:tcW w:w="0" w:type="dxa"/>
            <w:vAlign w:val="bottom"/>
          </w:tcPr>
          <w:p>
            <w:pPr>
              <w:spacing w:after="0"/>
              <w:rPr>
                <w:sz w:val="1"/>
                <w:szCs w:val="1"/>
                <w:color w:val="auto"/>
              </w:rPr>
            </w:pPr>
          </w:p>
        </w:tc>
      </w:tr>
      <w:tr>
        <w:trPr>
          <w:trHeight w:val="91"/>
        </w:trPr>
        <w:tc>
          <w:tcPr>
            <w:tcW w:w="83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 including capitalized software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(23,611)</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Payments for intangible assets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(24,259)</w:t>
            </w:r>
          </w:p>
        </w:tc>
        <w:tc>
          <w:tcPr>
            <w:tcW w:w="0" w:type="dxa"/>
            <w:vAlign w:val="bottom"/>
          </w:tcPr>
          <w:p>
            <w:pPr>
              <w:spacing w:after="0"/>
              <w:rPr>
                <w:sz w:val="1"/>
                <w:szCs w:val="1"/>
                <w:color w:val="auto"/>
              </w:rPr>
            </w:pPr>
          </w:p>
        </w:tc>
      </w:tr>
      <w:tr>
        <w:trPr>
          <w:trHeight w:val="91"/>
        </w:trPr>
        <w:tc>
          <w:tcPr>
            <w:tcW w:w="8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60"/>
              <w:spacing w:after="0"/>
              <w:rPr>
                <w:sz w:val="20"/>
                <w:szCs w:val="20"/>
                <w:color w:val="auto"/>
              </w:rPr>
            </w:pPr>
            <w:r>
              <w:rPr>
                <w:rFonts w:ascii="Arial" w:cs="Arial" w:eastAsia="Arial" w:hAnsi="Arial"/>
                <w:sz w:val="16"/>
                <w:szCs w:val="16"/>
                <w:color w:val="auto"/>
              </w:rPr>
              <w:t>Principal payments for financing leases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common stock in connection with the exercise of options and ESPP</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9,123</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Payments on conversion of convertible senior notes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9,123</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year</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654,152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176,523</w:t>
            </w:r>
          </w:p>
        </w:tc>
        <w:tc>
          <w:tcPr>
            <w:tcW w:w="0" w:type="dxa"/>
            <w:vAlign w:val="bottom"/>
          </w:tcPr>
          <w:p>
            <w:pPr>
              <w:spacing w:after="0"/>
              <w:rPr>
                <w:sz w:val="1"/>
                <w:szCs w:val="1"/>
                <w:color w:val="auto"/>
              </w:rPr>
            </w:pPr>
          </w:p>
        </w:tc>
      </w:tr>
      <w:tr>
        <w:trPr>
          <w:trHeight w:val="211"/>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year</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665,608</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173,177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Reconciliation of cash, cash equivalents, and restricted cash to condensed consolidated balance sheets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3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664,334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173,177</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in prepaid expenses and other current assets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665,608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173,177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center"/>
        <w:ind w:left="8300"/>
        <w:spacing w:after="0"/>
        <w:rPr>
          <w:sz w:val="20"/>
          <w:szCs w:val="20"/>
          <w:color w:val="auto"/>
        </w:rPr>
      </w:pPr>
      <w:r>
        <w:rPr>
          <w:rFonts w:ascii="Arial" w:cs="Arial" w:eastAsia="Arial" w:hAnsi="Arial"/>
          <w:sz w:val="14"/>
          <w:szCs w:val="14"/>
          <w:b w:val="1"/>
          <w:bCs w:val="1"/>
          <w:color w:val="auto"/>
        </w:rPr>
        <w:t>Six Months Ended</w:t>
      </w:r>
    </w:p>
    <w:p>
      <w:pPr>
        <w:spacing w:after="0" w:line="38" w:lineRule="exact"/>
        <w:rPr>
          <w:sz w:val="20"/>
          <w:szCs w:val="20"/>
          <w:color w:val="auto"/>
        </w:rPr>
      </w:pPr>
    </w:p>
    <w:p>
      <w:pPr>
        <w:ind w:left="954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1851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2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2020</w:t>
            </w:r>
          </w:p>
        </w:tc>
      </w:tr>
      <w:tr>
        <w:trPr>
          <w:trHeight w:val="182"/>
        </w:trPr>
        <w:tc>
          <w:tcPr>
            <w:tcW w:w="8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(In thousands)</w:t>
            </w:r>
          </w:p>
        </w:tc>
        <w:tc>
          <w:tcPr>
            <w:tcW w:w="940" w:type="dxa"/>
            <w:vAlign w:val="bottom"/>
          </w:tcPr>
          <w:p>
            <w:pPr>
              <w:spacing w:after="0"/>
              <w:rPr>
                <w:sz w:val="15"/>
                <w:szCs w:val="15"/>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other cash flow information:</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686</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3,124</w:t>
            </w: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1,041</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108"/>
        </w:trPr>
        <w:tc>
          <w:tcPr>
            <w:tcW w:w="8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Purchase of property and equipment recorded in accounts payable</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640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1,198</w:t>
            </w: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11,508 shares of common stock as earn-out payment in connection with AdvantageTec Inc.</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Issuance of shares of common stock to settle cash awards</w:t>
            </w:r>
          </w:p>
        </w:tc>
        <w:tc>
          <w:tcPr>
            <w:tcW w:w="860" w:type="dxa"/>
            <w:vAlign w:val="bottom"/>
          </w:tcPr>
          <w:p>
            <w:pPr>
              <w:spacing w:after="0"/>
              <w:rPr>
                <w:sz w:val="18"/>
                <w:szCs w:val="18"/>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w w:val="93"/>
              </w:rPr>
              <w:t>33,503</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24,656</w:t>
            </w:r>
          </w:p>
        </w:tc>
      </w:tr>
      <w:tr>
        <w:trPr>
          <w:trHeight w:val="219"/>
        </w:trPr>
        <w:tc>
          <w:tcPr>
            <w:tcW w:w="83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Right of use assets obtained in exchange for operating lease liabilities </w:t>
            </w:r>
            <w:r>
              <w:rPr>
                <w:rFonts w:ascii="Arial" w:cs="Arial" w:eastAsia="Arial" w:hAnsi="Arial"/>
                <w:sz w:val="21"/>
                <w:szCs w:val="21"/>
                <w:color w:val="auto"/>
                <w:vertAlign w:val="superscript"/>
              </w:rPr>
              <w:t>(1)</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leases that commenced during the year ended December 31, 2020, as well as balances related to leases in existence as of the date of the adoption of Topic 842.</w:t>
      </w:r>
    </w:p>
    <w:p>
      <w:pPr>
        <w:spacing w:after="0" w:line="10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5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LivePerson, Inc. (“LivePerson”, the “Company”, “we”, “our” or “us”) makes life easier for people and brands everywhere through trusted Conversational AI.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can now be viewed as a permanent, structural shift in consumer behavior.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19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Conversational Cloud, our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short message service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219"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18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222"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176"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In light of the COVID-19 pandemic and the Company’s strong performance working remotely, the Company has adopted an “employee-centric” workforce model that does not rely on traditional offices. During the second quarter of 2021, the Company decided to reoccupy some of its leased space to provide its employees with the option of working in an office space environment if they choose to do so.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as of June 30, 2021 and for the three and six months ended June 30, 2021 and 2020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June 30, 2021, and the consolidated results of operations, comprehensive loss, and cash flows for the interim periods ended June 30, 2021 and 2020.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as of December 31, 2020 has been derived from audited consolidated financial statements at that date.</w:t>
      </w:r>
    </w:p>
    <w:p>
      <w:pPr>
        <w:spacing w:after="0" w:line="20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2020 included in the Company’s Annual Report on Form 10-K filed with the SEC on March 8,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Many of the Company’s estimates require increased judgment due to the significant volatility, uncertainty and economic disruption of the COVID-19 pandemic. We continue to monitor the effects of the COVID-19 pandemic, and our estimates and judgments may change materially as new events occur or additional information becomes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5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income (loss) in stockholders’ equity. Foreign exchange transaction gain or losses are included in Other income (expense), net in the accompanying consolidated statements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Debt - Debt with Conversion and Other Options (Subtopic 470-20) and Derivatives and Hedging - Contracts in Entity's Own Equity (Subtopic 815-40): Accounting for Convertible Instruments and Contracts in an Entity’s Own Equity. </w:t>
      </w:r>
      <w:r>
        <w:rPr>
          <w:rFonts w:ascii="Arial" w:cs="Arial" w:eastAsia="Arial" w:hAnsi="Arial"/>
          <w:sz w:val="17"/>
          <w:szCs w:val="17"/>
          <w:color w:val="auto"/>
        </w:rPr>
        <w:t>In August 2020, the Financial Accounting Standards Board</w:t>
      </w:r>
      <w:r>
        <w:rPr>
          <w:rFonts w:ascii="Arial" w:cs="Arial" w:eastAsia="Arial" w:hAnsi="Arial"/>
          <w:sz w:val="17"/>
          <w:szCs w:val="17"/>
          <w:i w:val="1"/>
          <w:iCs w:val="1"/>
          <w:color w:val="auto"/>
        </w:rPr>
        <w:t xml:space="preserve"> </w:t>
      </w:r>
      <w:r>
        <w:rPr>
          <w:rFonts w:ascii="Arial" w:cs="Arial" w:eastAsia="Arial" w:hAnsi="Arial"/>
          <w:sz w:val="17"/>
          <w:szCs w:val="17"/>
          <w:color w:val="auto"/>
        </w:rPr>
        <w:t>(“FASB”) issued Accounting Standards Update (“ASU”) 2020-06 which simplifies the accounting for convertible instruments by eliminating existing accounting models that require separation of a cash conversion or beneficial conversion feature from the host contract. Accordingly, a convertible debt instrument will be accounted as a single liability measured at its amortized cost and a convertible preferred stock will be accounted as a single equity instrument measured at its historical cost, as long as no other embedded features require bifurcation as derivatives and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convertible debt was not issued at a substantial premium. The ASU also simplifies the derivative scope exception for accounting for contracts in an entity’s own equity by:</w:t>
      </w:r>
    </w:p>
    <w:p>
      <w:pPr>
        <w:spacing w:after="0" w:line="197" w:lineRule="exact"/>
        <w:rPr>
          <w:sz w:val="20"/>
          <w:szCs w:val="20"/>
          <w:color w:val="auto"/>
        </w:rPr>
      </w:pPr>
    </w:p>
    <w:p>
      <w:pPr>
        <w:ind w:left="1300" w:hanging="428"/>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removing certain conditions required to meet the settlement criterion</w:t>
      </w:r>
    </w:p>
    <w:p>
      <w:pPr>
        <w:spacing w:after="0" w:line="117" w:lineRule="exact"/>
        <w:rPr>
          <w:rFonts w:ascii="Arial" w:cs="Arial" w:eastAsia="Arial" w:hAnsi="Arial"/>
          <w:sz w:val="18"/>
          <w:szCs w:val="18"/>
          <w:color w:val="auto"/>
        </w:rPr>
      </w:pPr>
    </w:p>
    <w:p>
      <w:pPr>
        <w:ind w:left="1300" w:right="560" w:hanging="428"/>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clarifying that instruments that are not indexed to the issuer’s own stock must be remeasured at fair value through earnings at each reporting period</w:t>
      </w:r>
    </w:p>
    <w:p>
      <w:pPr>
        <w:spacing w:after="0" w:line="62" w:lineRule="exact"/>
        <w:rPr>
          <w:rFonts w:ascii="Arial" w:cs="Arial" w:eastAsia="Arial" w:hAnsi="Arial"/>
          <w:sz w:val="18"/>
          <w:szCs w:val="18"/>
          <w:color w:val="auto"/>
        </w:rPr>
      </w:pPr>
    </w:p>
    <w:p>
      <w:pPr>
        <w:ind w:left="1300" w:hanging="428"/>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clarifying the scope of reassessment guidance and disclosure requirements in Subtopic 815-40.</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ASU also makes targeted improvements to the disclosure requirements for convertible instruments and earnings-per-share guidance.</w:t>
      </w:r>
    </w:p>
    <w:p>
      <w:pPr>
        <w:spacing w:after="0" w:line="264" w:lineRule="exact"/>
        <w:rPr>
          <w:sz w:val="20"/>
          <w:szCs w:val="20"/>
          <w:color w:val="auto"/>
        </w:rPr>
      </w:pPr>
    </w:p>
    <w:p>
      <w:pPr>
        <w:jc w:val="both"/>
        <w:ind w:right="280" w:firstLine="432"/>
        <w:spacing w:after="0" w:line="263" w:lineRule="auto"/>
        <w:rPr>
          <w:sz w:val="20"/>
          <w:szCs w:val="20"/>
          <w:color w:val="auto"/>
        </w:rPr>
      </w:pPr>
      <w:r>
        <w:rPr>
          <w:rFonts w:ascii="Arial" w:cs="Arial" w:eastAsia="Arial" w:hAnsi="Arial"/>
          <w:sz w:val="18"/>
          <w:szCs w:val="18"/>
          <w:color w:val="auto"/>
        </w:rPr>
        <w:t>For SEC filers, excluding smaller reporting companies, the ASU is effective for fiscal years beginning after December 15, 2021, including interim periods within those fiscal years. The ASU specifies that the guidance should be adopted as of the beginning of the annual fiscal year. We are assessing what impact ASU 2020-06 will have on our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i w:val="1"/>
          <w:iCs w:val="1"/>
          <w:color w:val="auto"/>
        </w:rPr>
        <w:t xml:space="preserve">Income Taxes (Topic 740): Simplifying the Accounting for Income Taxes. </w:t>
      </w:r>
      <w:r>
        <w:rPr>
          <w:rFonts w:ascii="Arial" w:cs="Arial" w:eastAsia="Arial" w:hAnsi="Arial"/>
          <w:sz w:val="16"/>
          <w:szCs w:val="16"/>
          <w:color w:val="auto"/>
        </w:rPr>
        <w:t>In December 2019, the FASB issued ASU 2019-12, which is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simplify the accounting for income taxes by removing certain exceptions and by updating accounting requirements around franchise taxes, goodwill recognized for tax purposes, the allocation of current and deferred tax expenses among legal entities, among other minor changes. The ASU is effective for fiscal years beginning after December 15, 2020, including interim periods within those fiscal years. Early adoption is permitted. We adopted ASU 2019-12 in the first quarter of 2021 and determined that the ASU had no material impact on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majority of our revenue is generated from monthly service revenues, which is inclusive of our platform usage pricing model, and related professional services from the sale of our services. Revenues are recognized when control of these services is transferred to our customers, in an amount that reflects the consideration we expect to be entitled to in exchange for those services. No single customer accounted for 10% or more of our total revenue for the six months ended June 30,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w:t>
      </w:r>
    </w:p>
    <w:p>
      <w:pPr>
        <w:spacing w:after="0" w:line="306"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As of June 30, 2021, the aggregate amount of the total transaction price allocated in contracts with original duration of greater than one year to the remaining performance obligations was $345.8 million. Approximately 92% of our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5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We record deferred revenues when cash payments are received or due in advance of our performance. The increase in the deferred revenue balance as of June 30, 2021 is primarily driven by cash payments received or due in advance of our performance obligations, partially offset by $81.9 million of revenues recognized that were included in the deferred revenue balance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deferred revenue by revenue source: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Deferred Revenue</w:t>
            </w:r>
          </w:p>
        </w:tc>
      </w:tr>
      <w:tr>
        <w:trPr>
          <w:trHeight w:val="135"/>
        </w:trPr>
        <w:tc>
          <w:tcPr>
            <w:tcW w:w="8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240" w:type="dxa"/>
            <w:vAlign w:val="bottom"/>
          </w:tcPr>
          <w:p>
            <w:pPr>
              <w:jc w:val="right"/>
              <w:ind w:right="221"/>
              <w:spacing w:after="0" w:line="135" w:lineRule="exact"/>
              <w:rPr>
                <w:sz w:val="20"/>
                <w:szCs w:val="20"/>
                <w:color w:val="auto"/>
              </w:rPr>
            </w:pPr>
            <w:r>
              <w:rPr>
                <w:rFonts w:ascii="Arial" w:cs="Arial" w:eastAsia="Arial" w:hAnsi="Arial"/>
                <w:sz w:val="14"/>
                <w:szCs w:val="14"/>
                <w:b w:val="1"/>
                <w:bCs w:val="1"/>
                <w:color w:val="auto"/>
              </w:rPr>
              <w:t>December 31,</w:t>
            </w:r>
          </w:p>
        </w:tc>
      </w:tr>
      <w:tr>
        <w:trPr>
          <w:trHeight w:val="188"/>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4"/>
          </w:tcPr>
          <w:p>
            <w:pPr>
              <w:jc w:val="right"/>
              <w:ind w:right="961"/>
              <w:spacing w:after="0"/>
              <w:rPr>
                <w:sz w:val="20"/>
                <w:szCs w:val="20"/>
                <w:color w:val="auto"/>
              </w:rPr>
            </w:pPr>
            <w:r>
              <w:rPr>
                <w:rFonts w:ascii="Arial" w:cs="Arial" w:eastAsia="Arial" w:hAnsi="Arial"/>
                <w:sz w:val="14"/>
                <w:szCs w:val="14"/>
                <w:b w:val="1"/>
                <w:bCs w:val="1"/>
                <w:color w:val="auto"/>
              </w:rPr>
              <w:t>(In thousands)</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Hosted services – Business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86,144</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Hosted services – Consumer</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Total deferred revenue - short term</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88,848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deferred revenue - long term</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revenues disaggregated by revenue source: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95,092</w:t>
            </w:r>
          </w:p>
        </w:tc>
        <w:tc>
          <w:tcPr>
            <w:tcW w:w="12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72,382</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178,732</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133,435</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13,826</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 – Business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14,703</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11,634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22,430</w:t>
            </w:r>
          </w:p>
        </w:tc>
      </w:tr>
      <w:tr>
        <w:trPr>
          <w:trHeight w:val="23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119,605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91,603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227,496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169,691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Geographic Location</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revenues attributable to domestic and foreign operations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80,924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59,559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108,109</w:t>
            </w:r>
          </w:p>
        </w:tc>
      </w:tr>
      <w:tr>
        <w:trPr>
          <w:trHeight w:val="216"/>
        </w:trPr>
        <w:tc>
          <w:tcPr>
            <w:tcW w:w="52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5,068</w:t>
            </w:r>
          </w:p>
        </w:tc>
      </w:tr>
      <w:tr>
        <w:trPr>
          <w:trHeight w:val="20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Americas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84,919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62,607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113,177</w:t>
            </w:r>
          </w:p>
        </w:tc>
      </w:tr>
      <w:tr>
        <w:trPr>
          <w:trHeight w:val="216"/>
        </w:trPr>
        <w:tc>
          <w:tcPr>
            <w:tcW w:w="5200" w:type="dxa"/>
            <w:vAlign w:val="bottom"/>
          </w:tcPr>
          <w:p>
            <w:pPr>
              <w:ind w:left="20"/>
              <w:spacing w:after="0" w:line="216" w:lineRule="exact"/>
              <w:rPr>
                <w:sz w:val="20"/>
                <w:szCs w:val="20"/>
                <w:color w:val="auto"/>
              </w:rPr>
            </w:pPr>
            <w:r>
              <w:rPr>
                <w:rFonts w:ascii="Arial" w:cs="Arial" w:eastAsia="Arial" w:hAnsi="Arial"/>
                <w:sz w:val="25"/>
                <w:szCs w:val="25"/>
                <w:color w:val="auto"/>
                <w:vertAlign w:val="subscript"/>
              </w:rPr>
              <w:t>EMEA</w:t>
            </w:r>
            <w:r>
              <w:rPr>
                <w:rFonts w:ascii="Arial" w:cs="Arial" w:eastAsia="Arial" w:hAnsi="Arial"/>
                <w:sz w:val="9"/>
                <w:szCs w:val="9"/>
                <w:color w:val="auto"/>
              </w:rPr>
              <w:t xml:space="preserve"> (2) (4)</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22,933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19,692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44,693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39,182</w:t>
            </w:r>
          </w:p>
        </w:tc>
      </w:tr>
      <w:tr>
        <w:trPr>
          <w:trHeight w:val="216"/>
        </w:trPr>
        <w:tc>
          <w:tcPr>
            <w:tcW w:w="52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11,753</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17,332</w:t>
            </w:r>
          </w:p>
        </w:tc>
      </w:tr>
      <w:tr>
        <w:trPr>
          <w:trHeight w:val="210"/>
        </w:trPr>
        <w:tc>
          <w:tcPr>
            <w:tcW w:w="52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119,605</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91,603</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227,496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169,691</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w:t>
      </w:r>
    </w:p>
    <w:p>
      <w:pPr>
        <w:spacing w:after="0" w:line="1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Canada, Latin America and South America</w:t>
      </w:r>
    </w:p>
    <w:p>
      <w:pPr>
        <w:spacing w:after="0" w:line="43"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Europe, the Middle East and Africa (“EMEA”)</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Asia-Pacific (“APAC”)</w:t>
      </w:r>
    </w:p>
    <w:p>
      <w:pPr>
        <w:spacing w:after="0" w:line="55" w:lineRule="exact"/>
        <w:rPr>
          <w:rFonts w:ascii="Arial" w:cs="Arial" w:eastAsia="Arial" w:hAnsi="Arial"/>
          <w:sz w:val="14"/>
          <w:szCs w:val="14"/>
          <w:color w:val="auto"/>
        </w:rPr>
      </w:pPr>
    </w:p>
    <w:p>
      <w:pPr>
        <w:ind w:left="340" w:right="100" w:hanging="332"/>
        <w:spacing w:after="0" w:line="318" w:lineRule="auto"/>
        <w:tabs>
          <w:tab w:leader="none" w:pos="332"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revenues from the United Kingdom of $14.8 million and $12.5 million for the three months ended June 30, 2021 and 2020, respectively, and from the Netherlands of $1.2 million and $0.6 million for the three months ended June 30, 2021 and 2020, respectively. Includes revenues from the United Kingdom of $28.1 million and $25.1 million for the six months ended June 30, 2021 and 2020, respectively, and from the Netherlands of $2.5 million and $1.9 million for the six months ended June 30, 2021 and 2020,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Contract Balances</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our deferred revenue balance is related to Hosted Services - Business Revenue</w:t>
      </w:r>
      <w:r>
        <w:rPr>
          <w:rFonts w:ascii="Arial" w:cs="Arial" w:eastAsia="Arial" w:hAnsi="Arial"/>
          <w:sz w:val="18"/>
          <w:szCs w:val="18"/>
          <w:i w:val="1"/>
          <w:iCs w:val="1"/>
          <w:color w:val="auto"/>
        </w:rPr>
        <w:t>.</w:t>
      </w:r>
    </w:p>
    <w:p>
      <w:pPr>
        <w:spacing w:after="0" w:line="1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some arrangements, we allow customers to pay for access to the Conversational Cloud over the term of the software license. We refer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 Contract acquisition costs represent prepaid sales commissions. The opening and closing balances of our accounts receivable, unbilled receivables, contract acquisition costs, and deferred revenues are as follows: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Contract Acquisition</w:t>
            </w:r>
          </w:p>
        </w:tc>
        <w:tc>
          <w:tcPr>
            <w:tcW w:w="12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Deferred Revenue</w:t>
            </w:r>
          </w:p>
        </w:tc>
        <w:tc>
          <w:tcPr>
            <w:tcW w:w="120" w:type="dxa"/>
            <w:vAlign w:val="bottom"/>
          </w:tcPr>
          <w:p>
            <w:pPr>
              <w:spacing w:after="0"/>
              <w:rPr>
                <w:sz w:val="14"/>
                <w:szCs w:val="14"/>
                <w:color w:val="auto"/>
              </w:rPr>
            </w:pPr>
          </w:p>
        </w:tc>
        <w:tc>
          <w:tcPr>
            <w:tcW w:w="13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3"/>
              </w:rPr>
              <w:t>Deferred Revenue</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Accounts Receivable</w:t>
            </w:r>
          </w:p>
        </w:tc>
        <w:tc>
          <w:tcPr>
            <w:tcW w:w="15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Unbilled Receivable</w:t>
            </w:r>
          </w:p>
        </w:tc>
        <w:tc>
          <w:tcPr>
            <w:tcW w:w="180" w:type="dxa"/>
            <w:vAlign w:val="bottom"/>
          </w:tcPr>
          <w:p>
            <w:pPr>
              <w:spacing w:after="0"/>
              <w:rPr>
                <w:sz w:val="11"/>
                <w:szCs w:val="11"/>
                <w:color w:val="auto"/>
              </w:rPr>
            </w:pPr>
          </w:p>
        </w:tc>
        <w:tc>
          <w:tcPr>
            <w:tcW w:w="13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2"/>
              </w:rPr>
              <w:t>Costs</w:t>
            </w: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(Non-current)</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(Non-current)</w:t>
            </w: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balance as of December 31, 2020</w:t>
            </w: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61,801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41,021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(Decrease) increase, net</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w w:val="94"/>
              </w:rPr>
              <w:t>(2,936)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as of June 30, 2021</w:t>
            </w: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58,865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43,462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Accounts receivable are written off against the allowance for uncollectible accounts when we determine amounts are no longer collectible.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Additions 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Deductions/write-offs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Balance as of June 30, 2021</w:t>
      </w:r>
    </w:p>
    <w:p>
      <w:pPr>
        <w:spacing w:after="0" w:line="20" w:lineRule="exact"/>
        <w:rPr>
          <w:sz w:val="20"/>
          <w:szCs w:val="20"/>
          <w:color w:val="auto"/>
        </w:rPr>
      </w:pPr>
      <w:r>
        <w:rPr>
          <w:sz w:val="20"/>
          <w:szCs w:val="20"/>
          <w:color w:val="auto"/>
        </w:rPr>
        <w:br w:type="column"/>
      </w:r>
    </w:p>
    <w:p>
      <w:pPr>
        <w:jc w:val="center"/>
        <w:spacing w:after="0" w:line="230" w:lineRule="auto"/>
        <w:rPr>
          <w:sz w:val="20"/>
          <w:szCs w:val="20"/>
          <w:color w:val="auto"/>
        </w:rPr>
      </w:pPr>
      <w:r>
        <w:rPr>
          <w:rFonts w:ascii="Arial" w:cs="Arial" w:eastAsia="Arial" w:hAnsi="Arial"/>
          <w:sz w:val="14"/>
          <w:szCs w:val="14"/>
          <w:b w:val="1"/>
          <w:bCs w:val="1"/>
          <w:color w:val="auto"/>
        </w:rPr>
        <w:t>Allowance for</w:t>
      </w:r>
    </w:p>
    <w:p>
      <w:pPr>
        <w:jc w:val="center"/>
        <w:spacing w:after="0"/>
        <w:rPr>
          <w:sz w:val="20"/>
          <w:szCs w:val="20"/>
          <w:color w:val="auto"/>
        </w:rPr>
      </w:pPr>
      <w:r>
        <w:rPr>
          <w:rFonts w:ascii="Arial" w:cs="Arial" w:eastAsia="Arial" w:hAnsi="Arial"/>
          <w:sz w:val="14"/>
          <w:szCs w:val="14"/>
          <w:b w:val="1"/>
          <w:bCs w:val="1"/>
          <w:color w:val="auto"/>
        </w:rPr>
        <w:t>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908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 thousands)</w:t>
      </w:r>
    </w:p>
    <w:p>
      <w:pPr>
        <w:spacing w:after="0" w:line="41" w:lineRule="exact"/>
        <w:rPr>
          <w:sz w:val="20"/>
          <w:szCs w:val="20"/>
          <w:color w:val="auto"/>
        </w:rPr>
      </w:pPr>
    </w:p>
    <w:p>
      <w:pPr>
        <w:ind w:left="980" w:hanging="973"/>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5,344</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1,599</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9086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6" w:lineRule="exact"/>
        <w:rPr>
          <w:sz w:val="20"/>
          <w:szCs w:val="20"/>
          <w:color w:val="auto"/>
        </w:rPr>
      </w:pPr>
    </w:p>
    <w:p>
      <w:pPr>
        <w:ind w:left="980" w:hanging="973"/>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5,837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9086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43815</wp:posOffset>
            </wp:positionV>
            <wp:extent cx="9086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100" w:space="720"/>
            <w:col w:w="1420"/>
          </w:cols>
          <w:pgMar w:left="320" w:top="175" w:right="3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w:t>
      </w:r>
    </w:p>
    <w:p>
      <w:pPr>
        <w:spacing w:after="0" w:line="22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Basic earnings per share (“EPS”) excludes dilution for common stock equivalents and is computed by dividing net income or loss attributable to common stockholders by the weighted average number of shares of common stock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89"/>
              </w:rPr>
              <w:t>2020</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thousands)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(55,628)</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number of shares outstanding, basic and diluted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69,057,129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65,650,782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68,482,653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65,023,302</w:t>
            </w: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anti-dilutive securities excluded from the shares used to calculate diluted net loss per share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04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8"/>
              </w:rPr>
              <w:t>As of June 30,</w:t>
            </w:r>
          </w:p>
        </w:tc>
        <w:tc>
          <w:tcPr>
            <w:tcW w:w="94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subject to outstanding common stock options and employee stock purchase plan</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4,252,817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5,481,824</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stock units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3,023,476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3,349,966</w:t>
            </w:r>
          </w:p>
        </w:tc>
      </w:tr>
      <w:tr>
        <w:trPr>
          <w:trHeight w:val="235"/>
        </w:trPr>
        <w:tc>
          <w:tcPr>
            <w:tcW w:w="8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7,276,293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8,831,790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expect to settle the principal amount of our 0.750% Convertible Senior Notes due 2024 (the “2024 Notes”) and our 0% Convertible Senior Notes due 2026 (the “2026 Notes” and together with the 2024 Notes, the “Notes”) upon conversion in cash and any excess over the principal amount in shares of our common stock. We use the treasury stock method for calculating any potential dilutive effect of the conversion spread on diluted net income per share, if applicable. The conversion spread will have a dilutive impact on diluted net income per share of common stock when the average market price of our common stock for a given period exceeds the initial conversion price of 130% of $38.58 per share for the 2024 Notes and $75.23 per share for the 2026 Notes.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8 – Convertible Senior Notes and Capped Call Transactions for a full description of the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25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are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our condensed consolidated financial statements which are described in Note 1 –Description of Business and Basis of Presentation. We allocate cost of revenue, sales and marketing, and amortization of purchased intangibles to the segments, but we do not allocate product development expenses, general and administrative expenses, restructuring costs, or income tax expense because management does not use this information to measure performance of the operating segments. There are currently no inter-segment sales.</w:t>
      </w:r>
    </w:p>
    <w:p>
      <w:pPr>
        <w:spacing w:after="0" w:line="19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Summarized financial information by segment for the three months ended June 30, 2021, based on our internal financial reporting system utilized by our chief operating decision maker,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9"/>
              </w:rPr>
              <w:t>Consolidated</w:t>
            </w:r>
          </w:p>
        </w:tc>
      </w:tr>
      <w:tr>
        <w:trPr>
          <w:trHeight w:val="187"/>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95,092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95,092</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9,810</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14,703</w:t>
            </w:r>
          </w:p>
        </w:tc>
      </w:tr>
      <w:tr>
        <w:trPr>
          <w:trHeight w:val="21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109,795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119,605</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38,265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40,063</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38,622</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54,124</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39,241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(54,124)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(13,578)</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Summarized financial information by segment for the three months ended June 30, 2020, based on our internal financial reporting system utilized by our chief operating decision maker,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9"/>
              </w:rPr>
              <w:t>Consolidated</w:t>
            </w:r>
          </w:p>
        </w:tc>
      </w:tr>
      <w:tr>
        <w:trPr>
          <w:trHeight w:val="187"/>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72,382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72,382</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7,587</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11,634</w:t>
            </w:r>
          </w:p>
        </w:tc>
      </w:tr>
      <w:tr>
        <w:trPr>
          <w:trHeight w:val="212"/>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84,016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91,603</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26,085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27,707</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34,618</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43,320</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28,601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(43,320)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(14,446)</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432"/>
        <w:spacing w:after="0" w:line="269" w:lineRule="auto"/>
        <w:rPr>
          <w:sz w:val="20"/>
          <w:szCs w:val="20"/>
          <w:color w:val="auto"/>
        </w:rPr>
      </w:pPr>
      <w:r>
        <w:rPr>
          <w:rFonts w:ascii="Arial" w:cs="Arial" w:eastAsia="Arial" w:hAnsi="Arial"/>
          <w:sz w:val="18"/>
          <w:szCs w:val="18"/>
          <w:color w:val="auto"/>
        </w:rPr>
        <w:t>Summarized financial information by segment for the six months ended June 30, 2021, based on our internal financial reporting system utilized by our chief operating decision maker, follows:</w:t>
      </w: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9"/>
              </w:rPr>
              <w:t>Consolidated</w:t>
            </w:r>
          </w:p>
        </w:tc>
      </w:tr>
      <w:tr>
        <w:trPr>
          <w:trHeight w:val="187"/>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178,732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178,732</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18,821</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29,943</w:t>
            </w:r>
          </w:p>
        </w:tc>
      </w:tr>
      <w:tr>
        <w:trPr>
          <w:trHeight w:val="21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208,675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227,496</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69,875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73,582</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75,575</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104,797</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75,933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(104,797)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(27,207)</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Summarized financial information by segment for the six months ended June 30, 2020, based on our internal financial reporting system utilized by our chief operating decision maker,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9"/>
              </w:rPr>
              <w:t>Consolidated</w:t>
            </w:r>
          </w:p>
        </w:tc>
      </w:tr>
      <w:tr>
        <w:trPr>
          <w:trHeight w:val="187"/>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133,435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133,435</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13,826</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22,430</w:t>
            </w:r>
          </w:p>
        </w:tc>
      </w:tr>
      <w:tr>
        <w:trPr>
          <w:trHeight w:val="21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155,865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169,691</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50,526</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77,298</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809</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88,696</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41,231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(88,696)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(47,638)</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are domiciled in the United States and have international operations around the globe. The following table presents our long-lived assets by geographic region as of the dates presented: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87"/>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961"/>
              <w:spacing w:after="0"/>
              <w:rPr>
                <w:sz w:val="20"/>
                <w:szCs w:val="20"/>
                <w:color w:val="auto"/>
              </w:rPr>
            </w:pPr>
            <w:r>
              <w:rPr>
                <w:rFonts w:ascii="Arial" w:cs="Arial" w:eastAsia="Arial" w:hAnsi="Arial"/>
                <w:sz w:val="14"/>
                <w:szCs w:val="14"/>
                <w:b w:val="1"/>
                <w:bCs w:val="1"/>
                <w:color w:val="auto"/>
              </w:rPr>
              <w:t>(In thousands)</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202,275</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Israel</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16,657</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13,792</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Netherlands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8,301</w:t>
            </w:r>
          </w:p>
        </w:tc>
      </w:tr>
      <w:tr>
        <w:trPr>
          <w:trHeight w:val="219"/>
        </w:trPr>
        <w:tc>
          <w:tcPr>
            <w:tcW w:w="82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16,596</w:t>
            </w:r>
          </w:p>
        </w:tc>
      </w:tr>
      <w:tr>
        <w:trPr>
          <w:trHeight w:val="210"/>
        </w:trPr>
        <w:tc>
          <w:tcPr>
            <w:tcW w:w="8260" w:type="dxa"/>
            <w:vAlign w:val="bottom"/>
          </w:tcPr>
          <w:p>
            <w:pPr>
              <w:ind w:left="220"/>
              <w:spacing w:after="0"/>
              <w:rPr>
                <w:sz w:val="20"/>
                <w:szCs w:val="20"/>
                <w:color w:val="auto"/>
              </w:rPr>
            </w:pPr>
            <w:r>
              <w:rPr>
                <w:rFonts w:ascii="Arial" w:cs="Arial" w:eastAsia="Arial" w:hAnsi="Arial"/>
                <w:sz w:val="16"/>
                <w:szCs w:val="16"/>
                <w:color w:val="auto"/>
              </w:rPr>
              <w:t>Total long-lived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270,268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257,621</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United Kingdom, Germany, Japan, France, and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for the six months ended June 30, 2021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Consumer</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9"/>
              </w:rPr>
              <w:t>Consolidated</w:t>
            </w:r>
          </w:p>
        </w:tc>
      </w:tr>
      <w:tr>
        <w:trPr>
          <w:trHeight w:val="187"/>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95,192</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Adjustments to goodwill:</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adjustment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2"/>
        </w:trPr>
        <w:tc>
          <w:tcPr>
            <w:tcW w:w="6740" w:type="dxa"/>
            <w:vAlign w:val="bottom"/>
          </w:tcPr>
          <w:p>
            <w:pPr>
              <w:ind w:left="20"/>
              <w:spacing w:after="0"/>
              <w:rPr>
                <w:sz w:val="20"/>
                <w:szCs w:val="20"/>
                <w:color w:val="auto"/>
              </w:rPr>
            </w:pPr>
            <w:r>
              <w:rPr>
                <w:rFonts w:ascii="Arial" w:cs="Arial" w:eastAsia="Arial" w:hAnsi="Arial"/>
                <w:sz w:val="16"/>
                <w:szCs w:val="16"/>
                <w:color w:val="auto"/>
              </w:rPr>
              <w:t>Balance as of June 30, 2021</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87,092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95,116</w:t>
            </w:r>
          </w:p>
        </w:tc>
      </w:tr>
      <w:tr>
        <w:trPr>
          <w:trHeight w:val="21"/>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are summarized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2021</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ind w:right="144"/>
              <w:spacing w:after="0" w:line="135"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560" w:type="dxa"/>
            <w:vAlign w:val="bottom"/>
          </w:tcPr>
          <w:p>
            <w:pPr>
              <w:spacing w:after="0"/>
              <w:rPr>
                <w:sz w:val="11"/>
                <w:szCs w:val="11"/>
                <w:color w:val="auto"/>
              </w:rPr>
            </w:pPr>
          </w:p>
        </w:tc>
        <w:tc>
          <w:tcPr>
            <w:tcW w:w="11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97"/>
              </w:rPr>
              <w:t>Carrying</w:t>
            </w:r>
          </w:p>
        </w:tc>
        <w:tc>
          <w:tcPr>
            <w:tcW w:w="4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Amortizing intangible assets:</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480"/>
              <w:spacing w:after="0"/>
              <w:rPr>
                <w:sz w:val="20"/>
                <w:szCs w:val="20"/>
                <w:color w:val="auto"/>
              </w:rPr>
            </w:pPr>
            <w:r>
              <w:rPr>
                <w:rFonts w:ascii="Arial" w:cs="Arial" w:eastAsia="Arial" w:hAnsi="Arial"/>
                <w:sz w:val="16"/>
                <w:szCs w:val="16"/>
                <w:color w:val="auto"/>
              </w:rPr>
              <w:t>Technology</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30,463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(27,585)</w:t>
            </w:r>
          </w:p>
        </w:tc>
        <w:tc>
          <w:tcPr>
            <w:tcW w:w="120" w:type="dxa"/>
            <w:vAlign w:val="bottom"/>
          </w:tcPr>
          <w:p>
            <w:pPr>
              <w:spacing w:after="0"/>
              <w:rPr>
                <w:sz w:val="18"/>
                <w:szCs w:val="18"/>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2,878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relationships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16,976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years</w:t>
            </w:r>
          </w:p>
        </w:tc>
        <w:tc>
          <w:tcPr>
            <w:tcW w:w="0" w:type="dxa"/>
            <w:vAlign w:val="bottom"/>
          </w:tcPr>
          <w:p>
            <w:pPr>
              <w:spacing w:after="0"/>
              <w:rPr>
                <w:sz w:val="1"/>
                <w:szCs w:val="1"/>
                <w:color w:val="auto"/>
              </w:rPr>
            </w:pPr>
          </w:p>
        </w:tc>
      </w:tr>
      <w:tr>
        <w:trPr>
          <w:trHeight w:val="213"/>
        </w:trPr>
        <w:tc>
          <w:tcPr>
            <w:tcW w:w="4520" w:type="dxa"/>
            <w:vAlign w:val="bottom"/>
          </w:tcPr>
          <w:p>
            <w:pPr>
              <w:ind w:left="480"/>
              <w:spacing w:after="0"/>
              <w:rPr>
                <w:sz w:val="20"/>
                <w:szCs w:val="20"/>
                <w:color w:val="auto"/>
              </w:rPr>
            </w:pPr>
            <w:r>
              <w:rPr>
                <w:rFonts w:ascii="Arial" w:cs="Arial" w:eastAsia="Arial" w:hAnsi="Arial"/>
                <w:sz w:val="16"/>
                <w:szCs w:val="16"/>
                <w:color w:val="auto"/>
              </w:rPr>
              <w:t>Patents</w:t>
            </w:r>
          </w:p>
        </w:tc>
        <w:tc>
          <w:tcPr>
            <w:tcW w:w="4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6,452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5,434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12.7 years</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years</w:t>
            </w:r>
          </w:p>
        </w:tc>
        <w:tc>
          <w:tcPr>
            <w:tcW w:w="0" w:type="dxa"/>
            <w:vAlign w:val="bottom"/>
          </w:tcPr>
          <w:p>
            <w:pPr>
              <w:spacing w:after="0"/>
              <w:rPr>
                <w:sz w:val="1"/>
                <w:szCs w:val="1"/>
                <w:color w:val="auto"/>
              </w:rPr>
            </w:pPr>
          </w:p>
        </w:tc>
      </w:tr>
      <w:tr>
        <w:trPr>
          <w:trHeight w:val="213"/>
        </w:trPr>
        <w:tc>
          <w:tcPr>
            <w:tcW w:w="4520" w:type="dxa"/>
            <w:vAlign w:val="bottom"/>
          </w:tcPr>
          <w:p>
            <w:pPr>
              <w:ind w:left="56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54,205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(43,235)</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6"/>
              </w:rPr>
              <w:t>As of December 31, 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Net Carrying Amount</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4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Amortizing intangible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30,499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(26,818)</w:t>
            </w:r>
          </w:p>
        </w:tc>
        <w:tc>
          <w:tcPr>
            <w:tcW w:w="1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3,681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 years</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years</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Patents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4,168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12.5 years</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years</w:t>
            </w:r>
          </w:p>
        </w:tc>
        <w:tc>
          <w:tcPr>
            <w:tcW w:w="0" w:type="dxa"/>
            <w:vAlign w:val="bottom"/>
          </w:tcPr>
          <w:p>
            <w:pPr>
              <w:spacing w:after="0"/>
              <w:rPr>
                <w:sz w:val="1"/>
                <w:szCs w:val="1"/>
                <w:color w:val="auto"/>
              </w:rPr>
            </w:pPr>
          </w:p>
        </w:tc>
      </w:tr>
      <w:tr>
        <w:trPr>
          <w:trHeight w:val="212"/>
        </w:trPr>
        <w:tc>
          <w:tcPr>
            <w:tcW w:w="520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52,870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(41,943)</w:t>
            </w:r>
          </w:p>
        </w:tc>
        <w:tc>
          <w:tcPr>
            <w:tcW w:w="100" w:type="dxa"/>
            <w:vAlign w:val="bottom"/>
          </w:tcPr>
          <w:p>
            <w:pPr>
              <w:spacing w:after="0"/>
              <w:rPr>
                <w:sz w:val="18"/>
                <w:szCs w:val="18"/>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Amortization expense is calculated over the estimated useful life of the asset. Aggregate amortization expense for intangible assets was $1.6 million and $0.7 million for the three months ended June 30, 2021 and 2020, respectively, and $3.1 million and $1.4 million for the six months ended June 30, 2021 and 2020, respectively. For the three and six months ended June 30, 2021 and 2020, respectively, a portion of this amortization is included in cost of revenue. Estimated amortization expense for the next five years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321"/>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9800" w:type="dxa"/>
            <w:vAlign w:val="bottom"/>
          </w:tcPr>
          <w:p>
            <w:pPr>
              <w:spacing w:after="0"/>
              <w:rPr>
                <w:sz w:val="16"/>
                <w:szCs w:val="16"/>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Amortization Expense</w:t>
            </w:r>
          </w:p>
        </w:tc>
      </w:tr>
      <w:tr>
        <w:trPr>
          <w:trHeight w:val="183"/>
        </w:trPr>
        <w:tc>
          <w:tcPr>
            <w:tcW w:w="9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81"/>
              <w:spacing w:after="0"/>
              <w:rPr>
                <w:sz w:val="20"/>
                <w:szCs w:val="20"/>
                <w:color w:val="auto"/>
              </w:rPr>
            </w:pPr>
            <w:r>
              <w:rPr>
                <w:rFonts w:ascii="Arial" w:cs="Arial" w:eastAsia="Arial" w:hAnsi="Arial"/>
                <w:sz w:val="14"/>
                <w:szCs w:val="14"/>
                <w:b w:val="1"/>
                <w:bCs w:val="1"/>
                <w:color w:val="auto"/>
                <w:w w:val="99"/>
              </w:rPr>
              <w:t>(In thousands)</w:t>
            </w:r>
          </w:p>
        </w:tc>
      </w:tr>
      <w:tr>
        <w:trPr>
          <w:trHeight w:val="217"/>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2021</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2,274</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5,223</w:t>
            </w:r>
          </w:p>
        </w:tc>
      </w:tr>
      <w:tr>
        <w:trPr>
          <w:trHeight w:val="238"/>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detail of property and equipment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4"/>
          </w:tcPr>
          <w:p>
            <w:pPr>
              <w:jc w:val="right"/>
              <w:ind w:right="961"/>
              <w:spacing w:after="0"/>
              <w:rPr>
                <w:sz w:val="20"/>
                <w:szCs w:val="20"/>
                <w:color w:val="auto"/>
              </w:rPr>
            </w:pPr>
            <w:r>
              <w:rPr>
                <w:rFonts w:ascii="Arial" w:cs="Arial" w:eastAsia="Arial" w:hAnsi="Arial"/>
                <w:sz w:val="14"/>
                <w:szCs w:val="14"/>
                <w:b w:val="1"/>
                <w:bCs w:val="1"/>
                <w:color w:val="auto"/>
              </w:rPr>
              <w:t>(In thousands)</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 and software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107,666</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Internal-use software development costs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103,847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86,454</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10,045</w:t>
            </w:r>
          </w:p>
        </w:tc>
      </w:tr>
      <w:tr>
        <w:trPr>
          <w:trHeight w:val="210"/>
        </w:trPr>
        <w:tc>
          <w:tcPr>
            <w:tcW w:w="8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226,779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204,165</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(98,110)</w:t>
            </w:r>
          </w:p>
        </w:tc>
      </w:tr>
      <w:tr>
        <w:trPr>
          <w:trHeight w:val="212"/>
        </w:trPr>
        <w:tc>
          <w:tcPr>
            <w:tcW w:w="826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115,647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106,055</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detail of accrued expenses and other current liabilities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183"/>
        </w:trPr>
        <w:tc>
          <w:tcPr>
            <w:tcW w:w="8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4"/>
          </w:tcPr>
          <w:p>
            <w:pPr>
              <w:jc w:val="right"/>
              <w:ind w:right="941"/>
              <w:spacing w:after="0"/>
              <w:rPr>
                <w:sz w:val="20"/>
                <w:szCs w:val="20"/>
                <w:color w:val="auto"/>
              </w:rPr>
            </w:pPr>
            <w:r>
              <w:rPr>
                <w:rFonts w:ascii="Arial" w:cs="Arial" w:eastAsia="Arial" w:hAnsi="Arial"/>
                <w:sz w:val="14"/>
                <w:szCs w:val="14"/>
                <w:b w:val="1"/>
                <w:bCs w:val="1"/>
                <w:color w:val="auto"/>
              </w:rPr>
              <w:t>(In thousands)</w:t>
            </w: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 and consulting and other vendor fees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38,796</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Payroll and other employee related costs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39,820</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commissions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6,988</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Finance lease liability (Note 9)</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3,488</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(Note 13)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Taxes other than income tax</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2,954</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r>
      <w:tr>
        <w:trPr>
          <w:trHeight w:val="238"/>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99,870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Convertible Senior Notes and Capped Call Transactions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Notes due 2024 and Capped Calls</w:t>
      </w:r>
    </w:p>
    <w:p>
      <w:pPr>
        <w:spacing w:after="0" w:line="2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March 2019, we issued $230.0 million aggregate principal amount of our 0.750% Convertible Senior Notes due 2024 in a private placement, which amount includes $30.0 million aggregate principal amount of such Notes issued pursuant to the exercise in full by the initial purchasers of their option to purchase additional 2024 Notes. Interest on the Notes is payable semi-annually in arrears on March 1 and September 1 of each year, beginning on September 1, 2019.</w:t>
      </w:r>
    </w:p>
    <w:p>
      <w:pPr>
        <w:spacing w:after="0" w:line="2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2024 Notes will mature on March 1, 2024, unless earlier repurchased or redeemed by the Company or converted pursuant to their terms. The total net proceeds from the offering of the 2024 Notes, after deducting debt issuance costs, paid, or payable by the Company, was approximately $221.4 million.</w:t>
      </w:r>
    </w:p>
    <w:p>
      <w:pPr>
        <w:spacing w:after="0" w:line="21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Notes in principal amounts of $1,000 or a multiple thereof at a fundamental change repurchase price equal to 100% of the principal amount of the 2024 Notes to be repurchased, plus accrued and unpaid interest to, but excluding, the fundamental change repurchase date.</w:t>
      </w:r>
    </w:p>
    <w:p>
      <w:pPr>
        <w:spacing w:after="0" w:line="22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Upon conversion, it is our current intent to settle the principal amount of its outstanding 2024 Notes in cash and any excess over the principal amount in shares of the Company’s common stock.</w:t>
      </w:r>
    </w:p>
    <w:p>
      <w:pPr>
        <w:spacing w:after="0" w:line="19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June 30, 2021, the conditions allowing holders of the 2024 Notes to convert were met and, thus, holders of the 2024 Notes maintain the option to convert their 2024 Notes during the quarter ending September 30, 2021.</w:t>
      </w:r>
    </w:p>
    <w:p>
      <w:pPr>
        <w:spacing w:after="0" w:line="197"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The 2024 Notes are senior unsecured obligations and will rank senior in right of payment to any of the Company’s indebtedness that is expressly subordinated in right of payment to the 2024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8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accounting for the issuance of the 2024 Notes, the Company separated the 2024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2024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2024 Notes.</w:t>
      </w:r>
    </w:p>
    <w:p>
      <w:pPr>
        <w:spacing w:after="0" w:line="205"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In accounting for the transaction costs related to the 2024 Notes, the Company allocated the total amount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are amortized to interest expense using the effective interest method over the contractual term of the 2024 Notes. Issuance costs attributable to the equity component were approximately $2.0 million and recorded as a reduction of additional paid in capital in stockholders’ equity.</w:t>
      </w:r>
    </w:p>
    <w:p>
      <w:pPr>
        <w:spacing w:after="0" w:line="20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connection with the offering of the 2024 Notes, the Company entered into privately-negotiated capped call option transactions with certain counterparties (the “2024 capped call”). The 2024 capped calls each have an initial strike price of 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 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consolidated balance sheet.</w:t>
      </w:r>
    </w:p>
    <w:p>
      <w:pPr>
        <w:spacing w:after="0" w:line="19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remaining term over which the 2024 Notes debt discount and debt issuance costs will be amortized is 2.7 years. The effective interest rate on the debt was 4.05% for the period ended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 due 2026 and Capped Calls</w:t>
      </w:r>
    </w:p>
    <w:p>
      <w:pPr>
        <w:spacing w:after="0" w:line="25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December 2020, we issued $517.5 million aggregate principal amount of its 0% Convertible Senior Notes due 2026 in a private placement, which amount includes $67.5 million aggregate principal amount of such Notes issued pursuant to the exercise in full by the initial purchasers of their option to purchase additional 2026 Notes.</w:t>
      </w:r>
    </w:p>
    <w:p>
      <w:pPr>
        <w:spacing w:after="0" w:line="2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2026 Notes will mature on December 15, 2026, unless earlier repurchased or redeemed by the Company or converted pursuant to their terms. The total net proceeds from the offering of the 2026 Notes, after deducting debt issuance costs, paid or payable by the Company, was approximately $505.3 million.</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Each $1,000 in principal amount of the 2026 Notes is initially convertible into 13.2933 shares of the Company’s common stock par value $0.001, which is equivalent to an initial conversion price of approximately $75.23 per share. The conversion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spacing w:after="0" w:line="20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0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Upon conversion, it is our current intent to settle the principal amount of its outstanding 2026 Notes in cash and any excess in shares of the Company’s common stock.</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June 30, 2021, the conditions allowing holders of the 2026 Notes to convert were not met.</w:t>
      </w:r>
    </w:p>
    <w:p>
      <w:pPr>
        <w:spacing w:after="0" w:line="252"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The 2026 Notes are senior unsecured obligations and will rank senior in right of payment to any of the Company’s indebtedness that is expressly subordinated in right of payment to the 2026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8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accounting for the issuance of the 2026 Notes, we separated the 2026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$162.5 million and was determined by deducting the fair value of the liability component from the par value of the 2026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 of the 2026 Notes.</w:t>
      </w:r>
    </w:p>
    <w:p>
      <w:pPr>
        <w:spacing w:after="0" w:line="21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In accounting for the transaction costs related to the 2026 Notes, we allocated the total amount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terms of the 2026 Notes. Issuance costs attributable to the equity component were approximately $3.7 million and recorded as a reduction of additional paid in capital in stockholders’ equity.</w:t>
      </w:r>
    </w:p>
    <w:p>
      <w:pPr>
        <w:spacing w:after="0" w:line="20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remaining term over which the 2026 Notes debt discount and debt issuance costs will be amortized is 5.4 years. The effective interest rate on the debt was 6.05% for the period ended June 30, 2021.</w:t>
      </w:r>
    </w:p>
    <w:p>
      <w:pPr>
        <w:spacing w:after="0" w:line="2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the offering of the 2026 Notes, we entered into privately-negotiated capped call option transactions with certain counterparties (the “2026 capped call”). The 2026 capped calls each have an initial strike price of approximately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consolidated balance sheet.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carrying amount of the liability component of the Notes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4"/>
          </w:tcPr>
          <w:p>
            <w:pPr>
              <w:jc w:val="right"/>
              <w:ind w:right="962"/>
              <w:spacing w:after="0"/>
              <w:rPr>
                <w:sz w:val="20"/>
                <w:szCs w:val="20"/>
                <w:color w:val="auto"/>
              </w:rPr>
            </w:pPr>
            <w:r>
              <w:rPr>
                <w:rFonts w:ascii="Arial" w:cs="Arial" w:eastAsia="Arial" w:hAnsi="Arial"/>
                <w:sz w:val="14"/>
                <w:szCs w:val="14"/>
                <w:b w:val="1"/>
                <w:bCs w:val="1"/>
                <w:color w:val="auto"/>
              </w:rPr>
              <w:t>(In thousands)</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747,500</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Unamortized discount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(179,896)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(196,269)</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issuance costs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(12,799)</w:t>
            </w:r>
          </w:p>
        </w:tc>
      </w:tr>
      <w:tr>
        <w:trPr>
          <w:trHeight w:val="213"/>
        </w:trPr>
        <w:tc>
          <w:tcPr>
            <w:tcW w:w="8260" w:type="dxa"/>
            <w:vAlign w:val="bottom"/>
          </w:tcPr>
          <w:p>
            <w:pPr>
              <w:ind w:left="260"/>
              <w:spacing w:after="0"/>
              <w:rPr>
                <w:sz w:val="20"/>
                <w:szCs w:val="20"/>
                <w:color w:val="auto"/>
              </w:rPr>
            </w:pPr>
            <w:r>
              <w:rPr>
                <w:rFonts w:ascii="Arial" w:cs="Arial" w:eastAsia="Arial" w:hAnsi="Arial"/>
                <w:sz w:val="16"/>
                <w:szCs w:val="16"/>
                <w:color w:val="auto"/>
              </w:rPr>
              <w:t>Net carrying amount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556,032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538,432</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175" w:right="339" w:bottom="1440" w:gutter="0" w:footer="0" w:header="0"/>
        </w:sectPr>
      </w:pPr>
    </w:p>
    <w:p>
      <w:pPr>
        <w:ind w:left="340"/>
        <w:spacing w:after="0"/>
        <w:rPr>
          <w:sz w:val="20"/>
          <w:szCs w:val="20"/>
          <w:color w:val="auto"/>
        </w:rPr>
      </w:pPr>
      <w:r>
        <w:rPr>
          <w:rFonts w:ascii="Arial" w:cs="Arial" w:eastAsia="Arial" w:hAnsi="Arial"/>
          <w:sz w:val="16"/>
          <w:szCs w:val="16"/>
          <w:color w:val="auto"/>
        </w:rPr>
        <w:t>The net carrying amount of the equity component of the Notes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allocated to the conversion options (debt discount)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carrying amount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June 30,</w:t>
      </w:r>
    </w:p>
    <w:p>
      <w:pPr>
        <w:jc w:val="center"/>
        <w:ind w:right="7"/>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86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6" w:lineRule="exact"/>
        <w:rPr>
          <w:sz w:val="20"/>
          <w:szCs w:val="20"/>
          <w:color w:val="auto"/>
        </w:rPr>
      </w:pPr>
    </w:p>
    <w:p>
      <w:pPr>
        <w:ind w:left="253"/>
        <w:spacing w:after="0"/>
        <w:rPr>
          <w:sz w:val="20"/>
          <w:szCs w:val="20"/>
          <w:color w:val="auto"/>
        </w:rPr>
      </w:pPr>
      <w:r>
        <w:rPr>
          <w:rFonts w:ascii="Arial" w:cs="Arial" w:eastAsia="Arial" w:hAnsi="Arial"/>
          <w:sz w:val="14"/>
          <w:szCs w:val="14"/>
          <w:b w:val="1"/>
          <w:bCs w:val="1"/>
          <w:color w:val="auto"/>
        </w:rPr>
        <w:t>(In thousands)</w:t>
      </w:r>
    </w:p>
    <w:p>
      <w:pPr>
        <w:spacing w:after="0" w:line="41" w:lineRule="exact"/>
        <w:rPr>
          <w:sz w:val="20"/>
          <w:szCs w:val="20"/>
          <w:color w:val="auto"/>
        </w:rPr>
      </w:pPr>
    </w:p>
    <w:p>
      <w:pPr>
        <w:ind w:left="813" w:hanging="813"/>
        <w:spacing w:after="0"/>
        <w:tabs>
          <w:tab w:leader="none" w:pos="813" w:val="left"/>
        </w:tabs>
        <w:numPr>
          <w:ilvl w:val="0"/>
          <w:numId w:val="8"/>
        </w:numPr>
        <w:rPr>
          <w:rFonts w:ascii="Arial" w:cs="Arial" w:eastAsia="Arial" w:hAnsi="Arial"/>
          <w:sz w:val="16"/>
          <w:szCs w:val="16"/>
          <w:color w:val="auto"/>
        </w:rPr>
      </w:pPr>
      <w:r>
        <w:rPr>
          <w:rFonts w:ascii="Arial" w:cs="Arial" w:eastAsia="Arial" w:hAnsi="Arial"/>
          <w:sz w:val="16"/>
          <w:szCs w:val="16"/>
          <w:color w:val="auto"/>
        </w:rPr>
        <w:t>215,434</w:t>
      </w:r>
    </w:p>
    <w:p>
      <w:pPr>
        <w:spacing w:after="0" w:line="32" w:lineRule="exact"/>
        <w:rPr>
          <w:rFonts w:ascii="Arial" w:cs="Arial" w:eastAsia="Arial" w:hAnsi="Arial"/>
          <w:sz w:val="16"/>
          <w:szCs w:val="16"/>
          <w:color w:val="auto"/>
        </w:rPr>
      </w:pPr>
    </w:p>
    <w:p>
      <w:pPr>
        <w:ind w:left="913"/>
        <w:spacing w:after="0"/>
        <w:rPr>
          <w:rFonts w:ascii="Arial" w:cs="Arial" w:eastAsia="Arial" w:hAnsi="Arial"/>
          <w:sz w:val="16"/>
          <w:szCs w:val="16"/>
          <w:color w:val="auto"/>
        </w:rPr>
      </w:pPr>
      <w:r>
        <w:rPr>
          <w:rFonts w:ascii="Arial" w:cs="Arial" w:eastAsia="Arial" w:hAnsi="Arial"/>
          <w:sz w:val="15"/>
          <w:szCs w:val="15"/>
          <w:color w:val="auto"/>
        </w:rPr>
        <w:t>(5,783)</w:t>
      </w:r>
    </w:p>
    <w:p>
      <w:pPr>
        <w:spacing w:after="0" w:line="57" w:lineRule="exact"/>
        <w:rPr>
          <w:sz w:val="20"/>
          <w:szCs w:val="20"/>
          <w:color w:val="auto"/>
        </w:rPr>
      </w:pPr>
    </w:p>
    <w:p>
      <w:pPr>
        <w:ind w:left="813" w:hanging="813"/>
        <w:spacing w:after="0"/>
        <w:tabs>
          <w:tab w:leader="none" w:pos="813" w:val="left"/>
        </w:tabs>
        <w:numPr>
          <w:ilvl w:val="0"/>
          <w:numId w:val="9"/>
        </w:numPr>
        <w:rPr>
          <w:rFonts w:ascii="Arial" w:cs="Arial" w:eastAsia="Arial" w:hAnsi="Arial"/>
          <w:sz w:val="16"/>
          <w:szCs w:val="16"/>
          <w:color w:val="auto"/>
        </w:rPr>
      </w:pPr>
      <w:r>
        <w:rPr>
          <w:rFonts w:ascii="Arial" w:cs="Arial" w:eastAsia="Arial" w:hAnsi="Arial"/>
          <w:sz w:val="16"/>
          <w:szCs w:val="16"/>
          <w:color w:val="auto"/>
        </w:rPr>
        <w:t>209,651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43815</wp:posOffset>
            </wp:positionV>
            <wp:extent cx="9086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107" w:space="720"/>
            <w:col w:w="1413"/>
          </w:cols>
          <w:pgMar w:left="320" w:top="175" w:right="339" w:bottom="1440" w:gutter="0" w:footer="0" w:header="0"/>
          <w:type w:val="continuous"/>
        </w:sectPr>
      </w:pP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interest expense recognized related to the Notes: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40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r>
      <w:tr>
        <w:trPr>
          <w:trHeight w:val="195"/>
        </w:trPr>
        <w:tc>
          <w:tcPr>
            <w:tcW w:w="5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7"/>
        </w:trPr>
        <w:tc>
          <w:tcPr>
            <w:tcW w:w="5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5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431</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863</w:t>
            </w:r>
          </w:p>
        </w:tc>
        <w:tc>
          <w:tcPr>
            <w:tcW w:w="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13"/>
        </w:trPr>
        <w:tc>
          <w:tcPr>
            <w:tcW w:w="5340" w:type="dxa"/>
            <w:vAlign w:val="bottom"/>
          </w:tcPr>
          <w:p>
            <w:pPr>
              <w:ind w:left="20"/>
              <w:spacing w:after="0"/>
              <w:rPr>
                <w:sz w:val="20"/>
                <w:szCs w:val="20"/>
                <w:color w:val="auto"/>
              </w:rPr>
            </w:pPr>
            <w:r>
              <w:rPr>
                <w:rFonts w:ascii="Arial" w:cs="Arial" w:eastAsia="Arial" w:hAnsi="Arial"/>
                <w:sz w:val="16"/>
                <w:szCs w:val="16"/>
                <w:color w:val="auto"/>
              </w:rPr>
              <w:t>Amortization of issuance costs</w:t>
            </w:r>
          </w:p>
        </w:tc>
        <w:tc>
          <w:tcPr>
            <w:tcW w:w="9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303</w:t>
            </w:r>
          </w:p>
        </w:tc>
        <w:tc>
          <w:tcPr>
            <w:tcW w:w="56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1,228</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9"/>
              </w:rPr>
              <w:t>8,256</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9"/>
              </w:rPr>
              <w:t>2,409</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16,374</w:t>
            </w:r>
          </w:p>
        </w:tc>
        <w:tc>
          <w:tcPr>
            <w:tcW w:w="6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4,776</w:t>
            </w:r>
          </w:p>
        </w:tc>
      </w:tr>
      <w:tr>
        <w:trPr>
          <w:trHeight w:val="213"/>
        </w:trPr>
        <w:tc>
          <w:tcPr>
            <w:tcW w:w="5340" w:type="dxa"/>
            <w:vAlign w:val="bottom"/>
          </w:tcPr>
          <w:p>
            <w:pPr>
              <w:ind w:left="240"/>
              <w:spacing w:after="0"/>
              <w:rPr>
                <w:sz w:val="20"/>
                <w:szCs w:val="20"/>
                <w:color w:val="auto"/>
              </w:rPr>
            </w:pPr>
            <w:r>
              <w:rPr>
                <w:rFonts w:ascii="Arial" w:cs="Arial" w:eastAsia="Arial" w:hAnsi="Arial"/>
                <w:sz w:val="16"/>
                <w:szCs w:val="16"/>
                <w:color w:val="auto"/>
              </w:rPr>
              <w:t>Total interest expense</w:t>
            </w: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9,307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9"/>
              </w:rPr>
              <w:t>3,143</w:t>
            </w:r>
          </w:p>
        </w:tc>
        <w:tc>
          <w:tcPr>
            <w:tcW w:w="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18,465</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6,239</w:t>
            </w:r>
          </w:p>
        </w:tc>
      </w:tr>
      <w:tr>
        <w:trPr>
          <w:trHeight w:val="20"/>
        </w:trPr>
        <w:tc>
          <w:tcPr>
            <w:tcW w:w="5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of $9.3 million and $18.5 million are reflected as a component of interest expense, net in the accompanying condensed consolidated statement of operations for the three and six months ended June 30,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5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have operating and finance leases for our corporate offices and other service agreements. Our leases have remaining lease terms of less than one to five years, some of which include options to extend.</w:t>
      </w:r>
    </w:p>
    <w:p>
      <w:pPr>
        <w:spacing w:after="0" w:line="19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connection with the leases, we recognized operating lease right of use assets of $0.3 million and $0.6 million and an aggregate lease liability of $6.0 million and $12.9 million in our condensed consolidated balance sheet as of June 30, 2021 and December 31, 2020, respectively.</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July 13, 2020, the Company announced its decision to transition to an employee-centric model under which employees will work remotely rather than in traditional offices. In connection with this decision, the Company abandoned 14</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leases in its global portfolio of office leases during 2020. As a result, the Company recognized accelerated amortization to fully reduce the carrying value of the associated right of use assets between the decision date and the cease use date. During the second quarter of 2021, the Company decided to reoccupy some of its leased space to provide its employees with the option of working in an office space environment if they choose to do so. There were no changes to the accounting for the lease liabilities associated with the leased office spaces. During the three months ended June 30, 2021, we had a $3.3 million gain resulting from the settlement of leases.</w:t>
      </w:r>
    </w:p>
    <w:p>
      <w:pPr>
        <w:spacing w:after="0" w:line="2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2021, due to a dispute with one of the leases in Israel, the Company was required to pledge cash as collateral security to be maintained at an Israeli bank. The collateral security would remain in control of the bank, to be available in order to satisfy outstanding obligations under the lease contracts. Accordingly, the Company had cash at an Israeli bank of approximately $1.3 million at June 30, 2021, which is recorded as restricted cash in Prepaid expenses and other current assets in the condensed consolidated balance sheets.</w:t>
      </w:r>
    </w:p>
    <w:p>
      <w:pPr>
        <w:spacing w:after="0" w:line="214"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continue to actively assess our global lease portfolio. However, any additional de-recognition of right of use assets and incurrence of various one-time expenses in connection with early termination of additional leases are not expected to be material to our financial condition or results of operations.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cash flow information related to leases for the periods listed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60" w:type="dxa"/>
            <w:vAlign w:val="bottom"/>
            <w:gridSpan w:val="3"/>
          </w:tcPr>
          <w:p>
            <w:pPr>
              <w:jc w:val="center"/>
              <w:ind w:left="425"/>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2"/>
          </w:tcPr>
          <w:p>
            <w:pPr>
              <w:jc w:val="center"/>
              <w:ind w:left="304"/>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404"/>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9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5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Operating cash flows for operating leases</w:t>
            </w:r>
          </w:p>
        </w:tc>
        <w:tc>
          <w:tcPr>
            <w:tcW w:w="980" w:type="dxa"/>
            <w:vAlign w:val="bottom"/>
          </w:tcPr>
          <w:p>
            <w:pPr>
              <w:jc w:val="right"/>
              <w:ind w:right="80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856</w:t>
            </w:r>
          </w:p>
        </w:tc>
        <w:tc>
          <w:tcPr>
            <w:tcW w:w="1000" w:type="dxa"/>
            <w:vAlign w:val="bottom"/>
          </w:tcPr>
          <w:p>
            <w:pPr>
              <w:jc w:val="right"/>
              <w:ind w:right="744"/>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2,131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1,243</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4,117</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for finance leases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85</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179</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tcPr>
          <w:p>
            <w:pPr>
              <w:ind w:left="140"/>
              <w:spacing w:after="0"/>
              <w:rPr>
                <w:sz w:val="20"/>
                <w:szCs w:val="20"/>
                <w:color w:val="auto"/>
              </w:rPr>
            </w:pPr>
            <w:r>
              <w:rPr>
                <w:rFonts w:ascii="Arial" w:cs="Arial" w:eastAsia="Arial" w:hAnsi="Arial"/>
                <w:sz w:val="16"/>
                <w:szCs w:val="16"/>
                <w:color w:val="auto"/>
              </w:rPr>
              <w:t>Financing cash flows for finance leases</w:t>
            </w:r>
          </w:p>
        </w:tc>
        <w:tc>
          <w:tcPr>
            <w:tcW w:w="980" w:type="dxa"/>
            <w:vAlign w:val="bottom"/>
          </w:tcPr>
          <w:p>
            <w:pPr>
              <w:spacing w:after="0"/>
              <w:rPr>
                <w:sz w:val="18"/>
                <w:szCs w:val="18"/>
                <w:color w:val="auto"/>
              </w:rPr>
            </w:pP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869</w:t>
            </w:r>
          </w:p>
        </w:tc>
        <w:tc>
          <w:tcPr>
            <w:tcW w:w="10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1,728</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lease costs for the quarters ended June 30, 2021 and 2020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44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r>
      <w:tr>
        <w:trPr>
          <w:trHeight w:val="195"/>
        </w:trPr>
        <w:tc>
          <w:tcPr>
            <w:tcW w:w="5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7"/>
        </w:trPr>
        <w:tc>
          <w:tcPr>
            <w:tcW w:w="5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5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Amortization of right of use assets</w:t>
            </w:r>
          </w:p>
        </w:tc>
        <w:tc>
          <w:tcPr>
            <w:tcW w:w="920" w:type="dxa"/>
            <w:vAlign w:val="bottom"/>
          </w:tcPr>
          <w:p>
            <w:pPr>
              <w:jc w:val="right"/>
              <w:ind w:right="74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cost</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1,624</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6,764</w:t>
            </w:r>
          </w:p>
        </w:tc>
      </w:tr>
      <w:tr>
        <w:trPr>
          <w:trHeight w:val="237"/>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cost</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9"/>
              </w:rPr>
              <w:t>2,609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50" w:lineRule="exact"/>
        <w:rPr>
          <w:sz w:val="20"/>
          <w:szCs w:val="20"/>
          <w:color w:val="auto"/>
        </w:rPr>
      </w:pPr>
    </w:p>
    <w:p>
      <w:pPr>
        <w:jc w:val="center"/>
        <w:ind w:left="8140"/>
        <w:spacing w:after="0"/>
        <w:rPr>
          <w:sz w:val="20"/>
          <w:szCs w:val="20"/>
          <w:color w:val="auto"/>
        </w:rPr>
      </w:pPr>
      <w:r>
        <w:rPr>
          <w:rFonts w:ascii="Arial" w:cs="Arial" w:eastAsia="Arial" w:hAnsi="Arial"/>
          <w:sz w:val="12"/>
          <w:szCs w:val="12"/>
          <w:b w:val="1"/>
          <w:bCs w:val="1"/>
          <w:color w:val="auto"/>
        </w:rPr>
        <w:t>June 30,</w:t>
      </w:r>
    </w:p>
    <w:p>
      <w:pPr>
        <w:spacing w:after="0" w:line="13"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auto"/>
        </w:rPr>
        <w:t>June 30,</w:t>
      </w:r>
    </w:p>
    <w:p>
      <w:pPr>
        <w:spacing w:after="0" w:line="13"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2020</w:t>
      </w:r>
    </w:p>
    <w:p>
      <w:pPr>
        <w:spacing w:after="0" w:line="9" w:lineRule="exact"/>
        <w:rPr>
          <w:sz w:val="20"/>
          <w:szCs w:val="20"/>
          <w:color w:val="auto"/>
        </w:rPr>
      </w:pPr>
    </w:p>
    <w:p>
      <w:pPr>
        <w:sectPr>
          <w:pgSz w:w="11900" w:h="16838" w:orient="portrait"/>
          <w:cols w:equalWidth="0" w:num="2">
            <w:col w:w="9500" w:space="720"/>
            <w:col w:w="102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3.0 years</w:t>
            </w:r>
          </w:p>
        </w:tc>
        <w:tc>
          <w:tcPr>
            <w:tcW w:w="1540" w:type="dxa"/>
            <w:vAlign w:val="bottom"/>
          </w:tcPr>
          <w:p>
            <w:pPr>
              <w:jc w:val="right"/>
              <w:spacing w:after="0"/>
              <w:rPr>
                <w:sz w:val="20"/>
                <w:szCs w:val="20"/>
                <w:color w:val="auto"/>
              </w:rPr>
            </w:pPr>
            <w:r>
              <w:rPr>
                <w:rFonts w:ascii="Arial" w:cs="Arial" w:eastAsia="Arial" w:hAnsi="Arial"/>
                <w:sz w:val="16"/>
                <w:szCs w:val="16"/>
                <w:color w:val="auto"/>
              </w:rPr>
              <w:t>3.4 years</w:t>
            </w:r>
          </w:p>
        </w:tc>
      </w:tr>
      <w:tr>
        <w:trPr>
          <w:trHeight w:val="219"/>
        </w:trPr>
        <w:tc>
          <w:tcPr>
            <w:tcW w:w="8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 years</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80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9"/>
        </w:trPr>
        <w:tc>
          <w:tcPr>
            <w:tcW w:w="8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200" w:type="dxa"/>
            <w:vAlign w:val="bottom"/>
            <w:gridSpan w:val="2"/>
            <w:vMerge w:val="restart"/>
          </w:tcPr>
          <w:p>
            <w:pPr>
              <w:jc w:val="center"/>
              <w:ind w:left="100"/>
              <w:spacing w:after="0"/>
              <w:rPr>
                <w:sz w:val="20"/>
                <w:szCs w:val="20"/>
                <w:color w:val="auto"/>
              </w:rPr>
            </w:pPr>
            <w:r>
              <w:rPr>
                <w:rFonts w:ascii="Arial" w:cs="Arial" w:eastAsia="Arial" w:hAnsi="Arial"/>
                <w:sz w:val="14"/>
                <w:szCs w:val="14"/>
                <w:b w:val="1"/>
                <w:bCs w:val="1"/>
                <w:color w:val="auto"/>
                <w:w w:val="90"/>
              </w:rPr>
              <w:t>Classification on the Consolidated Balance Sheet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jc w:val="right"/>
              <w:ind w:right="18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4200" w:type="dxa"/>
            <w:vAlign w:val="bottom"/>
            <w:gridSpan w:val="2"/>
            <w:vMerge w:val="continue"/>
          </w:tcPr>
          <w:p>
            <w:pPr>
              <w:spacing w:after="0"/>
              <w:rPr>
                <w:sz w:val="16"/>
                <w:szCs w:val="16"/>
                <w:color w:val="auto"/>
              </w:rPr>
            </w:pPr>
          </w:p>
        </w:tc>
        <w:tc>
          <w:tcPr>
            <w:tcW w:w="1280" w:type="dxa"/>
            <w:vAlign w:val="bottom"/>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ind w:right="62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4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Assets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460"/>
              <w:spacing w:after="0"/>
              <w:rPr>
                <w:sz w:val="20"/>
                <w:szCs w:val="20"/>
                <w:color w:val="auto"/>
              </w:rPr>
            </w:pPr>
            <w:r>
              <w:rPr>
                <w:rFonts w:ascii="Arial" w:cs="Arial" w:eastAsia="Arial" w:hAnsi="Arial"/>
                <w:sz w:val="16"/>
                <w:szCs w:val="16"/>
                <w:color w:val="auto"/>
              </w:rPr>
              <w:t>Operating right of use assets</w:t>
            </w:r>
          </w:p>
        </w:tc>
        <w:tc>
          <w:tcPr>
            <w:tcW w:w="4200" w:type="dxa"/>
            <w:vAlign w:val="bottom"/>
            <w:gridSpan w:val="2"/>
          </w:tcPr>
          <w:p>
            <w:pPr>
              <w:jc w:val="center"/>
              <w:ind w:left="100"/>
              <w:spacing w:after="0"/>
              <w:rPr>
                <w:sz w:val="20"/>
                <w:szCs w:val="20"/>
                <w:color w:val="auto"/>
              </w:rPr>
            </w:pPr>
            <w:r>
              <w:rPr>
                <w:rFonts w:ascii="Arial" w:cs="Arial" w:eastAsia="Arial" w:hAnsi="Arial"/>
                <w:sz w:val="16"/>
                <w:szCs w:val="16"/>
                <w:color w:val="auto"/>
                <w:w w:val="89"/>
              </w:rPr>
              <w:t>Operating lease right of use assets</w:t>
            </w:r>
          </w:p>
        </w:tc>
        <w:tc>
          <w:tcPr>
            <w:tcW w:w="1280" w:type="dxa"/>
            <w:vAlign w:val="bottom"/>
          </w:tcPr>
          <w:p>
            <w:pPr>
              <w:jc w:val="right"/>
              <w:ind w:right="764"/>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80"/>
              <w:spacing w:after="0"/>
              <w:rPr>
                <w:sz w:val="20"/>
                <w:szCs w:val="20"/>
                <w:color w:val="auto"/>
              </w:rPr>
            </w:pPr>
            <w:r>
              <w:rPr>
                <w:rFonts w:ascii="Arial" w:cs="Arial" w:eastAsia="Arial" w:hAnsi="Arial"/>
                <w:sz w:val="16"/>
                <w:szCs w:val="16"/>
                <w:color w:val="auto"/>
              </w:rPr>
              <w:t>307</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Finance right of use assets</w:t>
            </w:r>
          </w:p>
        </w:tc>
        <w:tc>
          <w:tcPr>
            <w:tcW w:w="4200" w:type="dxa"/>
            <w:vAlign w:val="bottom"/>
            <w:gridSpan w:val="2"/>
            <w:shd w:val="clear" w:color="auto" w:fill="CCEEFF"/>
          </w:tcPr>
          <w:p>
            <w:pPr>
              <w:jc w:val="center"/>
              <w:ind w:left="100"/>
              <w:spacing w:after="0"/>
              <w:rPr>
                <w:sz w:val="20"/>
                <w:szCs w:val="20"/>
                <w:color w:val="auto"/>
              </w:rPr>
            </w:pPr>
            <w:r>
              <w:rPr>
                <w:rFonts w:ascii="Arial" w:cs="Arial" w:eastAsia="Arial" w:hAnsi="Arial"/>
                <w:sz w:val="16"/>
                <w:szCs w:val="16"/>
                <w:color w:val="auto"/>
                <w:w w:val="90"/>
              </w:rPr>
              <w:t>Property and equipment, net</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4"/>
              </w:rPr>
              <w:t>8,263</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10,045</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Liabilities</w:t>
            </w: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460"/>
              <w:spacing w:after="0"/>
              <w:rPr>
                <w:sz w:val="20"/>
                <w:szCs w:val="20"/>
                <w:color w:val="auto"/>
              </w:rPr>
            </w:pPr>
            <w:r>
              <w:rPr>
                <w:rFonts w:ascii="Arial" w:cs="Arial" w:eastAsia="Arial" w:hAnsi="Arial"/>
                <w:sz w:val="16"/>
                <w:szCs w:val="16"/>
                <w:color w:val="auto"/>
              </w:rPr>
              <w:t>Current liabilities:</w:t>
            </w: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lease liability</w:t>
            </w:r>
          </w:p>
        </w:tc>
        <w:tc>
          <w:tcPr>
            <w:tcW w:w="4200" w:type="dxa"/>
            <w:vAlign w:val="bottom"/>
            <w:gridSpan w:val="2"/>
            <w:shd w:val="clear" w:color="auto" w:fill="CCEEFF"/>
          </w:tcPr>
          <w:p>
            <w:pPr>
              <w:jc w:val="center"/>
              <w:ind w:left="120"/>
              <w:spacing w:after="0"/>
              <w:rPr>
                <w:sz w:val="20"/>
                <w:szCs w:val="20"/>
                <w:color w:val="auto"/>
              </w:rPr>
            </w:pPr>
            <w:r>
              <w:rPr>
                <w:rFonts w:ascii="Arial" w:cs="Arial" w:eastAsia="Arial" w:hAnsi="Arial"/>
                <w:sz w:val="16"/>
                <w:szCs w:val="16"/>
                <w:color w:val="auto"/>
                <w:w w:val="94"/>
              </w:rPr>
              <w:t>Operating lease liability</w:t>
            </w:r>
          </w:p>
        </w:tc>
        <w:tc>
          <w:tcPr>
            <w:tcW w:w="128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4"/>
              </w:rPr>
              <w:t>2,711</w:t>
            </w: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0" w:type="dxa"/>
            <w:vAlign w:val="bottom"/>
          </w:tcPr>
          <w:p>
            <w:pPr>
              <w:spacing w:after="0"/>
              <w:rPr>
                <w:sz w:val="1"/>
                <w:szCs w:val="1"/>
                <w:color w:val="auto"/>
              </w:rPr>
            </w:pPr>
          </w:p>
        </w:tc>
      </w:tr>
      <w:tr>
        <w:trPr>
          <w:trHeight w:val="213"/>
        </w:trPr>
        <w:tc>
          <w:tcPr>
            <w:tcW w:w="3520" w:type="dxa"/>
            <w:vAlign w:val="bottom"/>
          </w:tcPr>
          <w:p>
            <w:pPr>
              <w:ind w:left="560"/>
              <w:spacing w:after="0"/>
              <w:rPr>
                <w:sz w:val="20"/>
                <w:szCs w:val="20"/>
                <w:color w:val="auto"/>
              </w:rPr>
            </w:pPr>
            <w:r>
              <w:rPr>
                <w:rFonts w:ascii="Arial" w:cs="Arial" w:eastAsia="Arial" w:hAnsi="Arial"/>
                <w:sz w:val="16"/>
                <w:szCs w:val="16"/>
                <w:color w:val="auto"/>
              </w:rPr>
              <w:t>Finance lease liability</w:t>
            </w:r>
          </w:p>
        </w:tc>
        <w:tc>
          <w:tcPr>
            <w:tcW w:w="4200" w:type="dxa"/>
            <w:vAlign w:val="bottom"/>
            <w:gridSpan w:val="2"/>
          </w:tcPr>
          <w:p>
            <w:pPr>
              <w:jc w:val="center"/>
              <w:ind w:left="100"/>
              <w:spacing w:after="0"/>
              <w:rPr>
                <w:sz w:val="20"/>
                <w:szCs w:val="20"/>
                <w:color w:val="auto"/>
              </w:rPr>
            </w:pPr>
            <w:r>
              <w:rPr>
                <w:rFonts w:ascii="Arial" w:cs="Arial" w:eastAsia="Arial" w:hAnsi="Arial"/>
                <w:sz w:val="16"/>
                <w:szCs w:val="16"/>
                <w:color w:val="auto"/>
                <w:w w:val="92"/>
              </w:rPr>
              <w:t>Accrued expenses and other current liabilities</w:t>
            </w:r>
          </w:p>
        </w:tc>
        <w:tc>
          <w:tcPr>
            <w:tcW w:w="1280" w:type="dxa"/>
            <w:vAlign w:val="bottom"/>
          </w:tcPr>
          <w:p>
            <w:pPr>
              <w:spacing w:after="0"/>
              <w:rPr>
                <w:sz w:val="18"/>
                <w:szCs w:val="18"/>
                <w:color w:val="auto"/>
              </w:rPr>
            </w:pPr>
          </w:p>
        </w:tc>
        <w:tc>
          <w:tcPr>
            <w:tcW w:w="620" w:type="dxa"/>
            <w:vAlign w:val="bottom"/>
          </w:tcPr>
          <w:p>
            <w:pPr>
              <w:jc w:val="right"/>
              <w:ind w:right="180"/>
              <w:spacing w:after="0"/>
              <w:rPr>
                <w:sz w:val="20"/>
                <w:szCs w:val="20"/>
                <w:color w:val="auto"/>
              </w:rPr>
            </w:pPr>
            <w:r>
              <w:rPr>
                <w:rFonts w:ascii="Arial" w:cs="Arial" w:eastAsia="Arial" w:hAnsi="Arial"/>
                <w:sz w:val="16"/>
                <w:szCs w:val="16"/>
                <w:color w:val="auto"/>
                <w:w w:val="84"/>
              </w:rPr>
              <w:t>3,563</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3,488</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Non-current liabilities:</w:t>
            </w:r>
          </w:p>
        </w:tc>
        <w:tc>
          <w:tcPr>
            <w:tcW w:w="4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560"/>
              <w:spacing w:after="0"/>
              <w:rPr>
                <w:sz w:val="20"/>
                <w:szCs w:val="20"/>
                <w:color w:val="auto"/>
              </w:rPr>
            </w:pPr>
            <w:r>
              <w:rPr>
                <w:rFonts w:ascii="Arial" w:cs="Arial" w:eastAsia="Arial" w:hAnsi="Arial"/>
                <w:sz w:val="16"/>
                <w:szCs w:val="16"/>
                <w:color w:val="auto"/>
              </w:rPr>
              <w:t>Operating lease liability</w:t>
            </w:r>
          </w:p>
        </w:tc>
        <w:tc>
          <w:tcPr>
            <w:tcW w:w="4200" w:type="dxa"/>
            <w:vAlign w:val="bottom"/>
            <w:gridSpan w:val="2"/>
          </w:tcPr>
          <w:p>
            <w:pPr>
              <w:jc w:val="center"/>
              <w:ind w:left="100"/>
              <w:spacing w:after="0"/>
              <w:rPr>
                <w:sz w:val="20"/>
                <w:szCs w:val="20"/>
                <w:color w:val="auto"/>
              </w:rPr>
            </w:pPr>
            <w:r>
              <w:rPr>
                <w:rFonts w:ascii="Arial" w:cs="Arial" w:eastAsia="Arial" w:hAnsi="Arial"/>
                <w:sz w:val="16"/>
                <w:szCs w:val="16"/>
                <w:color w:val="auto"/>
                <w:w w:val="93"/>
              </w:rPr>
              <w:t>Operating lease liability, net of current portion</w:t>
            </w:r>
          </w:p>
        </w:tc>
        <w:tc>
          <w:tcPr>
            <w:tcW w:w="1280" w:type="dxa"/>
            <w:vAlign w:val="bottom"/>
          </w:tcPr>
          <w:p>
            <w:pPr>
              <w:spacing w:after="0"/>
              <w:rPr>
                <w:sz w:val="18"/>
                <w:szCs w:val="18"/>
                <w:color w:val="auto"/>
              </w:rPr>
            </w:pPr>
          </w:p>
        </w:tc>
        <w:tc>
          <w:tcPr>
            <w:tcW w:w="620" w:type="dxa"/>
            <w:vAlign w:val="bottom"/>
          </w:tcPr>
          <w:p>
            <w:pPr>
              <w:jc w:val="right"/>
              <w:ind w:right="180"/>
              <w:spacing w:after="0"/>
              <w:rPr>
                <w:sz w:val="20"/>
                <w:szCs w:val="20"/>
                <w:color w:val="auto"/>
              </w:rPr>
            </w:pPr>
            <w:r>
              <w:rPr>
                <w:rFonts w:ascii="Arial" w:cs="Arial" w:eastAsia="Arial" w:hAnsi="Arial"/>
                <w:sz w:val="16"/>
                <w:szCs w:val="16"/>
                <w:color w:val="auto"/>
                <w:w w:val="84"/>
              </w:rPr>
              <w:t>3,250</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Finance lease liability</w:t>
            </w:r>
          </w:p>
        </w:tc>
        <w:tc>
          <w:tcPr>
            <w:tcW w:w="4200" w:type="dxa"/>
            <w:vAlign w:val="bottom"/>
            <w:gridSpan w:val="2"/>
            <w:shd w:val="clear" w:color="auto" w:fill="CCEEFF"/>
          </w:tcPr>
          <w:p>
            <w:pPr>
              <w:jc w:val="center"/>
              <w:ind w:left="100"/>
              <w:spacing w:after="0"/>
              <w:rPr>
                <w:sz w:val="20"/>
                <w:szCs w:val="20"/>
                <w:color w:val="auto"/>
              </w:rPr>
            </w:pPr>
            <w:r>
              <w:rPr>
                <w:rFonts w:ascii="Arial" w:cs="Arial" w:eastAsia="Arial" w:hAnsi="Arial"/>
                <w:sz w:val="16"/>
                <w:szCs w:val="16"/>
                <w:color w:val="auto"/>
                <w:w w:val="97"/>
              </w:rPr>
              <w:t>Other liabilities</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4"/>
              </w:rPr>
              <w:t>4,307</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Future minimum lease payments under non-cancellable operating and finance leases (with an initial or remaining lease terms in excess of one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tcBorders>
              <w:bottom w:val="single" w:sz="8" w:color="auto"/>
            </w:tcBorders>
          </w:tcPr>
          <w:p>
            <w:pPr>
              <w:spacing w:after="0"/>
              <w:rPr>
                <w:sz w:val="16"/>
                <w:szCs w:val="16"/>
                <w:color w:val="auto"/>
              </w:rPr>
            </w:pPr>
          </w:p>
        </w:tc>
      </w:tr>
      <w:tr>
        <w:trPr>
          <w:trHeight w:val="135"/>
        </w:trPr>
        <w:tc>
          <w:tcPr>
            <w:tcW w:w="7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Operating</w:t>
            </w:r>
          </w:p>
        </w:tc>
        <w:tc>
          <w:tcPr>
            <w:tcW w:w="660" w:type="dxa"/>
            <w:vAlign w:val="bottom"/>
          </w:tcPr>
          <w:p>
            <w:pPr>
              <w:spacing w:after="0"/>
              <w:rPr>
                <w:sz w:val="11"/>
                <w:szCs w:val="11"/>
                <w:color w:val="auto"/>
              </w:rPr>
            </w:pPr>
          </w:p>
        </w:tc>
        <w:tc>
          <w:tcPr>
            <w:tcW w:w="1160" w:type="dxa"/>
            <w:vAlign w:val="bottom"/>
          </w:tcPr>
          <w:p>
            <w:pPr>
              <w:jc w:val="right"/>
              <w:ind w:right="381"/>
              <w:spacing w:after="0" w:line="135" w:lineRule="exact"/>
              <w:rPr>
                <w:sz w:val="20"/>
                <w:szCs w:val="20"/>
                <w:color w:val="auto"/>
              </w:rPr>
            </w:pPr>
            <w:r>
              <w:rPr>
                <w:rFonts w:ascii="Arial" w:cs="Arial" w:eastAsia="Arial" w:hAnsi="Arial"/>
                <w:sz w:val="14"/>
                <w:szCs w:val="14"/>
                <w:b w:val="1"/>
                <w:bCs w:val="1"/>
                <w:color w:val="auto"/>
              </w:rPr>
              <w:t>Finance</w:t>
            </w:r>
          </w:p>
        </w:tc>
      </w:tr>
      <w:tr>
        <w:trPr>
          <w:trHeight w:val="188"/>
        </w:trPr>
        <w:tc>
          <w:tcPr>
            <w:tcW w:w="74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Leases</w:t>
            </w: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w w:val="92"/>
              </w:rPr>
              <w:t>Leases</w:t>
            </w:r>
          </w:p>
        </w:tc>
      </w:tr>
      <w:tr>
        <w:trPr>
          <w:trHeight w:val="183"/>
        </w:trPr>
        <w:tc>
          <w:tcPr>
            <w:tcW w:w="7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r>
      <w:tr>
        <w:trPr>
          <w:trHeight w:val="217"/>
        </w:trPr>
        <w:tc>
          <w:tcPr>
            <w:tcW w:w="7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2021 (remaining six months for June 30, 2021)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w:t>
            </w:r>
          </w:p>
        </w:tc>
      </w:tr>
      <w:tr>
        <w:trPr>
          <w:trHeight w:val="213"/>
        </w:trPr>
        <w:tc>
          <w:tcPr>
            <w:tcW w:w="7480" w:type="dxa"/>
            <w:vAlign w:val="bottom"/>
          </w:tcPr>
          <w:p>
            <w:pPr>
              <w:ind w:left="460"/>
              <w:spacing w:after="0"/>
              <w:rPr>
                <w:sz w:val="20"/>
                <w:szCs w:val="20"/>
                <w:color w:val="auto"/>
              </w:rPr>
            </w:pPr>
            <w:r>
              <w:rPr>
                <w:rFonts w:ascii="Arial" w:cs="Arial" w:eastAsia="Arial" w:hAnsi="Arial"/>
                <w:sz w:val="16"/>
                <w:szCs w:val="16"/>
                <w:color w:val="auto"/>
              </w:rPr>
              <w:t>2022</w:t>
            </w: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3,813</w:t>
            </w:r>
          </w:p>
        </w:tc>
      </w:tr>
      <w:tr>
        <w:trPr>
          <w:trHeight w:val="219"/>
        </w:trPr>
        <w:tc>
          <w:tcPr>
            <w:tcW w:w="7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2023</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7480" w:type="dxa"/>
            <w:vAlign w:val="bottom"/>
          </w:tcPr>
          <w:p>
            <w:pPr>
              <w:ind w:left="460"/>
              <w:spacing w:after="0"/>
              <w:rPr>
                <w:sz w:val="20"/>
                <w:szCs w:val="20"/>
                <w:color w:val="auto"/>
              </w:rPr>
            </w:pPr>
            <w:r>
              <w:rPr>
                <w:rFonts w:ascii="Arial" w:cs="Arial" w:eastAsia="Arial" w:hAnsi="Arial"/>
                <w:sz w:val="16"/>
                <w:szCs w:val="16"/>
                <w:color w:val="auto"/>
              </w:rPr>
              <w:t>2024</w:t>
            </w: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2025</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Thereafter</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minimum lease payments</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8,220</w:t>
            </w:r>
          </w:p>
        </w:tc>
      </w:tr>
      <w:tr>
        <w:trPr>
          <w:trHeight w:val="213"/>
        </w:trPr>
        <w:tc>
          <w:tcPr>
            <w:tcW w:w="74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Less: present value adjustment</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38"/>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Present value of lease liabilities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5,961</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timing and amounts of future minimum lease payments under non-cancellable operating leases in the above table may be subject to change as a result of the restructuring. For more information, see Note 13 – Restructuring.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We measure our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3" w:lineRule="exact"/>
        <w:rPr>
          <w:sz w:val="20"/>
          <w:szCs w:val="20"/>
          <w:color w:val="auto"/>
        </w:rPr>
      </w:pPr>
    </w:p>
    <w:p>
      <w:pPr>
        <w:ind w:left="1300" w:hanging="42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300" w:hanging="428"/>
        <w:spacing w:after="0" w:line="263"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5" w:lineRule="exact"/>
        <w:rPr>
          <w:rFonts w:ascii="Arial" w:cs="Arial" w:eastAsia="Arial" w:hAnsi="Arial"/>
          <w:sz w:val="18"/>
          <w:szCs w:val="18"/>
          <w:color w:val="auto"/>
        </w:rPr>
      </w:pPr>
    </w:p>
    <w:p>
      <w:pPr>
        <w:ind w:left="1300" w:hanging="428"/>
        <w:spacing w:after="0" w:line="308" w:lineRule="auto"/>
        <w:tabs>
          <w:tab w:leader="none" w:pos="12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w:t>
      </w:r>
    </w:p>
    <w:p>
      <w:pPr>
        <w:spacing w:after="0" w:line="25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carrying amount of cash, accounts receivable, and accounts payable approximate their fair value due to their short-term nature. Our assets and liabilities that are measured at fair value on a recurring basis, by level, within the fair value hierarchy as of June 30, 2021 and December 31, 2020, are summarized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8"/>
              </w:rPr>
              <w:t>June 30, 2021</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183"/>
        </w:trPr>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5"/>
          </w:tcPr>
          <w:p>
            <w:pPr>
              <w:ind w:left="720"/>
              <w:spacing w:after="0"/>
              <w:rPr>
                <w:sz w:val="20"/>
                <w:szCs w:val="20"/>
                <w:color w:val="auto"/>
              </w:rPr>
            </w:pPr>
            <w:r>
              <w:rPr>
                <w:rFonts w:ascii="Arial" w:cs="Arial" w:eastAsia="Arial" w:hAnsi="Arial"/>
                <w:sz w:val="14"/>
                <w:szCs w:val="14"/>
                <w:b w:val="1"/>
                <w:bCs w:val="1"/>
                <w:color w:val="auto"/>
                <w:w w:val="95"/>
              </w:rPr>
              <w:t>(In thousands)</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Cash equivalents: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32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518,236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518,236</w:t>
            </w:r>
          </w:p>
        </w:tc>
      </w:tr>
      <w:tr>
        <w:trPr>
          <w:trHeight w:val="212"/>
        </w:trPr>
        <w:tc>
          <w:tcPr>
            <w:tcW w:w="52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gridSpan w:val="2"/>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518,236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518,236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Contingent earn-out</w:t>
            </w:r>
          </w:p>
        </w:tc>
        <w:tc>
          <w:tcPr>
            <w:tcW w:w="32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46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06"/>
        </w:trPr>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5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183"/>
        </w:trPr>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5"/>
          </w:tcPr>
          <w:p>
            <w:pPr>
              <w:ind w:left="740"/>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Cash equivalents: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328,195</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328,195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Contingent earn-out</w:t>
            </w: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3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determining fair value, we utilize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our assumptions based on the best information available.</w:t>
      </w:r>
    </w:p>
    <w:p>
      <w:pPr>
        <w:spacing w:after="0" w:line="19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money market funds are measured at fair value on a recurring basis based on quoted market prices in active markets and are classified as level 1 within the fair value hierarchy. Our contingent earn-out liability is measured at fair value on a recurring basis and is classified as level 3 within the fair value hierarchy. On a nonrecurring basis, we use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We use an income approach and inputs that constitute level 3.</w:t>
      </w:r>
    </w:p>
    <w:p>
      <w:pPr>
        <w:spacing w:after="0" w:line="19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As of June 30, 2021, the fair value of the Notes, as further described in Note 8 – Convertible Senior Notes and Capped Call Transactions above, was approximately $597.8 million. Management determines the fair value by utilizing an independent valuation specialist using the antithetic variable technique which is considered a level 2 fair value measurement.</w:t>
      </w:r>
    </w:p>
    <w:p>
      <w:pPr>
        <w:spacing w:after="0" w:line="2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recorded a contingent earn-out of $2.4 million in December 2018 in connection with the acquisitions of Conversable, Inc. and AdvantageTec. The contingent earn-out is based on achieving certain targeted financial, strategic, and integration objectives. The unobservable inputs considered are probability factors and the time value of money. During the year ended December 31, 2020, the contingent earn-out decreased by $0.6 million due to a decrease in re-measurement to fair value of</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AdvantageTec, of approximately $0.3 million and payments of approximately $0.3 million in shares. During the six months ended June 30, 2021, the contingent earn-out increased by $0.1 million and then subsequently paid out in shares during the second quarter.</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fair value of the level 3 liabilities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60" w:type="dxa"/>
            <w:vAlign w:val="bottom"/>
          </w:tcPr>
          <w:p>
            <w:pPr>
              <w:spacing w:after="0"/>
              <w:rPr>
                <w:sz w:val="16"/>
                <w:szCs w:val="16"/>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960" w:type="dxa"/>
            <w:vAlign w:val="bottom"/>
            <w:gridSpan w:val="4"/>
          </w:tcPr>
          <w:p>
            <w:pPr>
              <w:jc w:val="right"/>
              <w:ind w:right="962"/>
              <w:spacing w:after="0"/>
              <w:rPr>
                <w:sz w:val="20"/>
                <w:szCs w:val="20"/>
                <w:color w:val="auto"/>
              </w:rPr>
            </w:pPr>
            <w:r>
              <w:rPr>
                <w:rFonts w:ascii="Arial" w:cs="Arial" w:eastAsia="Arial" w:hAnsi="Arial"/>
                <w:sz w:val="14"/>
                <w:szCs w:val="14"/>
                <w:b w:val="1"/>
                <w:bCs w:val="1"/>
                <w:color w:val="auto"/>
                <w:w w:val="93"/>
              </w:rPr>
              <w:t>(In thousands)</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AdvantageTec Inc. fair value adjustment</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w:t>
            </w: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401(k) policy is a Safe Harbor Plan, whereby the Company matches 100% of the first 3% of eligible compensation and 50% of the next 2% of eligible compensation. Furthermore, the match is immediately vested. Salaries and related expenses include $0.9 million and $0.8 million of employer matching contributions for the three months ended June 30, 2021 and 2020, respectively, and $1.8 million and $1.7 million for the six months ended June 30, 2021 and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5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June 30, 2021, we had a letter of credit totaling $0.6 million as a security deposit for the due performance by the Company of the terms and conditions of a supply contract.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Liabilities</w:t>
      </w:r>
    </w:p>
    <w:p>
      <w:pPr>
        <w:spacing w:after="0" w:line="2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in the process of finalizing our sales tax liability analysis for states in which we have economic nexus. During the first quarter of 2020, we determined it was probable we would be subject to sales tax liabilities plus applicable interest in these states and have estimated the potential exposure to range between $2.5 million to $6.3 million. We determined that our best estimate of what would be reasonably expected for us to settle the potential exposure was $2.5 million and accordingly, we accrued this amount with a corresponding charge to earnings as of March 31, 2020. As of June 30, 2021, there is a $2.0 million accrual balance for sales tax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5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December 2019, a novel coronavirus disease (“COVID-19”) was first reported. On March 11, 2020, due to worldwide spread of the virus, the World Health Organization characterized COVID-19 as a pandemic. The COVID-19 global pandemic has resulted in a widespread health crisis, and the resulting impact on governments, businesses, and individuals and actions taken by them in response to the situation have resulted in widespread economic disruptions, significantly affecting broader economies, financial markets, and overall demand for the Company’s products. The COVID-19 outbreak also has caused increased uncertainty in estimates and assumptions affecting the reported amounts of assets and liabilities, and the disclosure of contingent assets and liabilities in the Company’s condensed consolidated financial statements as the extent and period of recovery from the COVID-19 outbreak and related economic disruption is difficult to forecast.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extent to which COVID-19 impacts the Company’s business and financial results will depend on numerous evolving factors including, but not limited to, the magnitude and duration of COVID-19, the extent to which it will impact worldwide macroeconomic conditions,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The accounting matters assessed included, but were not limited to, the Company’s allowance for credit losses and the carrying value of the goodwill and other long-lived assets. While there was not any significant impact to the operations of the Company, during the twelve months ended December 31, 2020, the Company moved to an employee-centric model under which employees will work remotely rather than in traditional offices due to concerns about COVID-19. As a result of this decision, the Company recognized accelerated amortization to fully reduce the carrying value of the associated right of use assets for 14 leases within its global lease portfolio, which is a material impact to the Company’s consolidated financial statements as of and for the twelve months ended December 31, 2020. During the second quarter of 2021, the Company decided to reoccupy some of its leased space to provide its employees with the option of working in an office space environment if they choose to do so. Refer to Note 9 – Leases for a detailed discussion of the impacts of this lease restructuring.</w:t>
      </w:r>
    </w:p>
    <w:p>
      <w:pPr>
        <w:spacing w:after="0" w:line="20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future assessment of the magnitude and duration of COVID-19, as well as other factors, could result in other material impacts to the Company’s consolidated financial statements in future reporting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5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As of June 30, 2021, there were 200,000,000 shares of common stock authorized, 72,017,145 shares issued, and 69,307,315 shares outstanding. As of December 31, 2020, there were 200,000,000 shares of common stock authorized, 70,264,265 shares issued and 67,554,435 shares outstanding. The par value for shares of common stock is $0.001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2021 and December 31, 2020, there were 5,000,000 shares of preferred stock authorized, and no shares were issued or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 value for shares of preferred stock is $0.001 per share.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Plans</w:t>
      </w:r>
    </w:p>
    <w:p>
      <w:pPr>
        <w:spacing w:after="0" w:line="2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Company’s 2019 Stock Incentive Plan, as amended and restated (the “2019 Plan”), became effective on April 11, 2019. The 2019 Plan allows the Company to grant incentive stock options and restricted stock units to its employees and directors to participate in the Company’s future performance through stock-based awards at the discretion of the board of directors. On April 19, 2021, the Company’s board of directors amended the plan and authorized 5,000,000 new shares for issuance. The number of shares authorized for issuance is 40,067,744 shares in the aggregate. Options to acquire common stock granted thereunder have ten-year terms. As of June 30, 2021, approximately 6.0 million shares of common stock remained available for issuance (taking into account all option exercises and other equity award settlements through June 30,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There are 2,000,000 shares authorized and reserved for issuance under the 2019 Employee Stock Purchase Plan. As of June 30, 2021, approximately 0.8 million shares of common stock remain available for issuance under the 2019 Employee Stock Purchase Plan (taking into account all share purchases through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Inducement Plan</w:t>
      </w:r>
    </w:p>
    <w:p>
      <w:pPr>
        <w:spacing w:after="0" w:line="25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There are 3,368,048 shares of common stock authorized and reserved for issuance under the Inducement Plan. As of June 30, 2021, approximately 1.2 million shares of common stock remained available for issuance under the Inducement Plan (taking into account all option exercises and other equity award settlements through June 30, 2021).</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743"/>
              <w:spacing w:after="0"/>
              <w:rPr>
                <w:sz w:val="20"/>
                <w:szCs w:val="20"/>
                <w:color w:val="auto"/>
              </w:rPr>
            </w:pPr>
            <w:r>
              <w:rPr>
                <w:rFonts w:ascii="Arial" w:cs="Arial" w:eastAsia="Arial" w:hAnsi="Arial"/>
                <w:sz w:val="14"/>
                <w:szCs w:val="14"/>
                <w:b w:val="1"/>
                <w:bCs w:val="1"/>
                <w:color w:val="auto"/>
              </w:rPr>
              <w:t>Stock Option Activity</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96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94"/>
              </w:rPr>
              <w:t>Options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20" w:type="dxa"/>
            <w:vAlign w:val="bottom"/>
          </w:tcPr>
          <w:p>
            <w:pPr>
              <w:jc w:val="center"/>
              <w:ind w:right="43"/>
              <w:spacing w:after="0" w:line="148" w:lineRule="exact"/>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120" w:type="dxa"/>
            <w:vAlign w:val="bottom"/>
          </w:tcPr>
          <w:p>
            <w:pPr>
              <w:spacing w:after="0"/>
              <w:rPr>
                <w:sz w:val="11"/>
                <w:szCs w:val="11"/>
                <w:color w:val="auto"/>
              </w:rPr>
            </w:pPr>
          </w:p>
        </w:tc>
        <w:tc>
          <w:tcPr>
            <w:tcW w:w="132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24"/>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outstanding at December 31, 2020</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4,332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183,825</w:t>
            </w:r>
          </w:p>
        </w:tc>
        <w:tc>
          <w:tcPr>
            <w:tcW w:w="0" w:type="dxa"/>
            <w:vAlign w:val="bottom"/>
          </w:tcPr>
          <w:p>
            <w:pPr>
              <w:spacing w:after="0"/>
              <w:rPr>
                <w:sz w:val="1"/>
                <w:szCs w:val="1"/>
                <w:color w:val="auto"/>
              </w:rPr>
            </w:pPr>
          </w:p>
        </w:tc>
      </w:tr>
      <w:tr>
        <w:trPr>
          <w:trHeight w:val="213"/>
        </w:trPr>
        <w:tc>
          <w:tcPr>
            <w:tcW w:w="616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46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 or expired</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outstanding at June 30, 2021</w:t>
            </w:r>
          </w:p>
        </w:tc>
        <w:tc>
          <w:tcPr>
            <w:tcW w:w="9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4,255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166,339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Options vested and expected to vest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1,187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32.09</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37,185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Options exercisable at June 30, 2021</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2,448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114,235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total fair value of stock options exercised during the six months ended June 30, 2021 was approximately $3.0 million. As of June 30, 2021, there was approximately $24.4 million of total unrecognized compensation cost related to nonvested share-based compensation arrangements. That cost is expected to be recognized over a weighted average period of approximately 2.9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Company’s restricted stock unit (“RSU”) activity and weighted average exercise prices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600" w:type="dxa"/>
            <w:vAlign w:val="bottom"/>
            <w:gridSpan w:val="5"/>
          </w:tcPr>
          <w:p>
            <w:pPr>
              <w:ind w:left="820"/>
              <w:spacing w:after="0"/>
              <w:rPr>
                <w:sz w:val="20"/>
                <w:szCs w:val="20"/>
                <w:color w:val="auto"/>
              </w:rPr>
            </w:pPr>
            <w:r>
              <w:rPr>
                <w:rFonts w:ascii="Arial" w:cs="Arial" w:eastAsia="Arial" w:hAnsi="Arial"/>
                <w:sz w:val="14"/>
                <w:szCs w:val="14"/>
                <w:b w:val="1"/>
                <w:bCs w:val="1"/>
                <w:color w:val="auto"/>
              </w:rPr>
              <w:t>Restricted Stock Unit Activity</w:t>
            </w: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ind w:right="64"/>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w w:val="98"/>
              </w:rPr>
              <w:t>Aggregate Fair Value</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22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(Per share)</w:t>
            </w:r>
          </w:p>
        </w:tc>
        <w:tc>
          <w:tcPr>
            <w:tcW w:w="220" w:type="dxa"/>
            <w:vAlign w:val="bottom"/>
          </w:tcPr>
          <w:p>
            <w:pPr>
              <w:spacing w:after="0"/>
              <w:rPr>
                <w:sz w:val="16"/>
                <w:szCs w:val="16"/>
                <w:color w:val="auto"/>
              </w:rPr>
            </w:pPr>
          </w:p>
        </w:tc>
        <w:tc>
          <w:tcPr>
            <w:tcW w:w="1740" w:type="dxa"/>
            <w:vAlign w:val="bottom"/>
          </w:tcPr>
          <w:p>
            <w:pPr>
              <w:jc w:val="right"/>
              <w:ind w:right="44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outstanding at December 31, 2020</w:t>
            </w:r>
          </w:p>
        </w:tc>
        <w:tc>
          <w:tcPr>
            <w:tcW w:w="1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183,781</w:t>
            </w:r>
          </w:p>
        </w:tc>
        <w:tc>
          <w:tcPr>
            <w:tcW w:w="0" w:type="dxa"/>
            <w:vAlign w:val="bottom"/>
          </w:tcPr>
          <w:p>
            <w:pPr>
              <w:spacing w:after="0"/>
              <w:rPr>
                <w:sz w:val="1"/>
                <w:szCs w:val="1"/>
                <w:color w:val="auto"/>
              </w:rPr>
            </w:pPr>
          </w:p>
        </w:tc>
      </w:tr>
      <w:tr>
        <w:trPr>
          <w:trHeight w:val="213"/>
        </w:trPr>
        <w:tc>
          <w:tcPr>
            <w:tcW w:w="5640" w:type="dxa"/>
            <w:vAlign w:val="bottom"/>
          </w:tcPr>
          <w:p>
            <w:pPr>
              <w:ind w:left="140"/>
              <w:spacing w:after="0"/>
              <w:rPr>
                <w:sz w:val="20"/>
                <w:szCs w:val="20"/>
                <w:color w:val="auto"/>
              </w:rPr>
            </w:pPr>
            <w:r>
              <w:rPr>
                <w:rFonts w:ascii="Arial" w:cs="Arial" w:eastAsia="Arial" w:hAnsi="Arial"/>
                <w:sz w:val="16"/>
                <w:szCs w:val="16"/>
                <w:color w:val="auto"/>
              </w:rPr>
              <w:t>Awarded</w:t>
            </w: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and outstanding at June 30, 2021</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191,205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tcPr>
          <w:p>
            <w:pPr>
              <w:ind w:left="20"/>
              <w:spacing w:after="0"/>
              <w:rPr>
                <w:sz w:val="20"/>
                <w:szCs w:val="20"/>
                <w:color w:val="auto"/>
              </w:rPr>
            </w:pPr>
            <w:r>
              <w:rPr>
                <w:rFonts w:ascii="Arial" w:cs="Arial" w:eastAsia="Arial" w:hAnsi="Arial"/>
                <w:sz w:val="16"/>
                <w:szCs w:val="16"/>
                <w:color w:val="auto"/>
              </w:rPr>
              <w:t>Expected to vest</w:t>
            </w: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116,404</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RSUs granted to employees generally vest over a three to four-year period or upon achievement of certain performance conditions. As of June 30, 2021, total unrecognized compensation cost, adjusted for estimated forfeitures, related to nonvested RSUs was approximately $106.2 million and the weighted-average remaining vesting period was 3.2 years.</w:t>
      </w:r>
    </w:p>
    <w:p>
      <w:pPr>
        <w:spacing w:after="0" w:line="211"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For the three months ended June 30, 2021 and 2020, the Company accrued approximately $5.1 million and $7.9 million in cash rewards, respectively, and for the six months ended June 30, 2021 and 2020, the Company accrued approximately $10.4 million and $11.6 million in cash awards, respectively, to be settled in shares of the Company’s stock and recorded a corresponding expense, which is included as a component of stock-based compensation expense in the accompanying condensed consolidated statements of operations for the three and six months ended June 30, 2021 and 2020, respectively.</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Stock-based compensation expense recognized in the Company’s condensed consolidated statements of operations and cash flows was $15.1 million and $15.9 million for the three months ended June 30, 2021 and 2020, respectively, and $29.7 million and $30.6 million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per share weighted average fair value of stock options granted was $24.76 and $12.36 during the three months ended June 30, 2021 and 2020, respectively. The per share weighted average fair value of stock options granted was $25.71 and $12.25 during the six months ended June 30, 2021 and 2020, respectively. The fair value of each option grant is estimated on the date of grant, adjusted for estimated forfeitures, using the Black-Scholes option-pricing model with the following weighted average assumptions: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19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22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5"/>
              </w:rPr>
              <w:t>0.00%</w:t>
            </w:r>
          </w:p>
        </w:tc>
        <w:tc>
          <w:tcPr>
            <w:tcW w:w="1740" w:type="dxa"/>
            <w:vAlign w:val="bottom"/>
            <w:gridSpan w:val="4"/>
            <w:shd w:val="clear" w:color="auto" w:fill="CCEEFF"/>
          </w:tcPr>
          <w:p>
            <w:pPr>
              <w:jc w:val="center"/>
              <w:ind w:left="248"/>
              <w:spacing w:after="0"/>
              <w:rPr>
                <w:sz w:val="20"/>
                <w:szCs w:val="20"/>
                <w:color w:val="auto"/>
              </w:rPr>
            </w:pPr>
            <w:r>
              <w:rPr>
                <w:rFonts w:ascii="Arial" w:cs="Arial" w:eastAsia="Arial" w:hAnsi="Arial"/>
                <w:sz w:val="14"/>
                <w:szCs w:val="14"/>
                <w:color w:val="auto"/>
                <w:w w:val="95"/>
              </w:rPr>
              <w:t>0.00%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0.00%</w:t>
            </w:r>
          </w:p>
        </w:tc>
        <w:tc>
          <w:tcPr>
            <w:tcW w:w="1740" w:type="dxa"/>
            <w:vAlign w:val="bottom"/>
            <w:gridSpan w:val="4"/>
            <w:shd w:val="clear" w:color="auto" w:fill="CCEEFF"/>
          </w:tcPr>
          <w:p>
            <w:pPr>
              <w:jc w:val="center"/>
              <w:ind w:left="248"/>
              <w:spacing w:after="0"/>
              <w:rPr>
                <w:sz w:val="20"/>
                <w:szCs w:val="20"/>
                <w:color w:val="auto"/>
              </w:rPr>
            </w:pPr>
            <w:r>
              <w:rPr>
                <w:rFonts w:ascii="Arial" w:cs="Arial" w:eastAsia="Arial" w:hAnsi="Arial"/>
                <w:sz w:val="14"/>
                <w:szCs w:val="14"/>
                <w:color w:val="auto"/>
                <w:w w:val="95"/>
              </w:rPr>
              <w:t>0.00%</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220" w:type="dxa"/>
            <w:vAlign w:val="bottom"/>
          </w:tcPr>
          <w:p>
            <w:pPr>
              <w:jc w:val="center"/>
              <w:ind w:left="128"/>
              <w:spacing w:after="0"/>
              <w:rPr>
                <w:sz w:val="20"/>
                <w:szCs w:val="20"/>
                <w:color w:val="auto"/>
              </w:rPr>
            </w:pPr>
            <w:r>
              <w:rPr>
                <w:rFonts w:ascii="Arial" w:cs="Arial" w:eastAsia="Arial" w:hAnsi="Arial"/>
                <w:sz w:val="14"/>
                <w:szCs w:val="14"/>
                <w:color w:val="auto"/>
                <w:w w:val="93"/>
              </w:rPr>
              <w:t>0.77% -0.84%</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0.31%</w:t>
            </w:r>
          </w:p>
        </w:tc>
        <w:tc>
          <w:tcPr>
            <w:tcW w:w="760" w:type="dxa"/>
            <w:vAlign w:val="bottom"/>
          </w:tcPr>
          <w:p>
            <w:pPr>
              <w:ind w:left="20"/>
              <w:spacing w:after="0"/>
              <w:rPr>
                <w:sz w:val="20"/>
                <w:szCs w:val="20"/>
                <w:color w:val="auto"/>
              </w:rPr>
            </w:pPr>
            <w:r>
              <w:rPr>
                <w:rFonts w:ascii="Arial" w:cs="Arial" w:eastAsia="Arial" w:hAnsi="Arial"/>
                <w:sz w:val="14"/>
                <w:szCs w:val="14"/>
                <w:color w:val="auto"/>
              </w:rPr>
              <w:t>- 0.32%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0.46%</w:t>
            </w:r>
          </w:p>
        </w:tc>
        <w:tc>
          <w:tcPr>
            <w:tcW w:w="560" w:type="dxa"/>
            <w:vAlign w:val="bottom"/>
          </w:tcPr>
          <w:p>
            <w:pPr>
              <w:ind w:left="20"/>
              <w:spacing w:after="0"/>
              <w:rPr>
                <w:sz w:val="20"/>
                <w:szCs w:val="20"/>
                <w:color w:val="auto"/>
              </w:rPr>
            </w:pPr>
            <w:r>
              <w:rPr>
                <w:rFonts w:ascii="Arial" w:cs="Arial" w:eastAsia="Arial" w:hAnsi="Arial"/>
                <w:sz w:val="14"/>
                <w:szCs w:val="14"/>
                <w:color w:val="auto"/>
              </w:rPr>
              <w:t>- 0.84%</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0.31%</w:t>
            </w:r>
          </w:p>
        </w:tc>
        <w:tc>
          <w:tcPr>
            <w:tcW w:w="760" w:type="dxa"/>
            <w:vAlign w:val="bottom"/>
          </w:tcPr>
          <w:p>
            <w:pPr>
              <w:ind w:left="20"/>
              <w:spacing w:after="0"/>
              <w:rPr>
                <w:sz w:val="20"/>
                <w:szCs w:val="20"/>
                <w:color w:val="auto"/>
              </w:rPr>
            </w:pPr>
            <w:r>
              <w:rPr>
                <w:rFonts w:ascii="Arial" w:cs="Arial" w:eastAsia="Arial" w:hAnsi="Arial"/>
                <w:sz w:val="14"/>
                <w:szCs w:val="14"/>
                <w:color w:val="auto"/>
              </w:rPr>
              <w:t>- 0.66%</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122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588"/>
              <w:spacing w:after="0"/>
              <w:rPr>
                <w:sz w:val="20"/>
                <w:szCs w:val="20"/>
                <w:color w:val="auto"/>
              </w:rPr>
            </w:pPr>
            <w:r>
              <w:rPr>
                <w:rFonts w:ascii="Arial" w:cs="Arial" w:eastAsia="Arial" w:hAnsi="Arial"/>
                <w:sz w:val="14"/>
                <w:szCs w:val="14"/>
                <w:color w:val="auto"/>
                <w:w w:val="76"/>
              </w:rPr>
              <w:t>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right="40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608"/>
              <w:spacing w:after="0"/>
              <w:rPr>
                <w:sz w:val="20"/>
                <w:szCs w:val="20"/>
                <w:color w:val="auto"/>
              </w:rPr>
            </w:pPr>
            <w:r>
              <w:rPr>
                <w:rFonts w:ascii="Arial" w:cs="Arial" w:eastAsia="Arial" w:hAnsi="Arial"/>
                <w:sz w:val="14"/>
                <w:szCs w:val="14"/>
                <w:color w:val="auto"/>
              </w:rPr>
              <w:t>5</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Historical volatility</w:t>
            </w:r>
          </w:p>
        </w:tc>
        <w:tc>
          <w:tcPr>
            <w:tcW w:w="1220" w:type="dxa"/>
            <w:vAlign w:val="bottom"/>
          </w:tcPr>
          <w:p>
            <w:pPr>
              <w:jc w:val="center"/>
              <w:ind w:left="148"/>
              <w:spacing w:after="0"/>
              <w:rPr>
                <w:sz w:val="20"/>
                <w:szCs w:val="20"/>
                <w:color w:val="auto"/>
              </w:rPr>
            </w:pPr>
            <w:r>
              <w:rPr>
                <w:rFonts w:ascii="Arial" w:cs="Arial" w:eastAsia="Arial" w:hAnsi="Arial"/>
                <w:sz w:val="14"/>
                <w:szCs w:val="14"/>
                <w:color w:val="auto"/>
                <w:w w:val="93"/>
              </w:rPr>
              <w:t>54.31% - 54.55%</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51.91%</w:t>
            </w:r>
          </w:p>
        </w:tc>
        <w:tc>
          <w:tcPr>
            <w:tcW w:w="760" w:type="dxa"/>
            <w:vAlign w:val="bottom"/>
          </w:tcPr>
          <w:p>
            <w:pPr>
              <w:ind w:left="20"/>
              <w:spacing w:after="0"/>
              <w:rPr>
                <w:sz w:val="20"/>
                <w:szCs w:val="20"/>
                <w:color w:val="auto"/>
              </w:rPr>
            </w:pPr>
            <w:r>
              <w:rPr>
                <w:rFonts w:ascii="Arial" w:cs="Arial" w:eastAsia="Arial" w:hAnsi="Arial"/>
                <w:sz w:val="14"/>
                <w:szCs w:val="14"/>
                <w:color w:val="auto"/>
              </w:rPr>
              <w:t>- 51.94%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53.94%</w:t>
            </w:r>
          </w:p>
        </w:tc>
        <w:tc>
          <w:tcPr>
            <w:tcW w:w="560" w:type="dxa"/>
            <w:vAlign w:val="bottom"/>
          </w:tcPr>
          <w:p>
            <w:pPr>
              <w:ind w:left="20"/>
              <w:spacing w:after="0"/>
              <w:rPr>
                <w:sz w:val="20"/>
                <w:szCs w:val="20"/>
                <w:color w:val="auto"/>
              </w:rPr>
            </w:pPr>
            <w:r>
              <w:rPr>
                <w:rFonts w:ascii="Arial" w:cs="Arial" w:eastAsia="Arial" w:hAnsi="Arial"/>
                <w:sz w:val="14"/>
                <w:szCs w:val="14"/>
                <w:color w:val="auto"/>
                <w:w w:val="92"/>
              </w:rPr>
              <w:t>- 54.55%</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46.50%</w:t>
            </w:r>
          </w:p>
        </w:tc>
        <w:tc>
          <w:tcPr>
            <w:tcW w:w="760" w:type="dxa"/>
            <w:vAlign w:val="bottom"/>
          </w:tcPr>
          <w:p>
            <w:pPr>
              <w:ind w:left="20"/>
              <w:spacing w:after="0"/>
              <w:rPr>
                <w:sz w:val="20"/>
                <w:szCs w:val="20"/>
                <w:color w:val="auto"/>
              </w:rPr>
            </w:pPr>
            <w:r>
              <w:rPr>
                <w:rFonts w:ascii="Arial" w:cs="Arial" w:eastAsia="Arial" w:hAnsi="Arial"/>
                <w:sz w:val="14"/>
                <w:szCs w:val="14"/>
                <w:color w:val="auto"/>
              </w:rPr>
              <w:t>- 51.94%</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1140" w:hanging="322"/>
        <w:spacing w:after="0"/>
        <w:tabs>
          <w:tab w:leader="none" w:pos="114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Dividend yield – </w:t>
      </w:r>
      <w:r>
        <w:rPr>
          <w:rFonts w:ascii="Arial" w:cs="Arial" w:eastAsia="Arial" w:hAnsi="Arial"/>
          <w:sz w:val="17"/>
          <w:szCs w:val="17"/>
          <w:color w:val="auto"/>
        </w:rPr>
        <w:t>The Company uses 0% as it has never issued dividends and does not anticipate issuing dividends in the near term.</w:t>
      </w:r>
    </w:p>
    <w:p>
      <w:pPr>
        <w:spacing w:after="0" w:line="128" w:lineRule="exact"/>
        <w:rPr>
          <w:rFonts w:ascii="Arial" w:cs="Arial" w:eastAsia="Arial" w:hAnsi="Arial"/>
          <w:sz w:val="17"/>
          <w:szCs w:val="17"/>
          <w:i w:val="1"/>
          <w:iCs w:val="1"/>
          <w:color w:val="auto"/>
        </w:rPr>
      </w:pPr>
    </w:p>
    <w:p>
      <w:pPr>
        <w:ind w:left="1140" w:hanging="322"/>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expected life of stock options in years.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w:t>
      </w:r>
    </w:p>
    <w:p>
      <w:pPr>
        <w:spacing w:after="0" w:line="256"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In response to the COVID-19 pandemic, the Company went through a re-evaluation of its real estate needs. In connection with this re-evaluation, and the success the Company has had working remotely, it was decided in July 2020 that the Company would significantly reduce the real estate space it leases. This decision resulted in the significant reduction of the real estate space the Company leases and the removal of the associated right of use assets. Furthermore, this resulted in various one-time expenses in connection with the abandonment of the majority of the Company’s leased facilities. The lease restructuring costs noted below are a result of this transition to an employee-centric model.</w:t>
      </w:r>
    </w:p>
    <w:p>
      <w:pPr>
        <w:spacing w:after="0" w:line="20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top of the lease restructuring costs, the Company went through a further restructuring related to costs associated with re-prioritizing and reallocating resources to focus on areas believed by management to show high growth potential.</w:t>
      </w:r>
    </w:p>
    <w:p>
      <w:pPr>
        <w:spacing w:after="0" w:line="19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expenses associated with these restructuring events were approximately $0.5 million during the three months ended June 30, 2021 and $3.2 million during each of the six month periods ended June 30, 2021 and 2020. There were no expenses associated with this restructuring during the three months ended June 30, 2020. The Company expects to incur additional restructuring costs through December 31, 2021. The restructuring liability was approximately $2.2 million and $4.7 million as of June 30, 2021 and December 31, 2020, respectively. It is classified as accrued expenses and other current liabilities on the condensed consolidated balance sheets, as the liability is expected to be settled in the next 12 months.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detail of the liability for the Company’s restructuring charges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4"/>
          </w:tcPr>
          <w:p>
            <w:pPr>
              <w:jc w:val="right"/>
              <w:ind w:right="962"/>
              <w:spacing w:after="0"/>
              <w:rPr>
                <w:sz w:val="20"/>
                <w:szCs w:val="20"/>
                <w:color w:val="auto"/>
              </w:rPr>
            </w:pPr>
            <w:r>
              <w:rPr>
                <w:rFonts w:ascii="Arial" w:cs="Arial" w:eastAsia="Arial" w:hAnsi="Arial"/>
                <w:sz w:val="14"/>
                <w:szCs w:val="14"/>
                <w:b w:val="1"/>
                <w:bCs w:val="1"/>
                <w:color w:val="auto"/>
              </w:rPr>
              <w:t>(In thousands)</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the year</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Lease restructuring costs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5,034</w:t>
            </w:r>
          </w:p>
        </w:tc>
      </w:tr>
      <w:tr>
        <w:trPr>
          <w:trHeight w:val="219"/>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Severance and other compensation associated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w:t>
            </w:r>
          </w:p>
        </w:tc>
      </w:tr>
      <w:tr>
        <w:trPr>
          <w:trHeight w:val="213"/>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payments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(5,706)</w:t>
            </w:r>
          </w:p>
        </w:tc>
      </w:tr>
      <w:tr>
        <w:trPr>
          <w:trHeight w:val="23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ind w:left="440"/>
        <w:spacing w:after="0"/>
        <w:rPr>
          <w:sz w:val="20"/>
          <w:szCs w:val="20"/>
          <w:color w:val="auto"/>
        </w:rPr>
      </w:pPr>
      <w:r>
        <w:rPr>
          <w:rFonts w:ascii="Arial" w:cs="Arial" w:eastAsia="Arial" w:hAnsi="Arial"/>
          <w:sz w:val="18"/>
          <w:szCs w:val="18"/>
          <w:color w:val="auto"/>
        </w:rPr>
        <w:t>The following table presents the detail of expenses for the Company’s restructuring charges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48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6"/>
                <w:szCs w:val="16"/>
                <w:color w:val="auto"/>
              </w:rPr>
            </w:pPr>
          </w:p>
        </w:tc>
      </w:tr>
      <w:tr>
        <w:trPr>
          <w:trHeight w:val="195"/>
        </w:trPr>
        <w:tc>
          <w:tcPr>
            <w:tcW w:w="5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7"/>
        </w:trPr>
        <w:tc>
          <w:tcPr>
            <w:tcW w:w="5220" w:type="dxa"/>
            <w:vAlign w:val="bottom"/>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5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restructuring costs: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220" w:type="dxa"/>
            <w:vAlign w:val="bottom"/>
          </w:tcPr>
          <w:p>
            <w:pPr>
              <w:ind w:left="220"/>
              <w:spacing w:after="0"/>
              <w:rPr>
                <w:sz w:val="20"/>
                <w:szCs w:val="20"/>
                <w:color w:val="auto"/>
              </w:rPr>
            </w:pPr>
            <w:r>
              <w:rPr>
                <w:rFonts w:ascii="Arial" w:cs="Arial" w:eastAsia="Arial" w:hAnsi="Arial"/>
                <w:sz w:val="16"/>
                <w:szCs w:val="16"/>
                <w:color w:val="auto"/>
              </w:rPr>
              <w:t>Right of use assets write down</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Abandonment of property and equipment</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lease restructuring costs</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restructuring costs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and other compensation associated costs</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r>
      <w:tr>
        <w:trPr>
          <w:trHeight w:val="213"/>
        </w:trPr>
        <w:tc>
          <w:tcPr>
            <w:tcW w:w="5220" w:type="dxa"/>
            <w:vAlign w:val="bottom"/>
          </w:tcPr>
          <w:p>
            <w:pPr>
              <w:ind w:left="220"/>
              <w:spacing w:after="0"/>
              <w:rPr>
                <w:sz w:val="20"/>
                <w:szCs w:val="20"/>
                <w:color w:val="auto"/>
              </w:rPr>
            </w:pPr>
            <w:r>
              <w:rPr>
                <w:rFonts w:ascii="Arial" w:cs="Arial" w:eastAsia="Arial" w:hAnsi="Arial"/>
                <w:sz w:val="16"/>
                <w:szCs w:val="16"/>
                <w:color w:val="auto"/>
              </w:rPr>
              <w:t>Total restructuring costs</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3,225</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3,193</w:t>
            </w:r>
          </w:p>
        </w:tc>
      </w:tr>
      <w:tr>
        <w:trPr>
          <w:trHeight w:val="20"/>
        </w:trPr>
        <w:tc>
          <w:tcPr>
            <w:tcW w:w="5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Legal Matters</w:t>
      </w:r>
    </w:p>
    <w:p>
      <w:pPr>
        <w:spacing w:after="0" w:line="256"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Company previously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 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The Company cannot predict with certainty whether [24]7 will pursue challenges to this award on procedural grounds. Accordingly, no amounts for the settlement have been reflected in the Company’s financial statements. Trial for [24]7’s patent infringement claims has been vacated, to be reset by the Court.</w:t>
      </w:r>
    </w:p>
    <w:p>
      <w:pPr>
        <w:spacing w:after="0" w:line="20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19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19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Company currently believes that the final disposition of all existing matters will not have a material adverse effect on its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5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 as a significant piece of negative evidence. Since valuation allowances are evaluated on a jurisdiction by jurisdiction basis, the Company believes that the deferred tax assets related to LivePerson Australia, LivePerson UK, Kasamba Israel, LivePerson Japan and LivePerson Ltd. Israel are more likely than not to be realized as these jurisdictions have positive cumulative pre-tax book income after adjusting for permanent and one-time items. During the year ended December 31, 2020, there was an increase in the valuation recorded of $6.9 million. For the three months ended June 30, 2021, the Company recorded a tax provision of $0.6 million. This amount consists of a tax provision for the period of $0.9 million on operating earnings for the period offset by a tax benefit of $0.3 million related to stock compensation deductions for LivePerson UK. For the six months ended June 30, 2021, the Company recorded a tax benefit of $0.3 million. This amount consists of a tax provision of $1.5 million on operating earnings offset by a tax benefit of $1.5 million for the release of a reserve of uncertain tax benefits recorded against deferred tax assets related to Israeli stock compensation deductions and a benefit of $0.3 million for excess tax benefits from stock compensation.</w:t>
      </w:r>
    </w:p>
    <w:p>
      <w:pPr>
        <w:spacing w:after="0" w:line="19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 statutory rate change in the United Kingdom was enacted during the three months ended June 30, 2021. Effective April 1, 2023, the tax rate will increase from 19% to 25%. During the period, the Company assessed the impact of the rate change and concluded that it is immaterial to its deferred taxes.</w:t>
      </w:r>
    </w:p>
    <w:p>
      <w:pPr>
        <w:spacing w:after="0" w:line="15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had a valuation allowance on certain deferred tax assets for the year ended December 31, 2020 of $55.4 million. Inherent in the Company’s 2021 annual effective tax rate is an estimated increase in the valuation allowance of $33.6 million, all of which will be recorded as an expense. During 2020, an increase in the valuation allowance in the amount of $35.1 million was recorded as an expense and a decrease of $28.2 million related to convertible notes was charged to equity.</w:t>
      </w:r>
    </w:p>
    <w:p>
      <w:pPr>
        <w:spacing w:after="0" w:line="21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March 27, 2020, the Coronavirus Aid, Relief, and Economic Security Act (the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As a result of the CARES Act, the Company filed refund claims relating to prior years totaling $0.6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July 15, 2021, we closed on an acquisition of e-bot7, a Conversational AI company operating in Germany. This acquisition will allow us to scale our presence in Europe with the potential of scaling their Small business and Mid-Market platform globally. e-bot7 has approximately 100 employees with about 40 employees in research and development (“R&amp;D”). The purchase price consisted of cash, stock and a contingent component and the acquisition of e-bot7 is deemed to be immaterial to Liveperson’s consolidated financial statements.</w:t>
      </w:r>
    </w:p>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transaction will be accounted for under the purchase method of accounting and, accordingly, the operating results of e-bot7 will be included in the Company’s consolidated results of operations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i w:val="1"/>
          <w:iCs w:val="1"/>
          <w:color w:val="auto"/>
        </w:rPr>
        <w:t xml:space="preserve">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Arial" w:cs="Arial" w:eastAsia="Arial" w:hAnsi="Arial"/>
          <w:sz w:val="16"/>
          <w:szCs w:val="16"/>
          <w:i w:val="1"/>
          <w:iCs w:val="1"/>
          <w:color w:val="212529"/>
        </w:rPr>
        <w:t>In addition, our actual results could differ from our estimates and assumptions based</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212529"/>
        </w:rPr>
        <w:t>upon impacts on our business and general economic conditions due to the current COVID-19 pandemic.</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LivePerson, Inc. makes life easier for people and brands everywhere through trusted Conversational AI.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can now be viewed as a permanent, structural shift in consumer behavior.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20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Conversational Cloud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204"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your reference:</w:t>
      </w:r>
    </w:p>
    <w:p>
      <w:pPr>
        <w:spacing w:after="0" w:line="117" w:lineRule="exact"/>
        <w:rPr>
          <w:sz w:val="20"/>
          <w:szCs w:val="20"/>
          <w:color w:val="auto"/>
        </w:rPr>
      </w:pPr>
    </w:p>
    <w:p>
      <w:pPr>
        <w:ind w:left="1300" w:hanging="428"/>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Conversational AI: Conversational AI allows humans and machines to interact using natural language, including speech or text.</w:t>
      </w:r>
    </w:p>
    <w:p>
      <w:pPr>
        <w:spacing w:after="0" w:line="128" w:lineRule="exact"/>
        <w:rPr>
          <w:rFonts w:ascii="Arial" w:cs="Arial" w:eastAsia="Arial" w:hAnsi="Arial"/>
          <w:sz w:val="17"/>
          <w:szCs w:val="17"/>
          <w:color w:val="auto"/>
        </w:rPr>
      </w:pPr>
    </w:p>
    <w:p>
      <w:pPr>
        <w:ind w:left="1300" w:hanging="428"/>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Conversational Space: In the Conversational Space, consumers message with brands on their own schedule, using natural language, to resolve their intents - all on their preferred messaging service. The core capabilities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1300" w:right="20"/>
        <w:spacing w:after="0" w:line="277" w:lineRule="auto"/>
        <w:rPr>
          <w:sz w:val="20"/>
          <w:szCs w:val="20"/>
          <w:color w:val="auto"/>
        </w:rPr>
      </w:pPr>
      <w:r>
        <w:rPr>
          <w:rFonts w:ascii="Arial" w:cs="Arial" w:eastAsia="Arial" w:hAnsi="Arial"/>
          <w:sz w:val="18"/>
          <w:szCs w:val="18"/>
          <w:color w:val="auto"/>
        </w:rPr>
        <w:t>of the Conversational Space are voice and text-based interfaces, powered by AI and humans working together. Conversational Space is the simplest, most intuitive interface of all.</w:t>
      </w:r>
    </w:p>
    <w:p>
      <w:pPr>
        <w:spacing w:after="0" w:line="62" w:lineRule="exact"/>
        <w:rPr>
          <w:sz w:val="20"/>
          <w:szCs w:val="20"/>
          <w:color w:val="auto"/>
        </w:rPr>
      </w:pPr>
    </w:p>
    <w:p>
      <w:pPr>
        <w:ind w:left="1300" w:hanging="428"/>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Conversational Cloud: LivePerson’s enterprise-class, AI-powered Conversational Cloud platform empowers consumers to message their favorite brands, just as they do with friends and family.</w:t>
      </w:r>
    </w:p>
    <w:p>
      <w:pPr>
        <w:spacing w:after="0" w:line="19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22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Certain of our customers have achieved the following advantages from our offerings:</w:t>
      </w:r>
    </w:p>
    <w:p>
      <w:pPr>
        <w:spacing w:after="0" w:line="80" w:lineRule="exact"/>
        <w:rPr>
          <w:sz w:val="20"/>
          <w:szCs w:val="20"/>
          <w:color w:val="auto"/>
        </w:rPr>
      </w:pPr>
    </w:p>
    <w:p>
      <w:pPr>
        <w:ind w:left="1300" w:hanging="428"/>
        <w:spacing w:after="0" w:line="342" w:lineRule="auto"/>
        <w:tabs>
          <w:tab w:leader="none" w:pos="12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15" w:lineRule="exact"/>
        <w:rPr>
          <w:rFonts w:ascii="Arial" w:cs="Arial" w:eastAsia="Arial" w:hAnsi="Arial"/>
          <w:sz w:val="16"/>
          <w:szCs w:val="16"/>
          <w:color w:val="auto"/>
        </w:rPr>
      </w:pPr>
    </w:p>
    <w:p>
      <w:pPr>
        <w:ind w:left="1300" w:hanging="42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voice agents, effectively cutting labor costs by at least 50%;</w:t>
      </w:r>
    </w:p>
    <w:p>
      <w:pPr>
        <w:spacing w:after="0" w:line="117" w:lineRule="exact"/>
        <w:rPr>
          <w:rFonts w:ascii="Arial" w:cs="Arial" w:eastAsia="Arial" w:hAnsi="Arial"/>
          <w:sz w:val="18"/>
          <w:szCs w:val="18"/>
          <w:color w:val="auto"/>
        </w:rPr>
      </w:pPr>
    </w:p>
    <w:p>
      <w:pPr>
        <w:ind w:left="1300" w:right="20" w:hanging="428"/>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score increases of up to 20 percentage points, and enhancing retention and loyalty;</w:t>
      </w:r>
    </w:p>
    <w:p>
      <w:pPr>
        <w:spacing w:after="0" w:line="62" w:lineRule="exact"/>
        <w:rPr>
          <w:rFonts w:ascii="Arial" w:cs="Arial" w:eastAsia="Arial" w:hAnsi="Arial"/>
          <w:sz w:val="18"/>
          <w:szCs w:val="18"/>
          <w:color w:val="auto"/>
        </w:rPr>
      </w:pPr>
    </w:p>
    <w:p>
      <w:pPr>
        <w:ind w:left="1300" w:hanging="428"/>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spacing w:after="0" w:line="62" w:lineRule="exact"/>
        <w:rPr>
          <w:rFonts w:ascii="Arial" w:cs="Arial" w:eastAsia="Arial" w:hAnsi="Arial"/>
          <w:sz w:val="18"/>
          <w:szCs w:val="18"/>
          <w:color w:val="auto"/>
        </w:rPr>
      </w:pPr>
    </w:p>
    <w:p>
      <w:pPr>
        <w:ind w:left="1300" w:hanging="42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117" w:lineRule="exact"/>
        <w:rPr>
          <w:rFonts w:ascii="Arial" w:cs="Arial" w:eastAsia="Arial" w:hAnsi="Arial"/>
          <w:sz w:val="18"/>
          <w:szCs w:val="18"/>
          <w:color w:val="auto"/>
        </w:rPr>
      </w:pPr>
    </w:p>
    <w:p>
      <w:pPr>
        <w:ind w:left="1300" w:hanging="428"/>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valued connection with consumers via mobile devices, either through native applications, websites, text messages, or third-party messaging platforms;</w:t>
      </w:r>
    </w:p>
    <w:p>
      <w:pPr>
        <w:spacing w:after="0" w:line="62" w:lineRule="exact"/>
        <w:rPr>
          <w:rFonts w:ascii="Arial" w:cs="Arial" w:eastAsia="Arial" w:hAnsi="Arial"/>
          <w:sz w:val="18"/>
          <w:szCs w:val="18"/>
          <w:color w:val="auto"/>
        </w:rPr>
      </w:pPr>
    </w:p>
    <w:p>
      <w:pPr>
        <w:ind w:left="1300" w:hanging="42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 of spending that drives visitor traffic by increasing visitor conversions;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refinement and improvement of performance by understanding which initiatives deliver the highest rate of return; and</w:t>
      </w:r>
    </w:p>
    <w:p>
      <w:pPr>
        <w:spacing w:after="0" w:line="117" w:lineRule="exact"/>
        <w:rPr>
          <w:rFonts w:ascii="Arial" w:cs="Arial" w:eastAsia="Arial" w:hAnsi="Arial"/>
          <w:sz w:val="18"/>
          <w:szCs w:val="18"/>
          <w:color w:val="auto"/>
        </w:rPr>
      </w:pPr>
    </w:p>
    <w:p>
      <w:pPr>
        <w:ind w:left="1300" w:hanging="428"/>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lead generation through a single platform that engages consumers through advertisements and listings on branded and third-party websites.</w:t>
      </w:r>
    </w:p>
    <w:p>
      <w:pPr>
        <w:spacing w:after="0" w:line="19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a “cloud computing” or software-as-a-service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further enhance our platform, in September 2020 we signed a partnership with Infosys, a leader in next-generation digital services and consulting.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are working with Infosys to transform our technology infrastructure on the public cloud, to build integrated solutions and a global practice around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Conversational Cloud to sell into their channels and global enterprise customer base, and to redefine how the world’s top brands communicate.</w:t>
      </w:r>
    </w:p>
    <w:p>
      <w:pPr>
        <w:spacing w:after="0" w:line="24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2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 xml:space="preserve">Build awareness and drive adoption of the Conversational Space. </w:t>
      </w:r>
      <w:r>
        <w:rPr>
          <w:rFonts w:ascii="Arial" w:cs="Arial" w:eastAsia="Arial" w:hAnsi="Arial"/>
          <w:sz w:val="18"/>
          <w:szCs w:val="18"/>
          <w:color w:val="auto"/>
        </w:rPr>
        <w:t>LivePerson brought our first customer live on messaging in June 2016. Since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21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 key component of our industry awareness marketing strategy has been to hold multiple global customer summits each year (events in 2020 were held virtually in light of the COVID-19 pandemic) that target executives from enterprise customers and prospects, and feature a key theme within the Conversational Space, such as Apple Business Chat, Google Rich Business Messenger, IVR deflection or AI. LivePerson customers are the centerpoint of these summits, presenting why they chose LivePerson for conversational experiences, how they achieved success, and what type of ROI they have realized. Each attendee then receives a blueprint for how they can pursue similar outcomes. We have found this strategy to drive strong results for LivePerson, as we have seen a greater than 40% conversion rate on opportunities that were created or advanced as part of the customer summits. By year-end 2020, we had brought approximately 400 customers live on messaging and increased adoption within our enterprise customers to 66%. In addition, nearly 70% of messaging conversations had automation attached. We continue to focus on building awareness for the Conversational Space and driving adoption of messaging and AI across our customer base.</w:t>
      </w:r>
    </w:p>
    <w:p>
      <w:pPr>
        <w:spacing w:after="0" w:line="20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7"/>
          <w:szCs w:val="17"/>
          <w:color w:val="auto"/>
        </w:rPr>
        <w:t>Our strategy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drive higher 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20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spacing w:after="0" w:line="20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Each channel and use case added opens the door to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 In 2020, one of the largest telcos in Australia fully virtualized their contact centers, a leading U.S. quick-serve restaurant launched on Facebook Messenger to help customers order meals, one of the biggest banks in the world launched an Apple Business Chat channel to provide a secure way to perform day-to-day banking, and one of the world’s largest jewelry retailers used the Conversational Cloud and QR codes to sell millions of dollars of product.</w:t>
      </w:r>
    </w:p>
    <w:p>
      <w:pPr>
        <w:spacing w:after="0" w:line="19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5" w:name="page36"/>
    <w:bookmarkEnd w:id="35"/>
    <w:p>
      <w:pPr>
        <w:jc w:val="both"/>
        <w:ind w:firstLine="432"/>
        <w:spacing w:after="0" w:line="288" w:lineRule="auto"/>
        <w:rPr>
          <w:sz w:val="20"/>
          <w:szCs w:val="20"/>
          <w:color w:val="auto"/>
        </w:rPr>
      </w:pPr>
      <w:r>
        <w:rPr>
          <w:rFonts w:ascii="Arial" w:cs="Arial" w:eastAsia="Arial" w:hAnsi="Arial"/>
          <w:sz w:val="16"/>
          <w:szCs w:val="16"/>
          <w:color w:val="auto"/>
        </w:rPr>
        <w:t>We believe LivePerson is leading the structural shift to Conversational AI. In the wake of the COVID-19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Our Conversational AI leadership and the increase in adoption have influenced LivePerson’s enterprise and mid-market revenue retention rate, (the trailing-twelve-month change in total revenue from existing customers after upsells, downsells and attrition) which exceeded the high end of our target range of 105% to 115% for 2020. The benefit can also be seen in LivePerson’s average revenue per enterprise and midmarket customers, which increased approximately 35% in 2020 to $465,000 from approximately $345,000 in 2019. We believe these ARPU trends are a clear indication of how LivePerson’s strategy to drive messaging adoption has successfully influenced our revenue growth by taking share from legacy communication channels. Average annual revenue per enterprise and mid-market customer increased approximately 35% to $535,000 for the trailing twelve months ended June 30, 2021.</w:t>
      </w:r>
    </w:p>
    <w:p>
      <w:pPr>
        <w:spacing w:after="0" w:line="19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b w:val="1"/>
          <w:bCs w:val="1"/>
          <w:i w:val="1"/>
          <w:iCs w:val="1"/>
          <w:color w:val="auto"/>
        </w:rPr>
        <w:t xml:space="preserve">Attract the industry’s best AI, machine learning and conversational talent. </w:t>
      </w:r>
      <w:r>
        <w:rPr>
          <w:rFonts w:ascii="Arial" w:cs="Arial" w:eastAsia="Arial" w:hAnsi="Arial"/>
          <w:sz w:val="18"/>
          <w:szCs w:val="18"/>
          <w:color w:val="auto"/>
        </w:rPr>
        <w:t>We believe that AI and machine learning are critical to successfully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scaling in the Conversational Space, and that in order to develop the industry’s leading technology, we need to attract the industry’s best talent. In 2018, LivePerson recruited Alex Spinelli, key architect of the Alexa Operating System at Amazon.com, as our Global CTO. Under Mr. Spinelli’s leadership, LivePerson hired more than 280 of the industry’s brightest data scientists, machine learning engineers and automation engineers, many from firms such as Nike, Amazon.com, Microsoft and Target, who are working exclusively on applying AI to the Conversational Space. LivePerson also expanded its development talent base in Germany, and added key development talent through the acquisitions of BotCentral in Mountain View, California and Conversable in Austin, Texas.</w:t>
      </w:r>
    </w:p>
    <w:p>
      <w:pPr>
        <w:spacing w:after="0" w:line="22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i w:val="1"/>
          <w:iCs w:val="1"/>
          <w:color w:val="auto"/>
        </w:rPr>
        <w:t xml:space="preserve">Bring to market best-in-class AI and machine learning technologies designed for the Conversational Space. </w:t>
      </w:r>
      <w:r>
        <w:rPr>
          <w:rFonts w:ascii="Arial" w:cs="Arial" w:eastAsia="Arial" w:hAnsi="Arial"/>
          <w:sz w:val="17"/>
          <w:szCs w:val="17"/>
          <w:color w:val="auto"/>
        </w:rPr>
        <w:t>We believe that in the last decade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many vendors introduced AI and bot offerings that created frustrating experiences for consumers and businesses alike, which in turn has eroded trust in automation. Many of these solutions have proven difficult to build and scale, and have been limited by stand-alone implementations that lacked the measurement, reporting and human oversight of conversational platforms such as the Conversational Cloud. In December 2018, LivePerson announced its patent pending AI engine that is designed to overcome these shortcomings and help brands rapidly bring to market conversational AI that can scale to millions of interactions, while increasing customer satisfaction and conversion rates.</w:t>
      </w:r>
    </w:p>
    <w:p>
      <w:pPr>
        <w:spacing w:after="0" w:line="2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Unlike alternative solutions designed solely for IT departments, LivePerson’s Conversational AI was built to be used by developers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Some of the key innovations behind LivePerson’s Conversational AI include:</w:t>
      </w:r>
    </w:p>
    <w:p>
      <w:pPr>
        <w:spacing w:after="0" w:line="117" w:lineRule="exact"/>
        <w:rPr>
          <w:sz w:val="20"/>
          <w:szCs w:val="20"/>
          <w:color w:val="auto"/>
        </w:rPr>
      </w:pPr>
    </w:p>
    <w:p>
      <w:pPr>
        <w:jc w:val="both"/>
        <w:ind w:left="1300" w:hanging="428"/>
        <w:spacing w:after="0" w:line="263"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spacing w:after="0" w:line="75" w:lineRule="exact"/>
        <w:rPr>
          <w:rFonts w:ascii="Arial" w:cs="Arial" w:eastAsia="Arial" w:hAnsi="Arial"/>
          <w:sz w:val="18"/>
          <w:szCs w:val="18"/>
          <w:color w:val="auto"/>
        </w:rPr>
      </w:pPr>
    </w:p>
    <w:p>
      <w:pPr>
        <w:ind w:left="1300" w:hanging="428"/>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bot building software that is based on dialogue instead of workflow or code, so non-technical employees like contact center agents can design automations;</w:t>
      </w:r>
    </w:p>
    <w:p>
      <w:pPr>
        <w:spacing w:after="0" w:line="62" w:lineRule="exact"/>
        <w:rPr>
          <w:rFonts w:ascii="Arial" w:cs="Arial" w:eastAsia="Arial" w:hAnsi="Arial"/>
          <w:sz w:val="18"/>
          <w:szCs w:val="18"/>
          <w:color w:val="auto"/>
        </w:rPr>
      </w:pPr>
    </w:p>
    <w:p>
      <w:pPr>
        <w:jc w:val="both"/>
        <w:ind w:left="1300" w:hanging="428"/>
        <w:spacing w:after="0" w:line="263"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leveraging data moat from hundreds of millions of conversations to feed the machine learning that rapidly and accurately detects consumer sentiment and intents in real-time. Customers of LivePerson can use intent understanding for advanced routing, next-best actions, and to fully contain conversations with automation;</w:t>
      </w:r>
    </w:p>
    <w:p>
      <w:pPr>
        <w:spacing w:after="0" w:line="75" w:lineRule="exact"/>
        <w:rPr>
          <w:rFonts w:ascii="Arial" w:cs="Arial" w:eastAsia="Arial" w:hAnsi="Arial"/>
          <w:sz w:val="18"/>
          <w:szCs w:val="18"/>
          <w:color w:val="auto"/>
        </w:rPr>
      </w:pPr>
    </w:p>
    <w:p>
      <w:pPr>
        <w:ind w:left="1300" w:right="20" w:hanging="428"/>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spacing w:after="0" w:line="62" w:lineRule="exact"/>
        <w:rPr>
          <w:rFonts w:ascii="Arial" w:cs="Arial" w:eastAsia="Arial" w:hAnsi="Arial"/>
          <w:sz w:val="18"/>
          <w:szCs w:val="18"/>
          <w:color w:val="auto"/>
        </w:rPr>
      </w:pPr>
    </w:p>
    <w:p>
      <w:pPr>
        <w:ind w:left="1300" w:hanging="428"/>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powerful Assist technology that multiplies the efficiency of agents by analyzing intents in real time and then suggesting next best actions, predefined content, and bots that can take over transactional work;</w:t>
      </w:r>
    </w:p>
    <w:p>
      <w:pPr>
        <w:spacing w:after="0" w:line="62"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pre-built templates for target verticals that provide out of the box support for the top intents and back-end integrations;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bootstrap conversations with existing transcripts, reducing design effort and speeding time to market;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ind w:left="1300" w:hanging="428"/>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18"/>
          <w:szCs w:val="18"/>
          <w:color w:val="auto"/>
        </w:rPr>
        <w:t>third-party AI natural language understanding (“NLU”) integration, so customers aren’t boxed into one vendor; and</w:t>
      </w:r>
    </w:p>
    <w:p>
      <w:pPr>
        <w:spacing w:after="0" w:line="94" w:lineRule="exact"/>
        <w:rPr>
          <w:rFonts w:ascii="Arial" w:cs="Arial" w:eastAsia="Arial" w:hAnsi="Arial"/>
          <w:sz w:val="20"/>
          <w:szCs w:val="20"/>
          <w:color w:val="auto"/>
        </w:rPr>
      </w:pPr>
    </w:p>
    <w:p>
      <w:pPr>
        <w:ind w:left="1300" w:hanging="428"/>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AI analytics and reporting tailored to the Conversational Space, providing brands with immediate, actionable insights about their businesses and contact center operations.</w:t>
      </w:r>
    </w:p>
    <w:p>
      <w:pPr>
        <w:spacing w:after="0" w:line="19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strategy is to continue to enhance the Conversational AI engine and related products, by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21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7"/>
          <w:szCs w:val="17"/>
          <w:color w:val="auto"/>
        </w:rPr>
        <w:t>We believe that most contact center technology vendors incorrectly view messaging as a feature. They are content with building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integrations to a messaging endpoint and offering messaging as just another product in their suite. LivePerson holds the perspective that messaging and AI are the foundation for transforming conversational experiences, disrupting how agents operate and how brands engage with consumers.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emails and apps to higher returning messaging endpoints.</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LivePerson is uniquely positioned to deliver this transformation due to our technology and expertise:</w:t>
      </w:r>
    </w:p>
    <w:p>
      <w:pPr>
        <w:spacing w:after="0" w:line="117" w:lineRule="exact"/>
        <w:rPr>
          <w:sz w:val="20"/>
          <w:szCs w:val="20"/>
          <w:color w:val="auto"/>
        </w:rPr>
      </w:pPr>
    </w:p>
    <w:p>
      <w:pPr>
        <w:jc w:val="both"/>
        <w:ind w:left="1300" w:hanging="428"/>
        <w:spacing w:after="0" w:line="273" w:lineRule="auto"/>
        <w:tabs>
          <w:tab w:leader="none" w:pos="12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w:t>
      </w:r>
    </w:p>
    <w:p>
      <w:pPr>
        <w:spacing w:after="0" w:line="69" w:lineRule="exact"/>
        <w:rPr>
          <w:rFonts w:ascii="Arial" w:cs="Arial" w:eastAsia="Arial" w:hAnsi="Arial"/>
          <w:sz w:val="17"/>
          <w:szCs w:val="17"/>
          <w:color w:val="auto"/>
        </w:rPr>
      </w:pPr>
    </w:p>
    <w:p>
      <w:pPr>
        <w:ind w:left="1300" w:hanging="428"/>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a data moat built on hundreds of millions of conversations across industries, geographies and use cases that is feeding the machine learning engines that power intent understanding.</w:t>
      </w:r>
    </w:p>
    <w:p>
      <w:pPr>
        <w:spacing w:after="0" w:line="62" w:lineRule="exact"/>
        <w:rPr>
          <w:rFonts w:ascii="Arial" w:cs="Arial" w:eastAsia="Arial" w:hAnsi="Arial"/>
          <w:sz w:val="18"/>
          <w:szCs w:val="18"/>
          <w:color w:val="auto"/>
        </w:rPr>
      </w:pPr>
    </w:p>
    <w:p>
      <w:pPr>
        <w:ind w:left="1300" w:hanging="428"/>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platform has expanded to power conversations across a broad spectrum of channels and use cases, from traditional sales and customer service, to marketing, social, email, advertising and brick and mortar.</w:t>
      </w:r>
    </w:p>
    <w:p>
      <w:pPr>
        <w:spacing w:after="0" w:line="62" w:lineRule="exact"/>
        <w:rPr>
          <w:rFonts w:ascii="Arial" w:cs="Arial" w:eastAsia="Arial" w:hAnsi="Arial"/>
          <w:sz w:val="18"/>
          <w:szCs w:val="18"/>
          <w:color w:val="auto"/>
        </w:rPr>
      </w:pPr>
    </w:p>
    <w:p>
      <w:pPr>
        <w:jc w:val="both"/>
        <w:ind w:left="1300" w:hanging="428"/>
        <w:spacing w:after="0" w:line="263"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w:t>
      </w:r>
    </w:p>
    <w:p>
      <w:pPr>
        <w:spacing w:after="0" w:line="75" w:lineRule="exact"/>
        <w:rPr>
          <w:rFonts w:ascii="Arial" w:cs="Arial" w:eastAsia="Arial" w:hAnsi="Arial"/>
          <w:sz w:val="18"/>
          <w:szCs w:val="18"/>
          <w:color w:val="auto"/>
        </w:rPr>
      </w:pPr>
    </w:p>
    <w:p>
      <w:pPr>
        <w:jc w:val="both"/>
        <w:ind w:left="1300" w:hanging="428"/>
        <w:spacing w:after="0" w:line="271" w:lineRule="auto"/>
        <w:tabs>
          <w:tab w:leader="none" w:pos="12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has developed Gainshare - a Transformation Model that is introduced to existing and prospective customers to help guide them on their journeys from legacy and often-times inefficient legacy voice, email and chat solutions to modern conversational ones powered by messaging and AI. Gainshare is a fully managed solution where LivePerson not only provides the messaging and AI automation technology, but also the labor, automation, and end-to-end program management, leveraging the Company’s expertise with Conversational AI and messaging operations. Gainshare is an option for brands that want to accelerate a transformation to Conversational AI, or that want a worry-free solution where LivePerson manages the entire operation, from staffing to automation building and optimization, to conversation design and consumer experience. Gainshare pricing is bespoke, and is typically structured around a brand’s desired goals, whether driving incremental revenue or reducing operational costs.</w:t>
      </w:r>
    </w:p>
    <w:p>
      <w:pPr>
        <w:spacing w:after="0" w:line="20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increases in customer satisfaction score of up to 20 percentage points and increases in sales conversions of up to 20%, while enhancing average order value, customer retention and loyalty.</w:t>
      </w:r>
    </w:p>
    <w:p>
      <w:pPr>
        <w:spacing w:after="0" w:line="19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 xml:space="preserve">Strengthen our position in both existing and new industries. </w:t>
      </w:r>
      <w:r>
        <w:rPr>
          <w:rFonts w:ascii="Arial" w:cs="Arial" w:eastAsia="Arial" w:hAnsi="Arial"/>
          <w:sz w:val="17"/>
          <w:szCs w:val="17"/>
          <w:color w:val="auto"/>
        </w:rPr>
        <w:t>We plan to continue to develop our market position by increasing our customer base,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expanding within our installed base. We continue to focus primarily on key target markets: consumer/retail, telecommunications, financial services, travel/hospitality, technology and automotive within both our enterprise and mid-market sectors, as well as the small business (“SMB”) sector. In 2019, we made strong inroads into new verticals with key wins in the airline, food service and healthcare industries. In 2020, we strengthened our presence in key markets including travel/hospitality and retail, and opened new verticals like healthcare and government. We are experimenting with new conversational businesses, including some that are in regulated industries, like online banking. We are increasingly structuring our field organization to emphasize our domain expertise and strengthen customer relationships across target industries.</w:t>
      </w:r>
    </w:p>
    <w:p>
      <w:pPr>
        <w:spacing w:after="0" w:line="2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Continue to build our international presence. </w:t>
      </w:r>
      <w:r>
        <w:rPr>
          <w:rFonts w:ascii="Arial" w:cs="Arial" w:eastAsia="Arial" w:hAnsi="Arial"/>
          <w:sz w:val="18"/>
          <w:szCs w:val="18"/>
          <w:color w:val="auto"/>
        </w:rPr>
        <w:t>We are focused on building our international presence and expanding our international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which accounted for 38% and 41% of total revenue in 2020 and 2019, respectively. International revenue contribution for the six months ended June 30, 2021 accounted for 34% of total revenue. We are generating positive results from our recent investments in the Asia Pacific, Europe and Latin America regions.</w:t>
      </w:r>
    </w:p>
    <w:p>
      <w:pPr>
        <w:spacing w:after="0" w:line="21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 xml:space="preserve">Leverage our open architecture to support partners and developers. </w:t>
      </w:r>
      <w:r>
        <w:rPr>
          <w:rFonts w:ascii="Arial" w:cs="Arial" w:eastAsia="Arial" w:hAnsi="Arial"/>
          <w:sz w:val="17"/>
          <w:szCs w:val="17"/>
          <w:color w:val="auto"/>
        </w:rPr>
        <w:t>In addition to developing our own applications, we continue to cultivate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 The Conversational Cloud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204"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Function as a Service integration which enables brands to develop custom behaviors within LivePerson’s conversational platform to easily and rapidly tailor conversation flows to their specific needs.</w:t>
      </w:r>
    </w:p>
    <w:p>
      <w:pPr>
        <w:spacing w:after="0" w:line="18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b w:val="1"/>
          <w:bCs w:val="1"/>
          <w:i w:val="1"/>
          <w:iCs w:val="1"/>
          <w:color w:val="auto"/>
        </w:rPr>
        <w:t xml:space="preserve">Expand sales partnerships to broaden our presence and accelerate sales cycles. </w:t>
      </w:r>
      <w:r>
        <w:rPr>
          <w:rFonts w:ascii="Arial" w:cs="Arial" w:eastAsia="Arial" w:hAnsi="Arial"/>
          <w:sz w:val="16"/>
          <w:szCs w:val="16"/>
          <w:color w:val="auto"/>
        </w:rPr>
        <w:t>We are focused on broadening our market reach and accelerating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In 2020, Infosys joined LivePerson’s network with a first-of-its-kind 360-degree partnership focusing not only on capturing the global rising demand for conversational commerce and building a personalized experience for customers, but also driving the transformation for internal corporate messaging and the employee experience through Conversational AI. LivePerson increased the number of partners focused on SMBs to more than 300 at year-end 2020 and 2019, from over 150 at year-end 2018, and approximately 40 at the end of 2017. Approximately one quarter of all opportunities were influenced by partners in 2020, and we are focused on driving that contribution toward 50% longer term.</w:t>
      </w:r>
    </w:p>
    <w:p>
      <w:pPr>
        <w:spacing w:after="0" w:line="1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 xml:space="preserve">Maintain Market Leadership in Technology and Security Expertise. </w:t>
      </w:r>
      <w:r>
        <w:rPr>
          <w:rFonts w:ascii="Arial" w:cs="Arial" w:eastAsia="Arial" w:hAnsi="Arial"/>
          <w:sz w:val="18"/>
          <w:szCs w:val="18"/>
          <w:color w:val="auto"/>
        </w:rPr>
        <w:t>As described above, we are devoting significant resources to creating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219"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b w:val="1"/>
          <w:bCs w:val="1"/>
          <w:i w:val="1"/>
          <w:iCs w:val="1"/>
          <w:color w:val="auto"/>
        </w:rPr>
        <w:t xml:space="preserve">Evaluate Strategic Alliances and Acquisitions When Appropriate. </w:t>
      </w:r>
      <w:r>
        <w:rPr>
          <w:rFonts w:ascii="Arial" w:cs="Arial" w:eastAsia="Arial" w:hAnsi="Arial"/>
          <w:sz w:val="16"/>
          <w:szCs w:val="16"/>
          <w:color w:val="auto"/>
        </w:rPr>
        <w:t>We have successfully integrated several acquisitions over the past decade.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 the past, and may from time to time in the future, engage in discussions regarding acquisitions or strategic transactions designed to accelerate our growth or broaden our product offerings, we currently have no binding commitments with respect to any future acquisitions or strategic transactions.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Key Metrics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overview of the three months ended June 30, 2021 compared to the three months ended June 30, 2020:</w:t>
      </w:r>
    </w:p>
    <w:p>
      <w:pPr>
        <w:spacing w:after="0" w:line="117" w:lineRule="exact"/>
        <w:rPr>
          <w:sz w:val="20"/>
          <w:szCs w:val="20"/>
          <w:color w:val="auto"/>
        </w:rPr>
      </w:pPr>
    </w:p>
    <w:p>
      <w:pPr>
        <w:ind w:left="1300" w:hanging="428"/>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revenue increased 31% to $119.6 million from $91.6 million.</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from our Business segment increased 31% to $109.8 million from $84.0 million.</w:t>
      </w:r>
    </w:p>
    <w:p>
      <w:pPr>
        <w:spacing w:after="0" w:line="117" w:lineRule="exact"/>
        <w:rPr>
          <w:rFonts w:ascii="Arial" w:cs="Arial" w:eastAsia="Arial" w:hAnsi="Arial"/>
          <w:sz w:val="18"/>
          <w:szCs w:val="18"/>
          <w:color w:val="auto"/>
        </w:rPr>
      </w:pPr>
    </w:p>
    <w:p>
      <w:pPr>
        <w:ind w:left="1300" w:right="20" w:hanging="428"/>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annual revenue per enterprise and mid-market customer increased approximately 35% to $535,000 for the trailing-twelve-months ended June 30, 2021, as compared to $395,000 for the trailing twelve months ended June 30, 2020.</w:t>
      </w:r>
    </w:p>
    <w:p>
      <w:pPr>
        <w:spacing w:after="0" w:line="62" w:lineRule="exact"/>
        <w:rPr>
          <w:rFonts w:ascii="Arial" w:cs="Arial" w:eastAsia="Arial" w:hAnsi="Arial"/>
          <w:sz w:val="18"/>
          <w:szCs w:val="18"/>
          <w:color w:val="auto"/>
        </w:rPr>
      </w:pPr>
    </w:p>
    <w:p>
      <w:pPr>
        <w:jc w:val="both"/>
        <w:ind w:left="1300" w:hanging="428"/>
        <w:spacing w:after="0" w:line="259"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target for enterprise and mid-market revenue retention in 2021 matches 2020, and is a range of 105% to 115%. Revenue retention rate for enterprise and mid-market customers on the Conversation Cloud exceeded the high end of our target range in the second quarter of 2021 and 2020. Revenue retention rate measures the percentage of revenue retained at quarter end, from full service customers that were on the Conversational Cloud at the same period a year ago.</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 and Adjusted Operating Income (Loss)</w:t>
      </w:r>
    </w:p>
    <w:p>
      <w:pPr>
        <w:spacing w:after="0" w:line="256"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18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have included adjusted EBITDA and adjusted operating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provide useful information to investors and others in understanding and evaluating our operating results in the same manner as our management and board of directors.</w:t>
      </w:r>
    </w:p>
    <w:p>
      <w:pPr>
        <w:spacing w:after="0" w:line="20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300" w:hanging="428"/>
        <w:spacing w:after="0" w:line="263" w:lineRule="auto"/>
        <w:tabs>
          <w:tab w:leader="none" w:pos="11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5" w:lineRule="exact"/>
        <w:rPr>
          <w:rFonts w:ascii="Arial" w:cs="Arial" w:eastAsia="Arial" w:hAnsi="Arial"/>
          <w:sz w:val="18"/>
          <w:szCs w:val="18"/>
          <w:color w:val="auto"/>
        </w:rPr>
      </w:pPr>
    </w:p>
    <w:p>
      <w:pPr>
        <w:ind w:left="1120" w:hanging="24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120" w:hanging="24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acquisition related costs;</w:t>
      </w:r>
    </w:p>
    <w:p>
      <w:pPr>
        <w:spacing w:after="0" w:line="117" w:lineRule="exact"/>
        <w:rPr>
          <w:rFonts w:ascii="Arial" w:cs="Arial" w:eastAsia="Arial" w:hAnsi="Arial"/>
          <w:sz w:val="18"/>
          <w:szCs w:val="18"/>
          <w:color w:val="auto"/>
        </w:rPr>
      </w:pPr>
    </w:p>
    <w:p>
      <w:pPr>
        <w:ind w:left="1120" w:hanging="24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costs;</w:t>
      </w:r>
    </w:p>
    <w:p>
      <w:pPr>
        <w:spacing w:after="0" w:line="117" w:lineRule="exact"/>
        <w:rPr>
          <w:rFonts w:ascii="Arial" w:cs="Arial" w:eastAsia="Arial" w:hAnsi="Arial"/>
          <w:sz w:val="18"/>
          <w:szCs w:val="18"/>
          <w:color w:val="auto"/>
        </w:rPr>
      </w:pPr>
    </w:p>
    <w:p>
      <w:pPr>
        <w:ind w:left="1120" w:hanging="24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other costs;</w:t>
      </w:r>
    </w:p>
    <w:p>
      <w:pPr>
        <w:spacing w:after="0" w:line="117" w:lineRule="exact"/>
        <w:rPr>
          <w:rFonts w:ascii="Arial" w:cs="Arial" w:eastAsia="Arial" w:hAnsi="Arial"/>
          <w:sz w:val="18"/>
          <w:szCs w:val="18"/>
          <w:color w:val="auto"/>
        </w:rPr>
      </w:pPr>
    </w:p>
    <w:p>
      <w:pPr>
        <w:ind w:left="1120" w:hanging="24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300" w:hanging="428"/>
        <w:spacing w:after="0" w:line="277" w:lineRule="auto"/>
        <w:tabs>
          <w:tab w:leader="none" w:pos="12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3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r>
      <w:tr>
        <w:trPr>
          <w:trHeight w:val="195"/>
        </w:trPr>
        <w:tc>
          <w:tcPr>
            <w:tcW w:w="5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0"/>
        </w:trPr>
        <w:tc>
          <w:tcPr>
            <w:tcW w:w="5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508"/>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5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
        </w:trPr>
        <w:tc>
          <w:tcPr>
            <w:tcW w:w="5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Adjusted EBITDA</w:t>
            </w: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190"/>
        </w:trPr>
        <w:tc>
          <w:tcPr>
            <w:tcW w:w="5280" w:type="dxa"/>
            <w:vAlign w:val="bottom"/>
          </w:tcPr>
          <w:p>
            <w:pPr>
              <w:ind w:left="20"/>
              <w:spacing w:after="0"/>
              <w:rPr>
                <w:sz w:val="20"/>
                <w:szCs w:val="20"/>
                <w:color w:val="auto"/>
              </w:rPr>
            </w:pPr>
            <w:r>
              <w:rPr>
                <w:rFonts w:ascii="Arial" w:cs="Arial" w:eastAsia="Arial" w:hAnsi="Arial"/>
                <w:sz w:val="14"/>
                <w:szCs w:val="14"/>
                <w:color w:val="auto"/>
              </w:rPr>
              <w:t>GAAP net loss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(21,119)</w:t>
            </w:r>
          </w:p>
        </w:tc>
        <w:tc>
          <w:tcPr>
            <w:tcW w:w="120" w:type="dxa"/>
            <w:vAlign w:val="bottom"/>
          </w:tcPr>
          <w:p>
            <w:pPr>
              <w:spacing w:after="0"/>
              <w:rPr>
                <w:sz w:val="16"/>
                <w:szCs w:val="16"/>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(18,627)</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(42,314)</w:t>
            </w:r>
          </w:p>
        </w:tc>
        <w:tc>
          <w:tcPr>
            <w:tcW w:w="10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(55,628)</w:t>
            </w:r>
          </w:p>
        </w:tc>
      </w:tr>
      <w:tr>
        <w:trPr>
          <w:trHeight w:val="26"/>
        </w:trPr>
        <w:tc>
          <w:tcPr>
            <w:tcW w:w="5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purchased intangibles</w:t>
            </w: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1,558</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1,377</w:t>
            </w:r>
          </w:p>
        </w:tc>
      </w:tr>
      <w:tr>
        <w:trPr>
          <w:trHeight w:val="190"/>
        </w:trPr>
        <w:tc>
          <w:tcPr>
            <w:tcW w:w="52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15,087</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15,945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29,698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30,642</w:t>
            </w:r>
          </w:p>
        </w:tc>
      </w:tr>
      <w:tr>
        <w:trPr>
          <w:trHeight w:val="26"/>
        </w:trPr>
        <w:tc>
          <w:tcPr>
            <w:tcW w:w="5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Contingent earn-out adjustments</w:t>
            </w:r>
          </w:p>
        </w:tc>
        <w:tc>
          <w:tcPr>
            <w:tcW w:w="8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216"/>
        </w:trPr>
        <w:tc>
          <w:tcPr>
            <w:tcW w:w="5280" w:type="dxa"/>
            <w:vAlign w:val="bottom"/>
          </w:tcPr>
          <w:p>
            <w:pPr>
              <w:ind w:left="220"/>
              <w:spacing w:after="0"/>
              <w:rPr>
                <w:sz w:val="20"/>
                <w:szCs w:val="20"/>
                <w:color w:val="auto"/>
              </w:rPr>
            </w:pPr>
            <w:r>
              <w:rPr>
                <w:rFonts w:ascii="Arial" w:cs="Arial" w:eastAsia="Arial" w:hAnsi="Arial"/>
                <w:sz w:val="14"/>
                <w:szCs w:val="14"/>
                <w:color w:val="auto"/>
              </w:rPr>
              <w:t xml:space="preserve">Restructuring costs </w:t>
            </w:r>
            <w:r>
              <w:rPr>
                <w:rFonts w:ascii="Arial" w:cs="Arial" w:eastAsia="Arial" w:hAnsi="Arial"/>
                <w:sz w:val="18"/>
                <w:szCs w:val="18"/>
                <w:color w:val="auto"/>
                <w:vertAlign w:val="superscript"/>
              </w:rPr>
              <w:t>(1)</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3,193</w:t>
            </w:r>
          </w:p>
        </w:tc>
      </w:tr>
      <w:tr>
        <w:trPr>
          <w:trHeight w:val="196"/>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w:t>
            </w: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6,973</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5,738</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13,578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11,274</w:t>
            </w:r>
          </w:p>
        </w:tc>
      </w:tr>
      <w:tr>
        <w:trPr>
          <w:trHeight w:val="216"/>
        </w:trPr>
        <w:tc>
          <w:tcPr>
            <w:tcW w:w="5280" w:type="dxa"/>
            <w:vAlign w:val="bottom"/>
          </w:tcPr>
          <w:p>
            <w:pPr>
              <w:ind w:left="220"/>
              <w:spacing w:after="0"/>
              <w:rPr>
                <w:sz w:val="20"/>
                <w:szCs w:val="20"/>
                <w:color w:val="auto"/>
              </w:rPr>
            </w:pPr>
            <w:r>
              <w:rPr>
                <w:rFonts w:ascii="Arial" w:cs="Arial" w:eastAsia="Arial" w:hAnsi="Arial"/>
                <w:sz w:val="14"/>
                <w:szCs w:val="14"/>
                <w:color w:val="auto"/>
              </w:rPr>
              <w:t xml:space="preserve">Other litigation and consulting costs </w:t>
            </w:r>
            <w:r>
              <w:rPr>
                <w:rFonts w:ascii="Arial" w:cs="Arial" w:eastAsia="Arial" w:hAnsi="Arial"/>
                <w:sz w:val="18"/>
                <w:szCs w:val="18"/>
                <w:color w:val="auto"/>
                <w:vertAlign w:val="superscript"/>
              </w:rPr>
              <w:t>(2)</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2,835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4,182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6,046</w:t>
            </w:r>
          </w:p>
        </w:tc>
      </w:tr>
      <w:tr>
        <w:trPr>
          <w:trHeight w:val="196"/>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1"/>
        </w:trPr>
        <w:tc>
          <w:tcPr>
            <w:tcW w:w="528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9,281</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3,211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18,410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6,002</w:t>
            </w:r>
          </w:p>
        </w:tc>
      </w:tr>
      <w:tr>
        <w:trPr>
          <w:trHeight w:val="26"/>
        </w:trPr>
        <w:tc>
          <w:tcPr>
            <w:tcW w:w="5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Other (income) expense, net </w:t>
            </w:r>
            <w:r>
              <w:rPr>
                <w:rFonts w:ascii="Arial" w:cs="Arial" w:eastAsia="Arial" w:hAnsi="Arial"/>
                <w:sz w:val="18"/>
                <w:szCs w:val="18"/>
                <w:color w:val="auto"/>
                <w:vertAlign w:val="superscript"/>
              </w:rPr>
              <w:t>(3)</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1,975</w:t>
            </w:r>
          </w:p>
        </w:tc>
      </w:tr>
      <w:tr>
        <w:trPr>
          <w:trHeight w:val="209"/>
        </w:trPr>
        <w:tc>
          <w:tcPr>
            <w:tcW w:w="52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13,368</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26,716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4,631</w:t>
            </w:r>
          </w:p>
        </w:tc>
      </w:tr>
      <w:tr>
        <w:trPr>
          <w:trHeight w:val="21"/>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ind w:left="500" w:right="140" w:hanging="492"/>
        <w:spacing w:after="0" w:line="248" w:lineRule="auto"/>
        <w:tabs>
          <w:tab w:leader="none" w:pos="49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severance costs and other compensation related costs of $0.2 million and lease restructuring costs of $0.3 million for the three months ended June 30, 2021. Includes severance costs and other compensation related costs of $2.7 million and lease restructuring costs of $0.5 million for the six months ended June 30, 2021. Includes severance costs and other compensation related costs of $3.2 million for the six months ended June 30, 2020.</w:t>
      </w:r>
    </w:p>
    <w:p>
      <w:pPr>
        <w:spacing w:after="0" w:line="28" w:lineRule="exact"/>
        <w:rPr>
          <w:rFonts w:ascii="Arial" w:cs="Arial" w:eastAsia="Arial" w:hAnsi="Arial"/>
          <w:sz w:val="14"/>
          <w:szCs w:val="14"/>
          <w:color w:val="auto"/>
        </w:rPr>
      </w:pPr>
    </w:p>
    <w:p>
      <w:pPr>
        <w:ind w:left="500" w:right="40" w:hanging="492"/>
        <w:spacing w:after="0" w:line="249" w:lineRule="auto"/>
        <w:tabs>
          <w:tab w:leader="none" w:pos="49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litigation costs of $1.6 million, employee benefit cost of $0.6 million, consulting costs of $0.4 million, and reserve for sales and use tax liability of $0.2 million for the three months ended June 30, 2021. Includes litigation costs of $1.0 million and consulting costs of $0.3 million for the three months ended June 30, 2020. Includes litigation costs of $2.8 million, employee benefit cost of $0.6 million, consulting costs of $0.6 million, and reserve for sales and use tax liability of $0.2 million for the six months ended June 30, 2021. Includes reserve for sales and use tax liability of $2.3 million, litigation costs of $2.3 million, employee benefit cost of $0.8 million, and consulting costs of $0.6 million for the six months ended June 30, 2020.</w:t>
      </w:r>
    </w:p>
    <w:p>
      <w:pPr>
        <w:spacing w:after="0" w:line="28" w:lineRule="exact"/>
        <w:rPr>
          <w:rFonts w:ascii="Arial" w:cs="Arial" w:eastAsia="Arial" w:hAnsi="Arial"/>
          <w:sz w:val="14"/>
          <w:szCs w:val="14"/>
          <w:color w:val="auto"/>
        </w:rPr>
      </w:pPr>
    </w:p>
    <w:p>
      <w:pPr>
        <w:ind w:left="500" w:right="20" w:hanging="492"/>
        <w:spacing w:after="0" w:line="256" w:lineRule="auto"/>
        <w:tabs>
          <w:tab w:leader="none" w:pos="49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$3.3 million of other income related to the settlement of leases for the three and six months ended June 30, 2021. The remaining amount of other (income) expense is attributable to currency rate fluctuations.</w:t>
      </w:r>
    </w:p>
    <w:p>
      <w:pPr>
        <w:spacing w:after="0" w:line="1" w:lineRule="exact"/>
        <w:rPr>
          <w:sz w:val="20"/>
          <w:szCs w:val="20"/>
          <w:color w:val="auto"/>
        </w:rPr>
      </w:pPr>
    </w:p>
    <w:p>
      <w:pPr>
        <w:ind w:right="80" w:firstLine="432"/>
        <w:spacing w:after="0" w:line="249" w:lineRule="auto"/>
        <w:rPr>
          <w:sz w:val="20"/>
          <w:szCs w:val="20"/>
          <w:color w:val="auto"/>
        </w:rPr>
      </w:pPr>
      <w:r>
        <w:rPr>
          <w:rFonts w:ascii="Arial" w:cs="Arial" w:eastAsia="Arial" w:hAnsi="Arial"/>
          <w:sz w:val="18"/>
          <w:szCs w:val="18"/>
          <w:color w:val="auto"/>
        </w:rPr>
        <w:t>Our use of adjusted operating income has limitations as an analytical tool, and you should not consider it in isolation or as a substitute for analysis of our results as reported under GAAP. Some of these limitations are:</w:t>
      </w:r>
    </w:p>
    <w:p>
      <w:pPr>
        <w:spacing w:after="0" w:line="1" w:lineRule="exact"/>
        <w:rPr>
          <w:sz w:val="20"/>
          <w:szCs w:val="20"/>
          <w:color w:val="auto"/>
        </w:rPr>
      </w:pPr>
    </w:p>
    <w:p>
      <w:pPr>
        <w:ind w:left="1300" w:hanging="428"/>
        <w:spacing w:after="0" w:line="290" w:lineRule="auto"/>
        <w:tabs>
          <w:tab w:leader="none" w:pos="1117"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spacing w:after="0" w:line="53" w:lineRule="exact"/>
        <w:rPr>
          <w:rFonts w:ascii="Arial" w:cs="Arial" w:eastAsia="Arial" w:hAnsi="Arial"/>
          <w:sz w:val="17"/>
          <w:szCs w:val="17"/>
          <w:color w:val="auto"/>
        </w:rPr>
      </w:pPr>
    </w:p>
    <w:p>
      <w:pPr>
        <w:ind w:left="1120" w:hanging="24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acquisition related costs;</w:t>
      </w:r>
    </w:p>
    <w:p>
      <w:pPr>
        <w:spacing w:after="0" w:line="117" w:lineRule="exact"/>
        <w:rPr>
          <w:rFonts w:ascii="Arial" w:cs="Arial" w:eastAsia="Arial" w:hAnsi="Arial"/>
          <w:sz w:val="18"/>
          <w:szCs w:val="18"/>
          <w:color w:val="auto"/>
        </w:rPr>
      </w:pPr>
    </w:p>
    <w:p>
      <w:pPr>
        <w:ind w:left="1120" w:hanging="24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restructuring costs;</w:t>
      </w:r>
    </w:p>
    <w:p>
      <w:pPr>
        <w:spacing w:after="0" w:line="117" w:lineRule="exact"/>
        <w:rPr>
          <w:rFonts w:ascii="Arial" w:cs="Arial" w:eastAsia="Arial" w:hAnsi="Arial"/>
          <w:sz w:val="18"/>
          <w:szCs w:val="18"/>
          <w:color w:val="auto"/>
        </w:rPr>
      </w:pPr>
    </w:p>
    <w:p>
      <w:pPr>
        <w:ind w:left="1120" w:hanging="24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other costs;</w:t>
      </w:r>
    </w:p>
    <w:p>
      <w:pPr>
        <w:spacing w:after="0" w:line="117" w:lineRule="exact"/>
        <w:rPr>
          <w:rFonts w:ascii="Arial" w:cs="Arial" w:eastAsia="Arial" w:hAnsi="Arial"/>
          <w:sz w:val="18"/>
          <w:szCs w:val="18"/>
          <w:color w:val="auto"/>
        </w:rPr>
      </w:pPr>
    </w:p>
    <w:p>
      <w:pPr>
        <w:ind w:left="1300" w:right="120" w:hanging="428"/>
        <w:spacing w:after="0" w:line="277" w:lineRule="auto"/>
        <w:tabs>
          <w:tab w:leader="none" w:pos="11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operating income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0" w:name="page41"/>
    <w:bookmarkEnd w:id="40"/>
    <w:p>
      <w:pPr>
        <w:jc w:val="both"/>
        <w:ind w:firstLine="432"/>
        <w:spacing w:after="0" w:line="263" w:lineRule="auto"/>
        <w:rPr>
          <w:sz w:val="20"/>
          <w:szCs w:val="20"/>
          <w:color w:val="auto"/>
        </w:rPr>
      </w:pPr>
      <w:r>
        <w:rPr>
          <w:rFonts w:ascii="Arial" w:cs="Arial" w:eastAsia="Arial" w:hAnsi="Arial"/>
          <w:sz w:val="18"/>
          <w:szCs w:val="18"/>
          <w:color w:val="auto"/>
        </w:rPr>
        <w:t>Because of these limitations, you should consider adjusted operating income alongside other financial performance measures, including various pre-tax GAAP loss and our other GAAP results. The following table presents a reconciliation of adjusted operating income (loss) for each of the periods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3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r>
      <w:tr>
        <w:trPr>
          <w:trHeight w:val="195"/>
        </w:trPr>
        <w:tc>
          <w:tcPr>
            <w:tcW w:w="53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0"/>
        </w:trPr>
        <w:tc>
          <w:tcPr>
            <w:tcW w:w="5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88"/>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5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
        </w:trPr>
        <w:tc>
          <w:tcPr>
            <w:tcW w:w="5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Adjusted Operating Income (Loss)</w:t>
            </w: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4"/>
                <w:szCs w:val="14"/>
                <w:color w:val="auto"/>
              </w:rPr>
              <w:t>Loss before provision for income taxes</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(20,521)</w:t>
            </w:r>
          </w:p>
        </w:tc>
        <w:tc>
          <w:tcPr>
            <w:tcW w:w="120" w:type="dxa"/>
            <w:vAlign w:val="bottom"/>
          </w:tcPr>
          <w:p>
            <w:pPr>
              <w:spacing w:after="0"/>
              <w:rPr>
                <w:sz w:val="18"/>
                <w:szCs w:val="18"/>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(18,966)</w:t>
            </w:r>
          </w:p>
        </w:tc>
        <w:tc>
          <w:tcPr>
            <w:tcW w:w="120" w:type="dxa"/>
            <w:vAlign w:val="bottom"/>
          </w:tcPr>
          <w:p>
            <w:pPr>
              <w:spacing w:after="0"/>
              <w:rPr>
                <w:sz w:val="18"/>
                <w:szCs w:val="18"/>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(42,567)</w:t>
            </w:r>
          </w:p>
        </w:tc>
        <w:tc>
          <w:tcPr>
            <w:tcW w:w="120" w:type="dxa"/>
            <w:vAlign w:val="bottom"/>
          </w:tcPr>
          <w:p>
            <w:pPr>
              <w:spacing w:after="0"/>
              <w:rPr>
                <w:sz w:val="18"/>
                <w:szCs w:val="18"/>
                <w:color w:val="auto"/>
              </w:rPr>
            </w:pP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(55,615)</w:t>
            </w:r>
          </w:p>
        </w:tc>
      </w:tr>
      <w:tr>
        <w:trPr>
          <w:trHeight w:val="202"/>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purchased intangibles</w:t>
            </w: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1,558</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3,108</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1,377</w:t>
            </w:r>
          </w:p>
        </w:tc>
      </w:tr>
      <w:tr>
        <w:trPr>
          <w:trHeight w:val="190"/>
        </w:trPr>
        <w:tc>
          <w:tcPr>
            <w:tcW w:w="53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15,087</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15,945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29,698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30,642</w:t>
            </w:r>
          </w:p>
        </w:tc>
      </w:tr>
      <w:tr>
        <w:trPr>
          <w:trHeight w:val="26"/>
        </w:trPr>
        <w:tc>
          <w:tcPr>
            <w:tcW w:w="5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Restructuring costs </w:t>
            </w:r>
            <w:r>
              <w:rPr>
                <w:rFonts w:ascii="Arial" w:cs="Arial" w:eastAsia="Arial" w:hAnsi="Arial"/>
                <w:sz w:val="18"/>
                <w:szCs w:val="18"/>
                <w:color w:val="auto"/>
                <w:vertAlign w:val="superscript"/>
              </w:rPr>
              <w:t>(1)</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r>
      <w:tr>
        <w:trPr>
          <w:trHeight w:val="216"/>
        </w:trPr>
        <w:tc>
          <w:tcPr>
            <w:tcW w:w="5360" w:type="dxa"/>
            <w:vAlign w:val="bottom"/>
          </w:tcPr>
          <w:p>
            <w:pPr>
              <w:ind w:left="220"/>
              <w:spacing w:after="0"/>
              <w:rPr>
                <w:sz w:val="20"/>
                <w:szCs w:val="20"/>
                <w:color w:val="auto"/>
              </w:rPr>
            </w:pPr>
            <w:r>
              <w:rPr>
                <w:rFonts w:ascii="Arial" w:cs="Arial" w:eastAsia="Arial" w:hAnsi="Arial"/>
                <w:sz w:val="14"/>
                <w:szCs w:val="14"/>
                <w:color w:val="auto"/>
              </w:rPr>
              <w:t xml:space="preserve">Other litigation and consulting costs </w:t>
            </w:r>
            <w:r>
              <w:rPr>
                <w:rFonts w:ascii="Arial" w:cs="Arial" w:eastAsia="Arial" w:hAnsi="Arial"/>
                <w:sz w:val="18"/>
                <w:szCs w:val="18"/>
                <w:color w:val="auto"/>
                <w:vertAlign w:val="superscript"/>
              </w:rPr>
              <w:t>(2)</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2,835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1,338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4,182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6,046</w:t>
            </w:r>
          </w:p>
        </w:tc>
      </w:tr>
      <w:tr>
        <w:trPr>
          <w:trHeight w:val="196"/>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Contingent earn-out adjustments</w:t>
            </w:r>
          </w:p>
        </w:tc>
        <w:tc>
          <w:tcPr>
            <w:tcW w:w="8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190"/>
        </w:trPr>
        <w:tc>
          <w:tcPr>
            <w:tcW w:w="536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9,281</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3,211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18,410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6,002</w:t>
            </w:r>
          </w:p>
        </w:tc>
      </w:tr>
      <w:tr>
        <w:trPr>
          <w:trHeight w:val="26"/>
        </w:trPr>
        <w:tc>
          <w:tcPr>
            <w:tcW w:w="5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Other (income) expense, net </w:t>
            </w:r>
            <w:r>
              <w:rPr>
                <w:rFonts w:ascii="Arial" w:cs="Arial" w:eastAsia="Arial" w:hAnsi="Arial"/>
                <w:sz w:val="18"/>
                <w:szCs w:val="18"/>
                <w:color w:val="auto"/>
                <w:vertAlign w:val="superscript"/>
              </w:rPr>
              <w:t>(3)</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(3,050)</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1,975</w:t>
            </w:r>
          </w:p>
        </w:tc>
      </w:tr>
      <w:tr>
        <w:trPr>
          <w:trHeight w:val="183"/>
        </w:trPr>
        <w:tc>
          <w:tcPr>
            <w:tcW w:w="5360" w:type="dxa"/>
            <w:vAlign w:val="bottom"/>
          </w:tcPr>
          <w:p>
            <w:pPr>
              <w:ind w:left="220"/>
              <w:spacing w:after="0"/>
              <w:rPr>
                <w:sz w:val="20"/>
                <w:szCs w:val="20"/>
                <w:color w:val="auto"/>
              </w:rPr>
            </w:pPr>
            <w:r>
              <w:rPr>
                <w:rFonts w:ascii="Arial" w:cs="Arial" w:eastAsia="Arial" w:hAnsi="Arial"/>
                <w:sz w:val="14"/>
                <w:szCs w:val="14"/>
                <w:color w:val="auto"/>
              </w:rPr>
              <w:t>Adjusted operating income (loss)</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6,395</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3,525</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13,138</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(6,643)</w:t>
            </w:r>
          </w:p>
        </w:tc>
      </w:tr>
      <w:tr>
        <w:trPr>
          <w:trHeight w:val="21"/>
        </w:trPr>
        <w:tc>
          <w:tcPr>
            <w:tcW w:w="5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ind w:left="500" w:right="140" w:hanging="492"/>
        <w:spacing w:after="0" w:line="248" w:lineRule="auto"/>
        <w:tabs>
          <w:tab w:leader="none" w:pos="492"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severance costs and other compensation related costs of $0.2 million and lease restructuring costs of $0.3 million for the three months ended June 30, 2021. Includes severance costs and other compensation related costs of $2.7 million and lease restructuring costs of $0.5 million for the six months ended June 30, 2021. Includes severance costs and other compensation related costs of $3.2 million for the six months ended June 30, 2020.</w:t>
      </w:r>
    </w:p>
    <w:p>
      <w:pPr>
        <w:spacing w:after="0" w:line="28" w:lineRule="exact"/>
        <w:rPr>
          <w:rFonts w:ascii="Arial" w:cs="Arial" w:eastAsia="Arial" w:hAnsi="Arial"/>
          <w:sz w:val="14"/>
          <w:szCs w:val="14"/>
          <w:color w:val="auto"/>
        </w:rPr>
      </w:pPr>
    </w:p>
    <w:p>
      <w:pPr>
        <w:ind w:left="500" w:right="40" w:hanging="492"/>
        <w:spacing w:after="0" w:line="249" w:lineRule="auto"/>
        <w:tabs>
          <w:tab w:leader="none" w:pos="492"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litigation costs of $1.6 million, employee benefit cost of $0.6 million, consulting costs of $0.4 million, and reserve for sales and use tax liability of $0.2 million for the three months ended June 30, 2021. Includes litigation costs of $1.0 million and consulting costs of $0.3 million for the three months ended June 30, 2020. Includes litigation costs of $2.8 million, employee benefit cost of $0.6 million, consulting costs of $0.6 million, and reserve for sales and use tax liability of $0.2 million for the six months ended June 30, 2021. Includes reserve for sales and use tax liability of $2.3 million, litigation costs of $2.3 million, employee benefit cost of $0.8 million, and consulting costs of $0.6 million for the six months ended June 30, 2020.</w:t>
      </w:r>
    </w:p>
    <w:p>
      <w:pPr>
        <w:spacing w:after="0" w:line="28" w:lineRule="exact"/>
        <w:rPr>
          <w:rFonts w:ascii="Arial" w:cs="Arial" w:eastAsia="Arial" w:hAnsi="Arial"/>
          <w:sz w:val="14"/>
          <w:szCs w:val="14"/>
          <w:color w:val="auto"/>
        </w:rPr>
      </w:pPr>
    </w:p>
    <w:p>
      <w:pPr>
        <w:ind w:left="500" w:right="20" w:hanging="492"/>
        <w:spacing w:after="0" w:line="273" w:lineRule="auto"/>
        <w:tabs>
          <w:tab w:leader="none" w:pos="492"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$3.3 million of other income related to the settlement of leases for the three and six months ended June 30, 2021. The remaining amount of other (income) expense is attributable to currency rate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condensed consolidated financial statements are prepared in conformity with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2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majority of our revenue is generated from monthly service revenues, which is inclusive of our platform usage pricing model, and related professional services from the sale of our services. Revenues are recognized when control of these services is transferred to our customers, in an amount that reflects the consideration we expect to be entitled to in exchange for those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300" w:hanging="42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Total revenue of $119.6 million and $91.6 million was recognized for the three months ended June 30, 2021 and 2020, respectively, and $227.5 million and $169.7 million during the six months ended June 30, 2021 and 2020, respectively.</w:t>
      </w:r>
    </w:p>
    <w:p>
      <w:pPr>
        <w:spacing w:after="0" w:line="1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defer all incremental commission costs to obtain the contract (contract acquisition costs). The contract acquisition costs consist of prepaid sales commissions and have balances as of June 30, 2021 and December 31, 2020 of $43.5 million and $41.0 million, respectively. We amortize these costs over the related period of benefit using the expected life of the customer contract, which we determine to be three to five years, consistent with the transfer to the customer of the services to which the asset relates. We classify contract acquisition costs as long-term unless they have an original amortization period of one year or less.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Hosted Services Business revenue is reported at the amount that reflects the ultimate consideration expected to be received and primarily consist of fees that provide customers access to the Conversational Cloud.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311" w:lineRule="auto"/>
        <w:rPr>
          <w:sz w:val="20"/>
          <w:szCs w:val="20"/>
          <w:color w:val="auto"/>
        </w:rPr>
      </w:pPr>
      <w:r>
        <w:rPr>
          <w:rFonts w:ascii="Arial" w:cs="Arial" w:eastAsia="Arial" w:hAnsi="Arial"/>
          <w:sz w:val="16"/>
          <w:szCs w:val="16"/>
          <w:color w:val="auto"/>
        </w:rPr>
        <w:t>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we act as a principal in a transaction if we control the specified goods or services before they are transferred to the customer.</w:t>
      </w:r>
    </w:p>
    <w:p>
      <w:pPr>
        <w:spacing w:after="0" w:line="1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Revenue attributable to our monthly hosted Business services accounted for 80% and 79% of total revenue the three months ended June 30, 2021 and 2020, respectively and 79% for each of the six months ended June 30, 2021 and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5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Professional Services Revenues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9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Revenue attributable to professional services accounted for 12% and 13% of total revenue for the three months ended June 30, 2021 and 2020, respectively, and 13% for each of the six months ended June 30, 2021 and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5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revenue is recognized at an amount net of Expert fees primarily because the Expert is the primary obligor.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from our Consumer segment accounted for 8% of total revenue for the three and six months ended June 30,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w:t>
      </w:r>
    </w:p>
    <w:p>
      <w:pPr>
        <w:spacing w:after="0" w:line="25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As of June 30, 2021, the aggregate amount of the total transaction price allocated in contracts with original duration of greater than one year to the remaining performance obligations was $345.8 million. Approximately 92% of our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We have elected the optional exemption, which allows for the exclusion of the amounts for remaining performance obligations that are part of contracts with an original expected duration of one year or less. Such remaining performance obligations represent unsatisfied or partially unsatisfied performance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5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Deferred Revenues</w:t>
      </w:r>
    </w:p>
    <w:p>
      <w:pPr>
        <w:spacing w:after="0" w:line="252"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We record deferred revenues when cash payments are received or due in advance of our performance. The increase of $18.9 million in deferred revenue balance for the three months ended June 30, 2021 from the deferred revenue balance of $89.3 million for the year ended December 31, 2020 is primarily driven by cash payments received or due in advance of our performance obligations, partially offset by $81.9 million revenues recognized that were included in the deferred revenue balance as of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w:t>
      </w:r>
    </w:p>
    <w:p>
      <w:pPr>
        <w:spacing w:after="0" w:line="2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the three months ended June 30, 2021 and 2020, we accrued approximately $5.1 million and $7.9 million in cash awards, respectively, and for the six months ended June 30, 2021 and 2020, we accrued approximately $10.4 million and $11.6 million in cash awards, respectively, to be settled in shares of our stock and recorded a corresponding expense, which is included as a component of stock-based compensation expense in the accompanying condensed consolidated financial statements for the three months ended June 30, 2021 and 2020, respectively.</w:t>
      </w:r>
    </w:p>
    <w:p>
      <w:pPr>
        <w:spacing w:after="0" w:line="19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2021, there was approximately $24.4 million of total unrecognized compensation cost related to nonvested share-based compensation arrangements. That cost is expected to be recognized over a weighted average period of approximately 2.9 years.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2021, there was approximately $106.2 million of total unrecognized compensation cost related to nonvested restricted stock units.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cost is expected to be recognized over the remaining weighted average period of approximately 3.2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or exceeded 10% of our total revenue in the three months ended June 30, 2021 and 2020. No single customer accounted for or exceeded 10% of our total accounts receivable as of June 30, 2021. No customer accounted for or exceeded 10% of our total accounts receivable in 2020. During the three months ended June 30, 2021, we increased our allowance for doubtful accounts from $5.3 million as of December 31, 2020 to approximately $5.8 million. A large proportion of receivables are due from larger corporate customers that typically have longer payment cycles. Accounts receivable is presented net of an allowance for doubtful accounts and sales reserve of $5.8 million and $2.4 million as of June 30, 2021, respectively, and $5.3 million and $3.4 million as of December 31, 2020, respectively.</w:t>
      </w:r>
    </w:p>
    <w:p>
      <w:pPr>
        <w:spacing w:after="0" w:line="19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An allowance for doubtful accounts is established for losses expected to be incurred on accounts receivable balances. Judgment is required in the estimation of the allowance and we evaluate the collectability of our accounts receivable based on a combination of factors. If we become aware of a customer’s inability to meet its financial obligations, a specific allowance is recorded to reduce the net receivable to the amount reasonably believed to be collectible from the customer. For all other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4" w:name="page45"/>
    <w:bookmarkEnd w:id="44"/>
    <w:p>
      <w:pPr>
        <w:jc w:val="both"/>
        <w:spacing w:after="0" w:line="311" w:lineRule="auto"/>
        <w:rPr>
          <w:sz w:val="20"/>
          <w:szCs w:val="20"/>
          <w:color w:val="auto"/>
        </w:rPr>
      </w:pPr>
      <w:r>
        <w:rPr>
          <w:rFonts w:ascii="Arial" w:cs="Arial" w:eastAsia="Arial" w:hAnsi="Arial"/>
          <w:sz w:val="16"/>
          <w:szCs w:val="16"/>
          <w:color w:val="auto"/>
        </w:rPr>
        <w:t>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We have determined that the Company operates as two reporting units and have selected September 30 as the date to perform our annual impairment test. In the valuation of goodwill, management must make assumptions regarding estimated future cash flows to be derived from our business. If these estimates or their related assumptions change in the future, we may be required to record impairment for these assets.</w:t>
      </w:r>
    </w:p>
    <w:p>
      <w:pPr>
        <w:spacing w:after="0" w:line="18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have the option to first perform a qualitative assessment to determine if it is more likely than not that the fair value of a reporting unit is less than its carrying amount. However, we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goodwill impairment charges have been recorded for any period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5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 as a significant piece of negative evidence. Since valuation allowances are evaluated on a jurisdiction by jurisdiction basis, we believe that the deferred tax assets related to LivePerson Australia, LivePerson UK, Kasamba Israel, LivePerson Japan and LivePerson Ltd. Israel are more likely than not to be realized as these jurisdictions have positive cumulative pre-tax book income after adjusting for permanent and one-time items. During the year ended December 31, 2020, there was an increase in the valuation recorded of $6.9 million. For the three months ended June 30, 2021, the Company recorded a tax provision of $0.6 million. This amount consists of a tax provision for the period of $0.9 million on operating earnings for the period offset by a tax benefit of $0.3 million related to stock compensation deductions for LivePerson UK. For the six months ended June 30, 2021, the Company recorded a tax benefit of $0.3 million. This amount consists of a tax provision of $1.5 million on operating earnings offset by a tax benefit of $1.5 million for the release of a reserve of uncertain tax benefits recorded against deferred tax assets related to Israeli stock compensation deductions and a benefit of $0.3 million for excess tax benefits from stock compensation.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5" w:name="page46"/>
    <w:bookmarkEnd w:id="45"/>
    <w:p>
      <w:pPr>
        <w:jc w:val="both"/>
        <w:ind w:firstLine="432"/>
        <w:spacing w:after="0" w:line="342" w:lineRule="auto"/>
        <w:rPr>
          <w:sz w:val="20"/>
          <w:szCs w:val="20"/>
          <w:color w:val="auto"/>
        </w:rPr>
      </w:pPr>
      <w:r>
        <w:rPr>
          <w:rFonts w:ascii="Arial" w:cs="Arial" w:eastAsia="Arial" w:hAnsi="Arial"/>
          <w:sz w:val="16"/>
          <w:szCs w:val="16"/>
          <w:color w:val="auto"/>
        </w:rPr>
        <w:t>A statutory rate change in the United Kingdom was enacted during the three months ended June 30, 2021. Effective April 1, 2023, the tax rate will increase from 19% to 25%. During the period, the Company assessed the impact of the rate change and concluded it is immaterial to its deferred taxes.</w:t>
      </w:r>
    </w:p>
    <w:p>
      <w:pPr>
        <w:spacing w:after="0" w:line="15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had a valuation allowance on certain deferred tax assets for the years ended December 31, 2020 of $55.4 million. Inherent in the Company’s 2021 annual effective tax rate is an estimated increase in the valuation allowance of $33.6 million, all of which will be recorded as an expense. During 2020, an increase in the valuation allowance in the amount of $35.1 million was recorded as an expense and a decrease of $28.2 million related to convertible notes was charged to equity.</w:t>
      </w:r>
    </w:p>
    <w:p>
      <w:pPr>
        <w:spacing w:after="0" w:line="2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March 27, 2020, the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As a result of the CARES Act, the Company filed refund claims relating to prior years totaling $0.6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25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14 – Legal Matters in the Notes to the Condensed Consolidated Financial Statements for additional information on our legal proceedings and litigation.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1 – Description of Business and Basis of Presentation in the Notes to the Condensed Consolidated Financial Statements for a full description of recently issued accounting standards.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1 – Description of Business and Basis of Presentation in the Notes to the Condensed Consolidated Financial Statements for a full description of recently adopted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300" w:right="980" w:hanging="428"/>
        <w:spacing w:after="0" w:line="277"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supporting our infrastructure, including expenses related to server leases, infrastructure support costs and Internet connectivity;</w:t>
      </w:r>
    </w:p>
    <w:p>
      <w:pPr>
        <w:spacing w:after="0" w:line="62"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6" w:name="page47"/>
    <w:bookmarkEnd w:id="46"/>
    <w:p>
      <w:pPr>
        <w:jc w:val="both"/>
        <w:ind w:firstLine="432"/>
        <w:spacing w:after="0" w:line="255"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2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Compensation Expense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non-cash compensation amounts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6"/>
                <w:szCs w:val="16"/>
                <w:color w:val="auto"/>
              </w:rPr>
            </w:pPr>
          </w:p>
        </w:tc>
        <w:tc>
          <w:tcPr>
            <w:tcW w:w="1600" w:type="dxa"/>
            <w:vAlign w:val="bottom"/>
            <w:gridSpan w:val="2"/>
          </w:tcPr>
          <w:p>
            <w:pPr>
              <w:ind w:left="420"/>
              <w:spacing w:after="0"/>
              <w:rPr>
                <w:sz w:val="20"/>
                <w:szCs w:val="20"/>
                <w:color w:val="auto"/>
              </w:rPr>
            </w:pPr>
            <w:r>
              <w:rPr>
                <w:rFonts w:ascii="Arial" w:cs="Arial" w:eastAsia="Arial" w:hAnsi="Arial"/>
                <w:sz w:val="14"/>
                <w:szCs w:val="14"/>
                <w:b w:val="1"/>
                <w:bCs w:val="1"/>
                <w:color w:val="auto"/>
                <w:w w:val="95"/>
              </w:rPr>
              <w:t>Six Months Ended</w:t>
            </w:r>
          </w:p>
        </w:tc>
        <w:tc>
          <w:tcPr>
            <w:tcW w:w="880" w:type="dxa"/>
            <w:vAlign w:val="bottom"/>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626"/>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760"/>
              <w:spacing w:after="0"/>
              <w:rPr>
                <w:sz w:val="20"/>
                <w:szCs w:val="20"/>
                <w:color w:val="auto"/>
              </w:rPr>
            </w:pPr>
            <w:r>
              <w:rPr>
                <w:rFonts w:ascii="Arial" w:cs="Arial" w:eastAsia="Arial" w:hAnsi="Arial"/>
                <w:sz w:val="13"/>
                <w:szCs w:val="13"/>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47"/>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15,087</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29,698</w:t>
            </w: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30,642</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and Six Months Ended June 30, 2021 and June 30,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c>
          <w:tcPr>
            <w:tcW w:w="1300" w:type="dxa"/>
            <w:vAlign w:val="bottom"/>
          </w:tcPr>
          <w:p>
            <w:pPr>
              <w:spacing w:after="0"/>
              <w:rPr>
                <w:sz w:val="16"/>
                <w:szCs w:val="16"/>
                <w:color w:val="auto"/>
              </w:rPr>
            </w:pPr>
          </w:p>
        </w:tc>
      </w:tr>
      <w:tr>
        <w:trPr>
          <w:trHeight w:val="195"/>
        </w:trPr>
        <w:tc>
          <w:tcPr>
            <w:tcW w:w="2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300" w:type="dxa"/>
            <w:vAlign w:val="bottom"/>
            <w:tcBorders>
              <w:bottom w:val="single" w:sz="8" w:color="auto"/>
            </w:tcBorders>
          </w:tcPr>
          <w:p>
            <w:pPr>
              <w:spacing w:after="0"/>
              <w:rPr>
                <w:sz w:val="16"/>
                <w:szCs w:val="16"/>
                <w:color w:val="auto"/>
              </w:rPr>
            </w:pPr>
          </w:p>
        </w:tc>
      </w:tr>
      <w:tr>
        <w:trPr>
          <w:trHeight w:val="187"/>
        </w:trPr>
        <w:tc>
          <w:tcPr>
            <w:tcW w:w="2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r>
      <w:tr>
        <w:trPr>
          <w:trHeight w:val="183"/>
        </w:trPr>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5"/>
          </w:tcPr>
          <w:p>
            <w:pPr>
              <w:ind w:left="68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7"/>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Segment: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2680" w:type="dxa"/>
            <w:vAlign w:val="bottom"/>
          </w:tcPr>
          <w:p>
            <w:pPr>
              <w:ind w:left="220"/>
              <w:spacing w:after="0"/>
              <w:rPr>
                <w:sz w:val="20"/>
                <w:szCs w:val="20"/>
                <w:color w:val="auto"/>
              </w:rPr>
            </w:pPr>
            <w:r>
              <w:rPr>
                <w:rFonts w:ascii="Arial" w:cs="Arial" w:eastAsia="Arial" w:hAnsi="Arial"/>
                <w:sz w:val="16"/>
                <w:szCs w:val="16"/>
                <w:color w:val="auto"/>
              </w:rPr>
              <w:t>Business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109,795</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84,016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208,675</w:t>
            </w:r>
          </w:p>
        </w:tc>
        <w:tc>
          <w:tcPr>
            <w:tcW w:w="12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155,865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216"/>
        </w:trPr>
        <w:tc>
          <w:tcPr>
            <w:tcW w:w="2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13,826</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12"/>
        </w:trPr>
        <w:tc>
          <w:tcPr>
            <w:tcW w:w="2680" w:type="dxa"/>
            <w:vAlign w:val="bottom"/>
          </w:tcPr>
          <w:p>
            <w:pPr>
              <w:ind w:left="36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119,605</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91,603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227,496</w:t>
            </w:r>
          </w:p>
        </w:tc>
        <w:tc>
          <w:tcPr>
            <w:tcW w:w="12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169,691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20"/>
        </w:trPr>
        <w:tc>
          <w:tcPr>
            <w:tcW w:w="2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222222"/>
        </w:rPr>
        <w:t xml:space="preserve">Business revenue increased by 31% to $109.8 million and by 34% to $208.7 million in the </w:t>
      </w:r>
      <w:r>
        <w:rPr>
          <w:rFonts w:ascii="Arial" w:cs="Arial" w:eastAsia="Arial" w:hAnsi="Arial"/>
          <w:sz w:val="18"/>
          <w:szCs w:val="18"/>
          <w:color w:val="000000"/>
        </w:rPr>
        <w:t>three and six months ended June 30, 2021, respectively,</w:t>
      </w:r>
      <w:r>
        <w:rPr>
          <w:rFonts w:ascii="Arial" w:cs="Arial" w:eastAsia="Arial" w:hAnsi="Arial"/>
          <w:sz w:val="18"/>
          <w:szCs w:val="18"/>
          <w:color w:val="222222"/>
        </w:rPr>
        <w:t xml:space="preserve"> from $84.0 million and $155.9 million, respectively, in the comparable periods in 2020. The increase in Business revenue is driven primarily by increases in hosted services of $22.7 million and $45.3 million during the </w:t>
      </w:r>
      <w:r>
        <w:rPr>
          <w:rFonts w:ascii="Arial" w:cs="Arial" w:eastAsia="Arial" w:hAnsi="Arial"/>
          <w:sz w:val="18"/>
          <w:szCs w:val="18"/>
          <w:color w:val="000000"/>
        </w:rPr>
        <w:t>three and six months</w:t>
      </w:r>
      <w:r>
        <w:rPr>
          <w:rFonts w:ascii="Arial" w:cs="Arial" w:eastAsia="Arial" w:hAnsi="Arial"/>
          <w:sz w:val="18"/>
          <w:szCs w:val="18"/>
          <w:color w:val="222222"/>
        </w:rPr>
        <w:t xml:space="preserve"> ended </w:t>
      </w:r>
      <w:r>
        <w:rPr>
          <w:rFonts w:ascii="Arial" w:cs="Arial" w:eastAsia="Arial" w:hAnsi="Arial"/>
          <w:sz w:val="18"/>
          <w:szCs w:val="18"/>
          <w:color w:val="000000"/>
        </w:rPr>
        <w:t>June 30, 2021</w:t>
      </w:r>
      <w:r>
        <w:rPr>
          <w:rFonts w:ascii="Arial" w:cs="Arial" w:eastAsia="Arial" w:hAnsi="Arial"/>
          <w:sz w:val="18"/>
          <w:szCs w:val="18"/>
          <w:color w:val="222222"/>
        </w:rPr>
        <w:t xml:space="preserve">, respectively, and increases in professional services of $3.1 million and $7.5 million during the </w:t>
      </w:r>
      <w:r>
        <w:rPr>
          <w:rFonts w:ascii="Arial" w:cs="Arial" w:eastAsia="Arial" w:hAnsi="Arial"/>
          <w:sz w:val="18"/>
          <w:szCs w:val="18"/>
          <w:color w:val="000000"/>
        </w:rPr>
        <w:t>three and six</w:t>
      </w:r>
      <w:r>
        <w:rPr>
          <w:rFonts w:ascii="Arial" w:cs="Arial" w:eastAsia="Arial" w:hAnsi="Arial"/>
          <w:sz w:val="18"/>
          <w:szCs w:val="18"/>
          <w:color w:val="222222"/>
        </w:rPr>
        <w:t xml:space="preserve"> months ended </w:t>
      </w:r>
      <w:r>
        <w:rPr>
          <w:rFonts w:ascii="Arial" w:cs="Arial" w:eastAsia="Arial" w:hAnsi="Arial"/>
          <w:sz w:val="18"/>
          <w:szCs w:val="18"/>
          <w:color w:val="000000"/>
        </w:rPr>
        <w:t>June 30, 2021</w:t>
      </w:r>
      <w:r>
        <w:rPr>
          <w:rFonts w:ascii="Arial" w:cs="Arial" w:eastAsia="Arial" w:hAnsi="Arial"/>
          <w:sz w:val="18"/>
          <w:szCs w:val="18"/>
          <w:color w:val="222222"/>
        </w:rPr>
        <w:t xml:space="preserve">, respectively. Included in hosted services is an increase in revenue that is variable based on interaction and usage of approximately $12.8 million and $22.6 million during the </w:t>
      </w:r>
      <w:r>
        <w:rPr>
          <w:rFonts w:ascii="Arial" w:cs="Arial" w:eastAsia="Arial" w:hAnsi="Arial"/>
          <w:sz w:val="18"/>
          <w:szCs w:val="18"/>
          <w:color w:val="000000"/>
        </w:rPr>
        <w:t>three and six months ended June 30,</w:t>
      </w:r>
      <w:r>
        <w:rPr>
          <w:rFonts w:ascii="Arial" w:cs="Arial" w:eastAsia="Arial" w:hAnsi="Arial"/>
          <w:sz w:val="18"/>
          <w:szCs w:val="18"/>
          <w:color w:val="222222"/>
        </w:rPr>
        <w:t xml:space="preserve"> </w:t>
      </w:r>
      <w:r>
        <w:rPr>
          <w:rFonts w:ascii="Arial" w:cs="Arial" w:eastAsia="Arial" w:hAnsi="Arial"/>
          <w:sz w:val="18"/>
          <w:szCs w:val="18"/>
          <w:color w:val="000000"/>
        </w:rPr>
        <w:t>2021, respectively</w:t>
      </w:r>
      <w:r>
        <w:rPr>
          <w:rFonts w:ascii="Arial" w:cs="Arial" w:eastAsia="Arial" w:hAnsi="Arial"/>
          <w:sz w:val="18"/>
          <w:szCs w:val="18"/>
          <w:color w:val="222222"/>
        </w:rPr>
        <w:t>.</w:t>
      </w:r>
    </w:p>
    <w:p>
      <w:pPr>
        <w:spacing w:after="0" w:line="2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222222"/>
        </w:rPr>
        <w:t xml:space="preserve">The increase in Business revenue was driven in nearly equal parts by existing and new customers as LivePerson generated greater demand for its Conversational Commerce software and </w:t>
      </w:r>
      <w:r>
        <w:rPr>
          <w:rFonts w:ascii="Arial" w:cs="Arial" w:eastAsia="Arial" w:hAnsi="Arial"/>
          <w:sz w:val="18"/>
          <w:szCs w:val="18"/>
          <w:color w:val="000000"/>
        </w:rPr>
        <w:t>Gainshare</w:t>
      </w:r>
      <w:r>
        <w:rPr>
          <w:rFonts w:ascii="Arial" w:cs="Arial" w:eastAsia="Arial" w:hAnsi="Arial"/>
          <w:sz w:val="18"/>
          <w:szCs w:val="18"/>
          <w:color w:val="222222"/>
        </w:rPr>
        <w:t xml:space="preserve"> solutions. In the wake of the COVID-19 pandemic, leading brands are turning to LivePerson</w:t>
      </w:r>
      <w:r>
        <w:rPr>
          <w:rFonts w:ascii="Arial" w:cs="Arial" w:eastAsia="Arial" w:hAnsi="Arial"/>
          <w:sz w:val="18"/>
          <w:szCs w:val="18"/>
          <w:color w:val="000000"/>
        </w:rPr>
        <w:t>’</w:t>
      </w:r>
      <w:r>
        <w:rPr>
          <w:rFonts w:ascii="Arial" w:cs="Arial" w:eastAsia="Arial" w:hAnsi="Arial"/>
          <w:sz w:val="18"/>
          <w:szCs w:val="18"/>
          <w:color w:val="222222"/>
        </w:rPr>
        <w:t>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222222"/>
        </w:rPr>
        <w:t>marketing, social, conversational advertising and brick and mortar. As adoption increases, we are seeing higher revenue per customer. Our average annual revenue per enterprise and mid-market customer increased approximately 35% year-over-year to $535,000 in the trailing three months ended June 30, 2021, as compared to $395,000 for the trailing twelve months ended June 30, 2020. Similarly, we are seeing strong revenue retention rates. Revenue retention for our enterprise and mid-market customers on Conversational Cloud in the second quarters of 2021 and 2020 exceeded the high end of our target range of 105% to 115%.</w:t>
      </w:r>
    </w:p>
    <w:p>
      <w:pPr>
        <w:spacing w:after="0" w:line="2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Consumer revenue increased by 29% to $9.8 million and by 36% to $18.8 million in the three and six months ended June 30, 2021, respectively, from $7.6 million and $13.8 million in the comparable periods in 2020. This improvement was driven by an increasingly effective user value and higher demand by consumers to engage with experts and advisors through conversational messaging channels.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 Business</w:t>
      </w:r>
    </w:p>
    <w:p>
      <w:pPr>
        <w:spacing w:after="0" w:line="25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Cost of revenue - business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tcPr>
          <w:p>
            <w:pPr>
              <w:jc w:val="right"/>
              <w:ind w:right="259"/>
              <w:spacing w:after="0"/>
              <w:rPr>
                <w:sz w:val="20"/>
                <w:szCs w:val="20"/>
                <w:color w:val="auto"/>
              </w:rPr>
            </w:pPr>
            <w:r>
              <w:rPr>
                <w:rFonts w:ascii="Arial" w:cs="Arial" w:eastAsia="Arial" w:hAnsi="Arial"/>
                <w:sz w:val="14"/>
                <w:szCs w:val="14"/>
                <w:b w:val="1"/>
                <w:bCs w:val="1"/>
                <w:color w:val="auto"/>
                <w:w w:val="96"/>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6"/>
                <w:szCs w:val="16"/>
                <w:color w:val="auto"/>
              </w:rPr>
            </w:pPr>
          </w:p>
        </w:tc>
      </w:tr>
      <w:tr>
        <w:trPr>
          <w:trHeight w:val="195"/>
        </w:trPr>
        <w:tc>
          <w:tcPr>
            <w:tcW w:w="2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179"/>
        </w:trPr>
        <w:tc>
          <w:tcPr>
            <w:tcW w:w="2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700" w:type="dxa"/>
            <w:vAlign w:val="bottom"/>
          </w:tcPr>
          <w:p>
            <w:pPr>
              <w:jc w:val="right"/>
              <w:ind w:right="679"/>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ind w:left="2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1400" w:type="dxa"/>
            <w:vAlign w:val="bottom"/>
          </w:tcPr>
          <w:p>
            <w:pPr>
              <w:jc w:val="right"/>
              <w:ind w:right="703"/>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192"/>
        </w:trPr>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76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 business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38,265</w:t>
            </w:r>
          </w:p>
        </w:tc>
        <w:tc>
          <w:tcPr>
            <w:tcW w:w="170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26,085</w:t>
            </w: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47 %  $</w:t>
            </w:r>
          </w:p>
        </w:tc>
        <w:tc>
          <w:tcPr>
            <w:tcW w:w="11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69,875</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47,430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29"/>
        </w:trPr>
        <w:tc>
          <w:tcPr>
            <w:tcW w:w="250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32 %</w:t>
            </w:r>
          </w:p>
        </w:tc>
        <w:tc>
          <w:tcPr>
            <w:tcW w:w="1700" w:type="dxa"/>
            <w:vAlign w:val="bottom"/>
          </w:tcPr>
          <w:p>
            <w:pPr>
              <w:jc w:val="right"/>
              <w:ind w:right="119"/>
              <w:spacing w:after="0"/>
              <w:rPr>
                <w:sz w:val="20"/>
                <w:szCs w:val="20"/>
                <w:color w:val="auto"/>
              </w:rPr>
            </w:pPr>
            <w:r>
              <w:rPr>
                <w:rFonts w:ascii="Arial" w:cs="Arial" w:eastAsia="Arial" w:hAnsi="Arial"/>
                <w:sz w:val="18"/>
                <w:szCs w:val="18"/>
                <w:color w:val="auto"/>
              </w:rPr>
              <w:t>28 %</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31 %</w:t>
            </w:r>
          </w:p>
        </w:tc>
        <w:tc>
          <w:tcPr>
            <w:tcW w:w="280" w:type="dxa"/>
            <w:vAlign w:val="bottom"/>
          </w:tcPr>
          <w:p>
            <w:pPr>
              <w:spacing w:after="0"/>
              <w:rPr>
                <w:sz w:val="19"/>
                <w:szCs w:val="19"/>
                <w:color w:val="auto"/>
              </w:rPr>
            </w:pPr>
          </w:p>
        </w:tc>
        <w:tc>
          <w:tcPr>
            <w:tcW w:w="1400" w:type="dxa"/>
            <w:vAlign w:val="bottom"/>
          </w:tcPr>
          <w:p>
            <w:pPr>
              <w:jc w:val="right"/>
              <w:ind w:right="143"/>
              <w:spacing w:after="0"/>
              <w:rPr>
                <w:sz w:val="20"/>
                <w:szCs w:val="20"/>
                <w:color w:val="auto"/>
              </w:rPr>
            </w:pPr>
            <w:r>
              <w:rPr>
                <w:rFonts w:ascii="Arial" w:cs="Arial" w:eastAsia="Arial" w:hAnsi="Arial"/>
                <w:sz w:val="16"/>
                <w:szCs w:val="16"/>
                <w:color w:val="auto"/>
              </w:rPr>
              <w:t>28 %</w:t>
            </w:r>
          </w:p>
        </w:tc>
        <w:tc>
          <w:tcPr>
            <w:tcW w:w="1160" w:type="dxa"/>
            <w:vAlign w:val="bottom"/>
          </w:tcPr>
          <w:p>
            <w:pPr>
              <w:spacing w:after="0"/>
              <w:rPr>
                <w:sz w:val="19"/>
                <w:szCs w:val="19"/>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236</w:t>
            </w:r>
          </w:p>
        </w:tc>
        <w:tc>
          <w:tcPr>
            <w:tcW w:w="170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236</w:t>
            </w: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236</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236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bl>
    <w:p>
      <w:pPr>
        <w:spacing w:after="0" w:line="18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Cost of revenue - business increased by 47% to $38.3 million in the three months ended June 30, 2021 from $26.1 million in the comparable period in 2020. This increase in expense is primarily attributable to business services and outsourced subcontracted labor of approximately $9.8 million driven by Health and Gainshare services, which power Conversational Commerce programs on behalf of customers. We also recognized an increase in expenses for backup server facilities of approximately $1.4 million and in amortization expense of approximately $0.9 million.</w:t>
      </w:r>
    </w:p>
    <w:p>
      <w:pPr>
        <w:spacing w:after="0" w:line="198"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Cost of revenue - business increased by 47% to $69.9 million in the six months ended June 30, 2021 from $47.4 million in the comparable period in 2020. This increase in expense is primarily attributable to business services and outsourced subcontracted labor of approximately $16.4 million driven by Health, including our at-home testing solution, and Gainshare services, which power Conversational Commerce programs on behalf of customers, an increase in expenses for backup server facilities of approximately $3.8 million, and in amortization expense of approximately $1.8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 Consumer</w:t>
      </w:r>
    </w:p>
    <w:p>
      <w:pPr>
        <w:spacing w:after="0" w:line="25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Cost of revenue - consumer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00" w:type="dxa"/>
            <w:vAlign w:val="bottom"/>
            <w:gridSpan w:val="2"/>
          </w:tcPr>
          <w:p>
            <w:pPr>
              <w:jc w:val="right"/>
              <w:ind w:right="263"/>
              <w:spacing w:after="0"/>
              <w:rPr>
                <w:sz w:val="20"/>
                <w:szCs w:val="20"/>
                <w:color w:val="auto"/>
              </w:rPr>
            </w:pPr>
            <w:r>
              <w:rPr>
                <w:rFonts w:ascii="Arial" w:cs="Arial" w:eastAsia="Arial" w:hAnsi="Arial"/>
                <w:sz w:val="14"/>
                <w:szCs w:val="14"/>
                <w:b w:val="1"/>
                <w:bCs w:val="1"/>
                <w:color w:val="auto"/>
                <w:w w:val="96"/>
              </w:rPr>
              <w:t>Three Months Ended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2"/>
          </w:tcPr>
          <w:p>
            <w:pPr>
              <w:jc w:val="right"/>
              <w:ind w:right="343"/>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6"/>
                <w:szCs w:val="16"/>
                <w:color w:val="auto"/>
              </w:rPr>
            </w:pPr>
          </w:p>
        </w:tc>
      </w:tr>
      <w:tr>
        <w:trPr>
          <w:trHeight w:val="195"/>
        </w:trPr>
        <w:tc>
          <w:tcPr>
            <w:tcW w:w="2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179"/>
        </w:trPr>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5"/>
                <w:szCs w:val="15"/>
                <w:color w:val="auto"/>
              </w:rPr>
            </w:pPr>
          </w:p>
        </w:tc>
        <w:tc>
          <w:tcPr>
            <w:tcW w:w="1380" w:type="dxa"/>
            <w:vAlign w:val="bottom"/>
          </w:tcPr>
          <w:p>
            <w:pPr>
              <w:jc w:val="right"/>
              <w:ind w:right="683"/>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ind w:left="2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1380" w:type="dxa"/>
            <w:vAlign w:val="bottom"/>
          </w:tcPr>
          <w:p>
            <w:pPr>
              <w:jc w:val="right"/>
              <w:ind w:right="683"/>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192"/>
        </w:trPr>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4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2"/>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 consumer</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1,798</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1,622</w:t>
            </w: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11 %  $</w:t>
            </w:r>
          </w:p>
        </w:tc>
        <w:tc>
          <w:tcPr>
            <w:tcW w:w="11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3,707</w:t>
            </w:r>
          </w:p>
        </w:tc>
        <w:tc>
          <w:tcPr>
            <w:tcW w:w="3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3,096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2 %</w:t>
            </w:r>
          </w:p>
        </w:tc>
        <w:tc>
          <w:tcPr>
            <w:tcW w:w="320" w:type="dxa"/>
            <w:vAlign w:val="bottom"/>
          </w:tcPr>
          <w:p>
            <w:pPr>
              <w:spacing w:after="0"/>
              <w:rPr>
                <w:sz w:val="18"/>
                <w:szCs w:val="18"/>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2 %</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2 %</w:t>
            </w:r>
          </w:p>
        </w:tc>
        <w:tc>
          <w:tcPr>
            <w:tcW w:w="300" w:type="dxa"/>
            <w:vAlign w:val="bottom"/>
          </w:tcPr>
          <w:p>
            <w:pPr>
              <w:spacing w:after="0"/>
              <w:rPr>
                <w:sz w:val="18"/>
                <w:szCs w:val="18"/>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2 %</w:t>
            </w:r>
          </w:p>
        </w:tc>
        <w:tc>
          <w:tcPr>
            <w:tcW w:w="1160" w:type="dxa"/>
            <w:vAlign w:val="bottom"/>
          </w:tcPr>
          <w:p>
            <w:pPr>
              <w:spacing w:after="0"/>
              <w:rPr>
                <w:sz w:val="18"/>
                <w:szCs w:val="18"/>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20</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20</w:t>
            </w: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bl>
    <w:p>
      <w:pPr>
        <w:spacing w:after="0" w:line="17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Cost of revenue - consumer increased by 11% to $1.8 million in the three months ended June 30, 2021 from $1.6 million in the comparable period in 2020. This increase in expense is primarily related to an increase in salary and employee related expenses and in credit card processing fees.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8" w:name="page49"/>
    <w:bookmarkEnd w:id="48"/>
    <w:p>
      <w:pPr>
        <w:ind w:firstLine="432"/>
        <w:spacing w:after="0" w:line="308" w:lineRule="auto"/>
        <w:rPr>
          <w:sz w:val="20"/>
          <w:szCs w:val="20"/>
          <w:color w:val="auto"/>
        </w:rPr>
      </w:pPr>
      <w:r>
        <w:rPr>
          <w:rFonts w:ascii="Arial" w:cs="Arial" w:eastAsia="Arial" w:hAnsi="Arial"/>
          <w:sz w:val="17"/>
          <w:szCs w:val="17"/>
          <w:color w:val="auto"/>
        </w:rPr>
        <w:t>Cost of revenue - consumer increased by 20% to $3.7 million in the six months ended June 30, 2021 from $3.1 million in the comparable period in 2020. This increase in expense is also primarily related to an increase in salary and employee related expenses and in credit card processing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 Business</w:t>
      </w:r>
    </w:p>
    <w:p>
      <w:pPr>
        <w:spacing w:after="0" w:line="25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Sales and marketing - business expenses consist of compensation and related expenses for sales and marketing personnel, as well as advertising, marketing events, public relations, trade show exhibit expenses and allocated occupancy costs and related overhead.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2"/>
          </w:tcPr>
          <w:p>
            <w:pPr>
              <w:jc w:val="right"/>
              <w:ind w:right="263"/>
              <w:spacing w:after="0"/>
              <w:rPr>
                <w:sz w:val="20"/>
                <w:szCs w:val="20"/>
                <w:color w:val="auto"/>
              </w:rPr>
            </w:pPr>
            <w:r>
              <w:rPr>
                <w:rFonts w:ascii="Arial" w:cs="Arial" w:eastAsia="Arial" w:hAnsi="Arial"/>
                <w:sz w:val="14"/>
                <w:szCs w:val="14"/>
                <w:b w:val="1"/>
                <w:bCs w:val="1"/>
                <w:color w:val="auto"/>
                <w:w w:val="96"/>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6"/>
                <w:szCs w:val="16"/>
                <w:color w:val="auto"/>
              </w:rPr>
            </w:pPr>
          </w:p>
        </w:tc>
      </w:tr>
      <w:tr>
        <w:trPr>
          <w:trHeight w:val="195"/>
        </w:trPr>
        <w:tc>
          <w:tcPr>
            <w:tcW w:w="2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179"/>
        </w:trPr>
        <w:tc>
          <w:tcPr>
            <w:tcW w:w="2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5"/>
                <w:szCs w:val="15"/>
                <w:color w:val="auto"/>
              </w:rPr>
            </w:pPr>
          </w:p>
        </w:tc>
        <w:tc>
          <w:tcPr>
            <w:tcW w:w="1380" w:type="dxa"/>
            <w:vAlign w:val="bottom"/>
          </w:tcPr>
          <w:p>
            <w:pPr>
              <w:jc w:val="right"/>
              <w:ind w:right="683"/>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1400" w:type="dxa"/>
            <w:vAlign w:val="bottom"/>
          </w:tcPr>
          <w:p>
            <w:pPr>
              <w:jc w:val="right"/>
              <w:ind w:right="703"/>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192"/>
        </w:trPr>
        <w:tc>
          <w:tcPr>
            <w:tcW w:w="2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4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 - business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31,915</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28,926</w:t>
            </w:r>
          </w:p>
        </w:tc>
        <w:tc>
          <w:tcPr>
            <w:tcW w:w="160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10 %  $</w:t>
            </w:r>
          </w:p>
        </w:tc>
        <w:tc>
          <w:tcPr>
            <w:tcW w:w="11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62,118</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66,395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250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27 %</w:t>
            </w:r>
          </w:p>
        </w:tc>
        <w:tc>
          <w:tcPr>
            <w:tcW w:w="320" w:type="dxa"/>
            <w:vAlign w:val="bottom"/>
          </w:tcPr>
          <w:p>
            <w:pPr>
              <w:spacing w:after="0"/>
              <w:rPr>
                <w:sz w:val="19"/>
                <w:szCs w:val="19"/>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32 %</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27 %</w:t>
            </w:r>
          </w:p>
        </w:tc>
        <w:tc>
          <w:tcPr>
            <w:tcW w:w="280" w:type="dxa"/>
            <w:vAlign w:val="bottom"/>
          </w:tcPr>
          <w:p>
            <w:pPr>
              <w:spacing w:after="0"/>
              <w:rPr>
                <w:sz w:val="19"/>
                <w:szCs w:val="19"/>
                <w:color w:val="auto"/>
              </w:rPr>
            </w:pPr>
          </w:p>
        </w:tc>
        <w:tc>
          <w:tcPr>
            <w:tcW w:w="1400" w:type="dxa"/>
            <w:vAlign w:val="bottom"/>
          </w:tcPr>
          <w:p>
            <w:pPr>
              <w:jc w:val="right"/>
              <w:ind w:right="143"/>
              <w:spacing w:after="0"/>
              <w:rPr>
                <w:sz w:val="20"/>
                <w:szCs w:val="20"/>
                <w:color w:val="auto"/>
              </w:rPr>
            </w:pPr>
            <w:r>
              <w:rPr>
                <w:rFonts w:ascii="Arial" w:cs="Arial" w:eastAsia="Arial" w:hAnsi="Arial"/>
                <w:sz w:val="16"/>
                <w:szCs w:val="16"/>
                <w:color w:val="auto"/>
              </w:rPr>
              <w:t>39 %</w:t>
            </w:r>
          </w:p>
        </w:tc>
        <w:tc>
          <w:tcPr>
            <w:tcW w:w="1160" w:type="dxa"/>
            <w:vAlign w:val="bottom"/>
          </w:tcPr>
          <w:p>
            <w:pPr>
              <w:spacing w:after="0"/>
              <w:rPr>
                <w:sz w:val="19"/>
                <w:szCs w:val="19"/>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327</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348</w:t>
            </w:r>
          </w:p>
        </w:tc>
        <w:tc>
          <w:tcPr>
            <w:tcW w:w="11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327</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348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bl>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Sales and marketing - business expenses increased by 10% to $31.9 million in the three months ended June 30, 2021 from $28.9 million in the comparable period in 2020. This increase was primarily attributable to an increase in salary and related employee expenses of approximately $2.2 million, an increase in marketing expense of approximately $1.5 million, partially offset by a decrease in business services of approximately $0.3 million and a decrease in backup server facilities of approximately $0.4 million.</w:t>
      </w:r>
    </w:p>
    <w:p>
      <w:pPr>
        <w:spacing w:after="0" w:line="2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Sales and marketing - business expenses decreased by 6% to $62.1 million in the six months ended June 30, 2021 from $66.4 million in the comparable period in 2020. This decrease was primarily attributable to a decrease in business services of approximately $2.4 million, a decrease in salary and related employee expenses of approximately $1.9 million, and a decrease in backup server facilities of approximately $1.2 million partially offset by an increase in marketing expense of approximately $1.2 million.</w:t>
      </w:r>
    </w:p>
    <w:p>
      <w:pPr>
        <w:spacing w:after="0" w:line="2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been able to adjust our marketing and hiring efforts to account for the impact of the COVID-19 pandemic. Additionally, we have adapted our marketing strategy to include targeted digital experiences that emphasize the unique positioning of our messaging and AI offerings to help brands succeed in this new environment. Our marketing message has shifted to include business continuity and virtualization of the contact center in addition to business improvement.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 Consumer</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Sales and marketing - consumer expenses consist of compensation and related expenses for marketing personnel, as well as online promotion, public relations and allocated occupancy costs and related overhead.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2"/>
          </w:tcPr>
          <w:p>
            <w:pPr>
              <w:jc w:val="right"/>
              <w:ind w:right="243"/>
              <w:spacing w:after="0"/>
              <w:rPr>
                <w:sz w:val="20"/>
                <w:szCs w:val="20"/>
                <w:color w:val="auto"/>
              </w:rPr>
            </w:pPr>
            <w:r>
              <w:rPr>
                <w:rFonts w:ascii="Arial" w:cs="Arial" w:eastAsia="Arial" w:hAnsi="Arial"/>
                <w:sz w:val="14"/>
                <w:szCs w:val="14"/>
                <w:b w:val="1"/>
                <w:bCs w:val="1"/>
                <w:color w:val="auto"/>
                <w:w w:val="96"/>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6"/>
                <w:szCs w:val="16"/>
                <w:color w:val="auto"/>
              </w:rPr>
            </w:pPr>
          </w:p>
        </w:tc>
      </w:tr>
      <w:tr>
        <w:trPr>
          <w:trHeight w:val="195"/>
        </w:trPr>
        <w:tc>
          <w:tcPr>
            <w:tcW w:w="2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179"/>
        </w:trPr>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1380" w:type="dxa"/>
            <w:vAlign w:val="bottom"/>
          </w:tcPr>
          <w:p>
            <w:pPr>
              <w:jc w:val="right"/>
              <w:ind w:right="683"/>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1400" w:type="dxa"/>
            <w:vAlign w:val="bottom"/>
          </w:tcPr>
          <w:p>
            <w:pPr>
              <w:jc w:val="right"/>
              <w:ind w:right="703"/>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192"/>
        </w:trPr>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6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2"/>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 - consumer</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6,707</w:t>
            </w:r>
          </w:p>
        </w:tc>
        <w:tc>
          <w:tcPr>
            <w:tcW w:w="3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5,692</w:t>
            </w: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18 %  $</w:t>
            </w:r>
          </w:p>
        </w:tc>
        <w:tc>
          <w:tcPr>
            <w:tcW w:w="11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13,457</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10,903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6 %</w:t>
            </w:r>
          </w:p>
        </w:tc>
        <w:tc>
          <w:tcPr>
            <w:tcW w:w="300" w:type="dxa"/>
            <w:vAlign w:val="bottom"/>
          </w:tcPr>
          <w:p>
            <w:pPr>
              <w:spacing w:after="0"/>
              <w:rPr>
                <w:sz w:val="18"/>
                <w:szCs w:val="18"/>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6 %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6 %</w:t>
            </w:r>
          </w:p>
        </w:tc>
        <w:tc>
          <w:tcPr>
            <w:tcW w:w="280" w:type="dxa"/>
            <w:vAlign w:val="bottom"/>
          </w:tcPr>
          <w:p>
            <w:pPr>
              <w:spacing w:after="0"/>
              <w:rPr>
                <w:sz w:val="18"/>
                <w:szCs w:val="18"/>
                <w:color w:val="auto"/>
              </w:rPr>
            </w:pPr>
          </w:p>
        </w:tc>
        <w:tc>
          <w:tcPr>
            <w:tcW w:w="1400" w:type="dxa"/>
            <w:vAlign w:val="bottom"/>
          </w:tcPr>
          <w:p>
            <w:pPr>
              <w:jc w:val="right"/>
              <w:ind w:right="143"/>
              <w:spacing w:after="0"/>
              <w:rPr>
                <w:sz w:val="20"/>
                <w:szCs w:val="20"/>
                <w:color w:val="auto"/>
              </w:rPr>
            </w:pPr>
            <w:r>
              <w:rPr>
                <w:rFonts w:ascii="Arial" w:cs="Arial" w:eastAsia="Arial" w:hAnsi="Arial"/>
                <w:sz w:val="16"/>
                <w:szCs w:val="16"/>
                <w:color w:val="auto"/>
              </w:rPr>
              <w:t>6 %</w:t>
            </w:r>
          </w:p>
        </w:tc>
        <w:tc>
          <w:tcPr>
            <w:tcW w:w="1160" w:type="dxa"/>
            <w:vAlign w:val="bottom"/>
          </w:tcPr>
          <w:p>
            <w:pPr>
              <w:spacing w:after="0"/>
              <w:rPr>
                <w:sz w:val="18"/>
                <w:szCs w:val="18"/>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16</w:t>
            </w: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16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bl>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Sales and marketing - consumer expenses increased by 18% to $6.7 million in the three months ended June 30, 2021 from $5.7 million in the comparable period in 2020. This increase is primarily attributable to an increase in marketing expense of approximately $1.0 million.</w:t>
      </w:r>
    </w:p>
    <w:p>
      <w:pPr>
        <w:spacing w:after="0" w:line="19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Sales and marketing - consumer expenses increased by 23% to $13.5 million in the six months ended June 30, 2021 from $10.9 million in the comparable period in 2020. This increase is primarily attributable to an increase in marketing expense of approximately $2.0 million and an increase in business services of approximately $0.4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2"/>
          </w:tcPr>
          <w:p>
            <w:pPr>
              <w:jc w:val="right"/>
              <w:ind w:right="243"/>
              <w:spacing w:after="0"/>
              <w:rPr>
                <w:sz w:val="20"/>
                <w:szCs w:val="20"/>
                <w:color w:val="auto"/>
              </w:rPr>
            </w:pPr>
            <w:r>
              <w:rPr>
                <w:rFonts w:ascii="Arial" w:cs="Arial" w:eastAsia="Arial" w:hAnsi="Arial"/>
                <w:sz w:val="14"/>
                <w:szCs w:val="14"/>
                <w:b w:val="1"/>
                <w:bCs w:val="1"/>
                <w:color w:val="auto"/>
                <w:w w:val="96"/>
              </w:rPr>
              <w:t>Three Months Ended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2"/>
          </w:tcPr>
          <w:p>
            <w:pPr>
              <w:jc w:val="right"/>
              <w:ind w:right="343"/>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6"/>
                <w:szCs w:val="16"/>
                <w:color w:val="auto"/>
              </w:rPr>
            </w:pPr>
          </w:p>
        </w:tc>
      </w:tr>
      <w:tr>
        <w:trPr>
          <w:trHeight w:val="195"/>
        </w:trPr>
        <w:tc>
          <w:tcPr>
            <w:tcW w:w="2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179"/>
        </w:trPr>
        <w:tc>
          <w:tcPr>
            <w:tcW w:w="2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5"/>
                <w:szCs w:val="15"/>
                <w:color w:val="auto"/>
              </w:rPr>
            </w:pPr>
          </w:p>
        </w:tc>
        <w:tc>
          <w:tcPr>
            <w:tcW w:w="1360" w:type="dxa"/>
            <w:vAlign w:val="bottom"/>
          </w:tcPr>
          <w:p>
            <w:pPr>
              <w:jc w:val="right"/>
              <w:ind w:right="663"/>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20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1380" w:type="dxa"/>
            <w:vAlign w:val="bottom"/>
          </w:tcPr>
          <w:p>
            <w:pPr>
              <w:jc w:val="right"/>
              <w:ind w:right="683"/>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192"/>
        </w:trPr>
        <w:tc>
          <w:tcPr>
            <w:tcW w:w="2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74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16,105</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16,353</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  $</w:t>
            </w:r>
          </w:p>
        </w:tc>
        <w:tc>
          <w:tcPr>
            <w:tcW w:w="11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30,591</w:t>
            </w:r>
          </w:p>
        </w:tc>
        <w:tc>
          <w:tcPr>
            <w:tcW w:w="3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32,822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13 %</w:t>
            </w:r>
          </w:p>
        </w:tc>
        <w:tc>
          <w:tcPr>
            <w:tcW w:w="320" w:type="dxa"/>
            <w:vAlign w:val="bottom"/>
          </w:tcPr>
          <w:p>
            <w:pPr>
              <w:spacing w:after="0"/>
              <w:rPr>
                <w:sz w:val="18"/>
                <w:szCs w:val="18"/>
                <w:color w:val="auto"/>
              </w:rPr>
            </w:pPr>
          </w:p>
        </w:tc>
        <w:tc>
          <w:tcPr>
            <w:tcW w:w="1360" w:type="dxa"/>
            <w:vAlign w:val="bottom"/>
          </w:tcPr>
          <w:p>
            <w:pPr>
              <w:jc w:val="right"/>
              <w:ind w:right="123"/>
              <w:spacing w:after="0"/>
              <w:rPr>
                <w:sz w:val="20"/>
                <w:szCs w:val="20"/>
                <w:color w:val="auto"/>
              </w:rPr>
            </w:pPr>
            <w:r>
              <w:rPr>
                <w:rFonts w:ascii="Arial" w:cs="Arial" w:eastAsia="Arial" w:hAnsi="Arial"/>
                <w:sz w:val="16"/>
                <w:szCs w:val="16"/>
                <w:color w:val="auto"/>
              </w:rPr>
              <w:t>18 %</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13 %</w:t>
            </w:r>
          </w:p>
        </w:tc>
        <w:tc>
          <w:tcPr>
            <w:tcW w:w="300" w:type="dxa"/>
            <w:vAlign w:val="bottom"/>
          </w:tcPr>
          <w:p>
            <w:pPr>
              <w:spacing w:after="0"/>
              <w:rPr>
                <w:sz w:val="18"/>
                <w:szCs w:val="18"/>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19 %</w:t>
            </w:r>
          </w:p>
        </w:tc>
        <w:tc>
          <w:tcPr>
            <w:tcW w:w="1160" w:type="dxa"/>
            <w:vAlign w:val="bottom"/>
          </w:tcPr>
          <w:p>
            <w:pPr>
              <w:spacing w:after="0"/>
              <w:rPr>
                <w:sz w:val="18"/>
                <w:szCs w:val="18"/>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112</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139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112</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139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bl>
    <w:p>
      <w:pPr>
        <w:spacing w:after="0" w:line="17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General and administrative expenses decreased by 2% to $16.1 million in the three months ended June 30, 2021 from $16.4 million in the comparable period in 2020. This decrease is primarily attributable to a decrease in salary and related employee expenses of $1.9 million and in hosting services of $0.7 million partially offset by an increase in business services of $2.2 million.</w:t>
      </w:r>
    </w:p>
    <w:p>
      <w:pPr>
        <w:spacing w:after="0" w:line="2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General and administrative expenses decreased by 7% to $30.6 million in the six months ended June 30, 2021 from $32.8 million in the comparable period in 2020. This decrease is primarily attributable to a decrease in salary and related employee expenses of $3.6 million and in hosting services of $3.1 million partially offset by an increase in business services of $3.9 million.</w:t>
      </w:r>
    </w:p>
    <w:p>
      <w:pPr>
        <w:spacing w:after="0" w:line="2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General and administrative expense as a percentage of revenue has decreased primarily as a result our continued deferral of hiring, outside of core growth areas, as our internal automation initiatives have enhanced employee productivity. Additionally, the reduction in rent expense after officially transitioning to a “work from home” model in the three and six month period ended June 30, 2021, also contributed to the decrease.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00" w:type="dxa"/>
            <w:vAlign w:val="bottom"/>
          </w:tcPr>
          <w:p>
            <w:pPr>
              <w:jc w:val="right"/>
              <w:ind w:right="264"/>
              <w:spacing w:after="0"/>
              <w:rPr>
                <w:sz w:val="20"/>
                <w:szCs w:val="20"/>
                <w:color w:val="auto"/>
              </w:rPr>
            </w:pPr>
            <w:r>
              <w:rPr>
                <w:rFonts w:ascii="Arial" w:cs="Arial" w:eastAsia="Arial" w:hAnsi="Arial"/>
                <w:sz w:val="14"/>
                <w:szCs w:val="14"/>
                <w:b w:val="1"/>
                <w:bCs w:val="1"/>
                <w:color w:val="auto"/>
                <w:w w:val="96"/>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6"/>
                <w:szCs w:val="16"/>
                <w:color w:val="auto"/>
              </w:rPr>
            </w:pPr>
          </w:p>
        </w:tc>
      </w:tr>
      <w:tr>
        <w:trPr>
          <w:trHeight w:val="195"/>
        </w:trPr>
        <w:tc>
          <w:tcPr>
            <w:tcW w:w="25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179"/>
        </w:trPr>
        <w:tc>
          <w:tcPr>
            <w:tcW w:w="250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700" w:type="dxa"/>
            <w:vAlign w:val="bottom"/>
          </w:tcPr>
          <w:p>
            <w:pPr>
              <w:jc w:val="right"/>
              <w:ind w:right="684"/>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1400" w:type="dxa"/>
            <w:vAlign w:val="bottom"/>
          </w:tcPr>
          <w:p>
            <w:pPr>
              <w:jc w:val="right"/>
              <w:ind w:right="703"/>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192"/>
        </w:trPr>
        <w:tc>
          <w:tcPr>
            <w:tcW w:w="2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76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development</w:t>
            </w:r>
          </w:p>
        </w:tc>
        <w:tc>
          <w:tcPr>
            <w:tcW w:w="14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37,526</w:t>
            </w:r>
          </w:p>
        </w:tc>
        <w:tc>
          <w:tcPr>
            <w:tcW w:w="170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26,967</w:t>
            </w: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39 %  $</w:t>
            </w:r>
          </w:p>
        </w:tc>
        <w:tc>
          <w:tcPr>
            <w:tcW w:w="11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70,981</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52,681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440" w:type="dxa"/>
            <w:vAlign w:val="bottom"/>
          </w:tcPr>
          <w:p>
            <w:pPr>
              <w:jc w:val="right"/>
              <w:spacing w:after="0"/>
              <w:rPr>
                <w:sz w:val="20"/>
                <w:szCs w:val="20"/>
                <w:color w:val="auto"/>
              </w:rPr>
            </w:pPr>
            <w:r>
              <w:rPr>
                <w:rFonts w:ascii="Arial" w:cs="Arial" w:eastAsia="Arial" w:hAnsi="Arial"/>
                <w:sz w:val="16"/>
                <w:szCs w:val="16"/>
                <w:color w:val="auto"/>
              </w:rPr>
              <w:t>31 %</w:t>
            </w:r>
          </w:p>
        </w:tc>
        <w:tc>
          <w:tcPr>
            <w:tcW w:w="1700" w:type="dxa"/>
            <w:vAlign w:val="bottom"/>
          </w:tcPr>
          <w:p>
            <w:pPr>
              <w:jc w:val="right"/>
              <w:ind w:right="144"/>
              <w:spacing w:after="0"/>
              <w:rPr>
                <w:sz w:val="20"/>
                <w:szCs w:val="20"/>
                <w:color w:val="auto"/>
              </w:rPr>
            </w:pPr>
            <w:r>
              <w:rPr>
                <w:rFonts w:ascii="Arial" w:cs="Arial" w:eastAsia="Arial" w:hAnsi="Arial"/>
                <w:sz w:val="16"/>
                <w:szCs w:val="16"/>
                <w:color w:val="auto"/>
              </w:rPr>
              <w:t>29 %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31 %</w:t>
            </w:r>
          </w:p>
        </w:tc>
        <w:tc>
          <w:tcPr>
            <w:tcW w:w="280" w:type="dxa"/>
            <w:vAlign w:val="bottom"/>
          </w:tcPr>
          <w:p>
            <w:pPr>
              <w:spacing w:after="0"/>
              <w:rPr>
                <w:sz w:val="18"/>
                <w:szCs w:val="18"/>
                <w:color w:val="auto"/>
              </w:rPr>
            </w:pPr>
          </w:p>
        </w:tc>
        <w:tc>
          <w:tcPr>
            <w:tcW w:w="1400" w:type="dxa"/>
            <w:vAlign w:val="bottom"/>
          </w:tcPr>
          <w:p>
            <w:pPr>
              <w:jc w:val="right"/>
              <w:ind w:right="143"/>
              <w:spacing w:after="0"/>
              <w:rPr>
                <w:sz w:val="20"/>
                <w:szCs w:val="20"/>
                <w:color w:val="auto"/>
              </w:rPr>
            </w:pPr>
            <w:r>
              <w:rPr>
                <w:rFonts w:ascii="Arial" w:cs="Arial" w:eastAsia="Arial" w:hAnsi="Arial"/>
                <w:sz w:val="16"/>
                <w:szCs w:val="16"/>
                <w:color w:val="auto"/>
              </w:rPr>
              <w:t>31 %</w:t>
            </w:r>
          </w:p>
        </w:tc>
        <w:tc>
          <w:tcPr>
            <w:tcW w:w="1160" w:type="dxa"/>
            <w:vAlign w:val="bottom"/>
          </w:tcPr>
          <w:p>
            <w:pPr>
              <w:spacing w:after="0"/>
              <w:rPr>
                <w:sz w:val="18"/>
                <w:szCs w:val="18"/>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14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524</w:t>
            </w:r>
          </w:p>
        </w:tc>
        <w:tc>
          <w:tcPr>
            <w:tcW w:w="170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459</w:t>
            </w:r>
          </w:p>
        </w:tc>
        <w:tc>
          <w:tcPr>
            <w:tcW w:w="11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3"/>
              </w:rPr>
              <w:t>14 %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524</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459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bl>
    <w:p>
      <w:pPr>
        <w:spacing w:after="0" w:line="18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Product development costs increased by 39% to $37.5 million in the three months ended June 30, 2021 from $27.0 million in the comparable period in 2020. This increase is primarily related to an increase in salaries and employee related expenses of approximately $7.6 million, in depreciation expense of approximately $1.2 million, in software of approximately $1.0 million, and in business services and outsourcing subcontracted labor of approximately $0.9 million. We made investments in public cloud migration, and in enhancing and expanding new features of the Conversational Cloud. Also, we invested in hiring more data scientists and machine learning engineers to focus on Conversational AI.</w:t>
      </w:r>
    </w:p>
    <w:p>
      <w:pPr>
        <w:spacing w:after="0" w:line="20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Product development costs increased by 35% to $71.0 million in the six months ended June 30, 2021 from $52.7 million in the comparable period in 2020. This increase is primarily related to an increase in salaries and employee related expenses of approximately $13.2 million, in business services and outsourcing subcontracted labor of approximately $2.7 million, and in depreciation expense of approximately $2.2 million.</w:t>
      </w:r>
    </w:p>
    <w:p>
      <w:pPr>
        <w:spacing w:after="0" w:line="19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We continue to invest in new product development efforts to expand the capability of Conversational Cloud. Upon completion, the project costs will be depreciated over five years. In the three and six months ended June 30, 2021, $9.2 million and $17.4 million was capitalized, compared to $9.4 million and $17.6 million in the comparable periods in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Restructuring Costs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Restructuring costs consist of reprioritizing and reallocating resources to focus on areas believed to show high growth potential.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jc w:val="center"/>
              <w:ind w:right="184"/>
              <w:spacing w:after="0"/>
              <w:rPr>
                <w:sz w:val="20"/>
                <w:szCs w:val="20"/>
                <w:color w:val="auto"/>
              </w:rPr>
            </w:pPr>
            <w:r>
              <w:rPr>
                <w:rFonts w:ascii="Arial" w:cs="Arial" w:eastAsia="Arial" w:hAnsi="Arial"/>
                <w:sz w:val="14"/>
                <w:szCs w:val="14"/>
                <w:b w:val="1"/>
                <w:bCs w:val="1"/>
                <w:color w:val="auto"/>
                <w:w w:val="93"/>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gridSpan w:val="2"/>
          </w:tcPr>
          <w:p>
            <w:pPr>
              <w:jc w:val="right"/>
              <w:ind w:right="364"/>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6"/>
                <w:szCs w:val="16"/>
                <w:color w:val="auto"/>
              </w:rPr>
            </w:pPr>
          </w:p>
        </w:tc>
      </w:tr>
      <w:tr>
        <w:trPr>
          <w:trHeight w:val="195"/>
        </w:trPr>
        <w:tc>
          <w:tcPr>
            <w:tcW w:w="25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9"/>
              </w:rPr>
              <w:t>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179"/>
        </w:trPr>
        <w:tc>
          <w:tcPr>
            <w:tcW w:w="2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680" w:type="dxa"/>
            <w:vAlign w:val="bottom"/>
          </w:tcPr>
          <w:p>
            <w:pPr>
              <w:jc w:val="right"/>
              <w:ind w:right="684"/>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1400" w:type="dxa"/>
            <w:vAlign w:val="bottom"/>
          </w:tcPr>
          <w:p>
            <w:pPr>
              <w:jc w:val="right"/>
              <w:ind w:right="704"/>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224"/>
              <w:spacing w:after="0"/>
              <w:rPr>
                <w:sz w:val="20"/>
                <w:szCs w:val="20"/>
                <w:color w:val="auto"/>
              </w:rPr>
            </w:pPr>
            <w:r>
              <w:rPr>
                <w:rFonts w:ascii="Arial" w:cs="Arial" w:eastAsia="Arial" w:hAnsi="Arial"/>
                <w:sz w:val="14"/>
                <w:szCs w:val="14"/>
                <w:b w:val="1"/>
                <w:bCs w:val="1"/>
                <w:color w:val="auto"/>
              </w:rPr>
              <w:t>% Change</w:t>
            </w:r>
          </w:p>
        </w:tc>
      </w:tr>
      <w:tr>
        <w:trPr>
          <w:trHeight w:val="192"/>
        </w:trPr>
        <w:tc>
          <w:tcPr>
            <w:tcW w:w="2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60" w:type="dxa"/>
            <w:vAlign w:val="bottom"/>
            <w:gridSpan w:val="4"/>
          </w:tcPr>
          <w:p>
            <w:pPr>
              <w:jc w:val="right"/>
              <w:ind w:right="742"/>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493</w:t>
            </w:r>
          </w:p>
        </w:tc>
        <w:tc>
          <w:tcPr>
            <w:tcW w:w="16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 %  $</w:t>
            </w:r>
          </w:p>
        </w:tc>
        <w:tc>
          <w:tcPr>
            <w:tcW w:w="11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3,225</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3,193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520" w:type="dxa"/>
            <w:vAlign w:val="bottom"/>
          </w:tcPr>
          <w:p>
            <w:pPr>
              <w:jc w:val="right"/>
              <w:spacing w:after="0"/>
              <w:rPr>
                <w:sz w:val="20"/>
                <w:szCs w:val="20"/>
                <w:color w:val="auto"/>
              </w:rPr>
            </w:pPr>
            <w:r>
              <w:rPr>
                <w:rFonts w:ascii="Arial" w:cs="Arial" w:eastAsia="Arial" w:hAnsi="Arial"/>
                <w:sz w:val="16"/>
                <w:szCs w:val="16"/>
                <w:color w:val="auto"/>
              </w:rPr>
              <w:t>— %</w:t>
            </w:r>
          </w:p>
        </w:tc>
        <w:tc>
          <w:tcPr>
            <w:tcW w:w="1680" w:type="dxa"/>
            <w:vAlign w:val="bottom"/>
          </w:tcPr>
          <w:p>
            <w:pPr>
              <w:ind w:left="1120"/>
              <w:spacing w:after="0"/>
              <w:rPr>
                <w:sz w:val="20"/>
                <w:szCs w:val="20"/>
                <w:color w:val="auto"/>
              </w:rPr>
            </w:pPr>
            <w:r>
              <w:rPr>
                <w:rFonts w:ascii="Arial" w:cs="Arial" w:eastAsia="Arial" w:hAnsi="Arial"/>
                <w:sz w:val="16"/>
                <w:szCs w:val="16"/>
                <w:color w:val="auto"/>
              </w:rPr>
              <w:t>—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1 %</w:t>
            </w:r>
          </w:p>
        </w:tc>
        <w:tc>
          <w:tcPr>
            <w:tcW w:w="280" w:type="dxa"/>
            <w:vAlign w:val="bottom"/>
          </w:tcPr>
          <w:p>
            <w:pPr>
              <w:spacing w:after="0"/>
              <w:rPr>
                <w:sz w:val="18"/>
                <w:szCs w:val="18"/>
                <w:color w:val="auto"/>
              </w:rPr>
            </w:pPr>
          </w:p>
        </w:tc>
        <w:tc>
          <w:tcPr>
            <w:tcW w:w="1400" w:type="dxa"/>
            <w:vAlign w:val="bottom"/>
          </w:tcPr>
          <w:p>
            <w:pPr>
              <w:jc w:val="right"/>
              <w:ind w:right="144"/>
              <w:spacing w:after="0"/>
              <w:rPr>
                <w:sz w:val="20"/>
                <w:szCs w:val="20"/>
                <w:color w:val="auto"/>
              </w:rPr>
            </w:pPr>
            <w:r>
              <w:rPr>
                <w:rFonts w:ascii="Arial" w:cs="Arial" w:eastAsia="Arial" w:hAnsi="Arial"/>
                <w:sz w:val="16"/>
                <w:szCs w:val="16"/>
                <w:color w:val="auto"/>
              </w:rPr>
              <w:t>2 %</w:t>
            </w:r>
          </w:p>
        </w:tc>
        <w:tc>
          <w:tcPr>
            <w:tcW w:w="1160" w:type="dxa"/>
            <w:vAlign w:val="bottom"/>
          </w:tcPr>
          <w:p>
            <w:pPr>
              <w:spacing w:after="0"/>
              <w:rPr>
                <w:sz w:val="18"/>
                <w:szCs w:val="18"/>
                <w:color w:val="auto"/>
              </w:rPr>
            </w:pPr>
          </w:p>
        </w:tc>
      </w:tr>
    </w:tbl>
    <w:p>
      <w:pPr>
        <w:spacing w:after="0" w:line="18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restructuring costs for the three and six months ended June 30, 2021 were primarily a result of our partnership with Infosys to transform our technology infrastructure on the public cloud, to build integrated solutions and a global practice around our Conversational Cloud, and to redefine how brands communicate. The remainder of the increase in restructuring costs related to lease abandonment.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2"/>
          </w:tcPr>
          <w:p>
            <w:pPr>
              <w:jc w:val="center"/>
              <w:ind w:right="204"/>
              <w:spacing w:after="0"/>
              <w:rPr>
                <w:sz w:val="20"/>
                <w:szCs w:val="20"/>
                <w:color w:val="auto"/>
              </w:rPr>
            </w:pPr>
            <w:r>
              <w:rPr>
                <w:rFonts w:ascii="Arial" w:cs="Arial" w:eastAsia="Arial" w:hAnsi="Arial"/>
                <w:sz w:val="14"/>
                <w:szCs w:val="14"/>
                <w:b w:val="1"/>
                <w:bCs w:val="1"/>
                <w:color w:val="auto"/>
                <w:w w:val="95"/>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2"/>
          </w:tcPr>
          <w:p>
            <w:pPr>
              <w:jc w:val="center"/>
              <w:ind w:right="224"/>
              <w:spacing w:after="0"/>
              <w:rPr>
                <w:sz w:val="20"/>
                <w:szCs w:val="20"/>
                <w:color w:val="auto"/>
              </w:rPr>
            </w:pPr>
            <w:r>
              <w:rPr>
                <w:rFonts w:ascii="Arial" w:cs="Arial" w:eastAsia="Arial" w:hAnsi="Arial"/>
                <w:sz w:val="14"/>
                <w:szCs w:val="14"/>
                <w:b w:val="1"/>
                <w:bCs w:val="1"/>
                <w:color w:val="auto"/>
                <w:w w:val="93"/>
              </w:rPr>
              <w:t>Six Months Ended</w:t>
            </w:r>
          </w:p>
        </w:tc>
        <w:tc>
          <w:tcPr>
            <w:tcW w:w="1160" w:type="dxa"/>
            <w:vAlign w:val="bottom"/>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04"/>
              <w:spacing w:after="0"/>
              <w:rPr>
                <w:sz w:val="20"/>
                <w:szCs w:val="20"/>
                <w:color w:val="auto"/>
              </w:rPr>
            </w:pPr>
            <w:r>
              <w:rPr>
                <w:rFonts w:ascii="Arial" w:cs="Arial" w:eastAsia="Arial" w:hAnsi="Arial"/>
                <w:sz w:val="14"/>
                <w:szCs w:val="14"/>
                <w:b w:val="1"/>
                <w:bCs w:val="1"/>
                <w:color w:val="auto"/>
                <w:w w:val="92"/>
              </w:rPr>
              <w:t>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24"/>
              <w:spacing w:after="0"/>
              <w:rPr>
                <w:sz w:val="20"/>
                <w:szCs w:val="20"/>
                <w:color w:val="auto"/>
              </w:rPr>
            </w:pPr>
            <w:r>
              <w:rPr>
                <w:rFonts w:ascii="Arial" w:cs="Arial" w:eastAsia="Arial" w:hAnsi="Arial"/>
                <w:sz w:val="14"/>
                <w:szCs w:val="14"/>
                <w:b w:val="1"/>
                <w:bCs w:val="1"/>
                <w:color w:val="auto"/>
                <w:w w:val="89"/>
              </w:rPr>
              <w:t>June 30,</w:t>
            </w:r>
          </w:p>
        </w:tc>
        <w:tc>
          <w:tcPr>
            <w:tcW w:w="1160" w:type="dxa"/>
            <w:vAlign w:val="bottom"/>
            <w:tcBorders>
              <w:bottom w:val="single" w:sz="8" w:color="auto"/>
            </w:tcBorders>
          </w:tcPr>
          <w:p>
            <w:pPr>
              <w:spacing w:after="0"/>
              <w:rPr>
                <w:sz w:val="16"/>
                <w:szCs w:val="16"/>
                <w:color w:val="auto"/>
              </w:rPr>
            </w:pPr>
          </w:p>
        </w:tc>
      </w:tr>
      <w:tr>
        <w:trPr>
          <w:trHeight w:val="179"/>
        </w:trPr>
        <w:tc>
          <w:tcPr>
            <w:tcW w:w="2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ind w:right="684"/>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1380" w:type="dxa"/>
            <w:vAlign w:val="bottom"/>
          </w:tcPr>
          <w:p>
            <w:pPr>
              <w:jc w:val="right"/>
              <w:ind w:right="684"/>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jc w:val="right"/>
              <w:ind w:right="224"/>
              <w:spacing w:after="0"/>
              <w:rPr>
                <w:sz w:val="20"/>
                <w:szCs w:val="20"/>
                <w:color w:val="auto"/>
              </w:rPr>
            </w:pPr>
            <w:r>
              <w:rPr>
                <w:rFonts w:ascii="Arial" w:cs="Arial" w:eastAsia="Arial" w:hAnsi="Arial"/>
                <w:sz w:val="14"/>
                <w:szCs w:val="14"/>
                <w:b w:val="1"/>
                <w:bCs w:val="1"/>
                <w:color w:val="auto"/>
              </w:rPr>
              <w:t>% Change</w:t>
            </w:r>
          </w:p>
        </w:tc>
      </w:tr>
      <w:tr>
        <w:trPr>
          <w:trHeight w:val="192"/>
        </w:trPr>
        <w:tc>
          <w:tcPr>
            <w:tcW w:w="2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20" w:type="dxa"/>
            <w:vAlign w:val="bottom"/>
            <w:gridSpan w:val="4"/>
          </w:tcPr>
          <w:p>
            <w:pPr>
              <w:jc w:val="right"/>
              <w:ind w:right="742"/>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2"/>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 $</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374</w:t>
            </w:r>
          </w:p>
        </w:tc>
        <w:tc>
          <w:tcPr>
            <w:tcW w:w="3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404</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(7)%  $</w:t>
            </w:r>
          </w:p>
        </w:tc>
        <w:tc>
          <w:tcPr>
            <w:tcW w:w="11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749</w:t>
            </w:r>
          </w:p>
        </w:tc>
        <w:tc>
          <w:tcPr>
            <w:tcW w:w="3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809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revenues</w:t>
            </w:r>
          </w:p>
        </w:tc>
        <w:tc>
          <w:tcPr>
            <w:tcW w:w="540" w:type="dxa"/>
            <w:vAlign w:val="bottom"/>
          </w:tcPr>
          <w:p>
            <w:pPr>
              <w:jc w:val="right"/>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8"/>
                <w:szCs w:val="18"/>
                <w:color w:val="auto"/>
              </w:rPr>
            </w:pPr>
          </w:p>
        </w:tc>
        <w:tc>
          <w:tcPr>
            <w:tcW w:w="1380" w:type="dxa"/>
            <w:vAlign w:val="bottom"/>
          </w:tcPr>
          <w:p>
            <w:pPr>
              <w:jc w:val="right"/>
              <w:ind w:right="144"/>
              <w:spacing w:after="0"/>
              <w:rPr>
                <w:sz w:val="20"/>
                <w:szCs w:val="20"/>
                <w:color w:val="auto"/>
              </w:rPr>
            </w:pPr>
            <w:r>
              <w:rPr>
                <w:rFonts w:ascii="Arial" w:cs="Arial" w:eastAsia="Arial" w:hAnsi="Arial"/>
                <w:sz w:val="16"/>
                <w:szCs w:val="16"/>
                <w:color w:val="auto"/>
              </w:rPr>
              <w:t>—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8"/>
                <w:szCs w:val="18"/>
                <w:color w:val="auto"/>
              </w:rPr>
            </w:pPr>
          </w:p>
        </w:tc>
        <w:tc>
          <w:tcPr>
            <w:tcW w:w="1380" w:type="dxa"/>
            <w:vAlign w:val="bottom"/>
          </w:tcPr>
          <w:p>
            <w:pPr>
              <w:jc w:val="right"/>
              <w:ind w:right="144"/>
              <w:spacing w:after="0"/>
              <w:rPr>
                <w:sz w:val="20"/>
                <w:szCs w:val="20"/>
                <w:color w:val="auto"/>
              </w:rPr>
            </w:pPr>
            <w:r>
              <w:rPr>
                <w:rFonts w:ascii="Arial" w:cs="Arial" w:eastAsia="Arial" w:hAnsi="Arial"/>
                <w:sz w:val="16"/>
                <w:szCs w:val="16"/>
                <w:color w:val="auto"/>
              </w:rPr>
              <w:t>— %</w:t>
            </w:r>
          </w:p>
        </w:tc>
        <w:tc>
          <w:tcPr>
            <w:tcW w:w="1160" w:type="dxa"/>
            <w:vAlign w:val="bottom"/>
          </w:tcPr>
          <w:p>
            <w:pPr>
              <w:spacing w:after="0"/>
              <w:rPr>
                <w:sz w:val="18"/>
                <w:szCs w:val="18"/>
                <w:color w:val="auto"/>
              </w:rPr>
            </w:pPr>
          </w:p>
        </w:tc>
      </w:tr>
    </w:tbl>
    <w:p>
      <w:pPr>
        <w:spacing w:after="0" w:line="1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Amortization expense for purchased intangibles decreased by 7% to $0.4 million and by 7% to $0.7 million in the three and six months ended June 30, 2021, respectively, from $0.4 million and $0.8 million, respectively, in the comparable periods in 2020.</w:t>
      </w:r>
    </w:p>
    <w:p>
      <w:pPr>
        <w:spacing w:after="0" w:line="19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Additional amortization expense in the amount of $1.2 million and $2.4 million in the three and six months ended June 30, 2021, respectively, and $0.3 million and $0.6 million in the three and six months ended June 30, 2020, respectively, is included in cost of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5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Other (expense)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83"/>
              <w:spacing w:after="0"/>
              <w:rPr>
                <w:sz w:val="20"/>
                <w:szCs w:val="20"/>
                <w:color w:val="auto"/>
              </w:rPr>
            </w:pPr>
            <w:r>
              <w:rPr>
                <w:rFonts w:ascii="Arial" w:cs="Arial" w:eastAsia="Arial" w:hAnsi="Arial"/>
                <w:sz w:val="14"/>
                <w:szCs w:val="14"/>
                <w:b w:val="1"/>
                <w:bCs w:val="1"/>
                <w:color w:val="auto"/>
                <w:w w:val="97"/>
              </w:rPr>
              <w:t>Six Months Ended</w:t>
            </w:r>
          </w:p>
        </w:tc>
        <w:tc>
          <w:tcPr>
            <w:tcW w:w="1400" w:type="dxa"/>
            <w:vAlign w:val="bottom"/>
          </w:tcPr>
          <w:p>
            <w:pPr>
              <w:spacing w:after="0"/>
              <w:rPr>
                <w:sz w:val="16"/>
                <w:szCs w:val="16"/>
                <w:color w:val="auto"/>
              </w:rPr>
            </w:pPr>
          </w:p>
        </w:tc>
      </w:tr>
      <w:tr>
        <w:trPr>
          <w:trHeight w:val="195"/>
        </w:trPr>
        <w:tc>
          <w:tcPr>
            <w:tcW w:w="26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June 30,</w:t>
            </w:r>
          </w:p>
        </w:tc>
        <w:tc>
          <w:tcPr>
            <w:tcW w:w="1400" w:type="dxa"/>
            <w:vAlign w:val="bottom"/>
            <w:tcBorders>
              <w:bottom w:val="single" w:sz="8" w:color="auto"/>
            </w:tcBorders>
          </w:tcPr>
          <w:p>
            <w:pPr>
              <w:spacing w:after="0"/>
              <w:rPr>
                <w:sz w:val="16"/>
                <w:szCs w:val="16"/>
                <w:color w:val="auto"/>
              </w:rPr>
            </w:pPr>
          </w:p>
        </w:tc>
      </w:tr>
      <w:tr>
        <w:trPr>
          <w:trHeight w:val="179"/>
        </w:trPr>
        <w:tc>
          <w:tcPr>
            <w:tcW w:w="26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420" w:type="dxa"/>
            <w:vAlign w:val="bottom"/>
          </w:tcPr>
          <w:p>
            <w:pPr>
              <w:jc w:val="right"/>
              <w:ind w:right="24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400" w:type="dxa"/>
            <w:vAlign w:val="bottom"/>
          </w:tcPr>
          <w:p>
            <w:pPr>
              <w:jc w:val="right"/>
              <w:ind w:right="241"/>
              <w:spacing w:after="0"/>
              <w:rPr>
                <w:sz w:val="20"/>
                <w:szCs w:val="20"/>
                <w:color w:val="auto"/>
              </w:rPr>
            </w:pPr>
            <w:r>
              <w:rPr>
                <w:rFonts w:ascii="Arial" w:cs="Arial" w:eastAsia="Arial" w:hAnsi="Arial"/>
                <w:sz w:val="14"/>
                <w:szCs w:val="14"/>
                <w:b w:val="1"/>
                <w:bCs w:val="1"/>
                <w:color w:val="auto"/>
              </w:rPr>
              <w:t>% Change</w:t>
            </w:r>
          </w:p>
        </w:tc>
      </w:tr>
      <w:tr>
        <w:trPr>
          <w:trHeight w:val="192"/>
        </w:trPr>
        <w:tc>
          <w:tcPr>
            <w:tcW w:w="2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(9,281)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13"/>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2,338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279 %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254 %</w:t>
            </w:r>
          </w:p>
        </w:tc>
      </w:tr>
      <w:tr>
        <w:trPr>
          <w:trHeight w:val="21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(6,943)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bl>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(expense) income, net increased by 54% to $6.9 million in the three months ended June 30, 2021 from $4.5 million in the comparable period in 2020 due to interest expense attributable to the 2024 Notes and the 2026 Notes and financial income which is attributable to currency rate fluctuations, partially offset by the gain on the settlement of leases and interest income on cash and cash equivalents.</w:t>
      </w:r>
    </w:p>
    <w:p>
      <w:pPr>
        <w:spacing w:after="0" w:line="19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Other (expense) income, net increased by 93% to $15.4 million in the six months ended June 30, 2021 from $8.0 million in the comparable period in 2020 due to interest expense attributable to the 2024 Notes and the 2026 Notes and financial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income which is attributable to currency rate fluctuations, partially offset by the gain on the settlement of leases and interest income on cash and 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2"/>
          </w:tcPr>
          <w:p>
            <w:pPr>
              <w:jc w:val="center"/>
              <w:ind w:right="85"/>
              <w:spacing w:after="0"/>
              <w:rPr>
                <w:sz w:val="20"/>
                <w:szCs w:val="20"/>
                <w:color w:val="auto"/>
              </w:rPr>
            </w:pPr>
            <w:r>
              <w:rPr>
                <w:rFonts w:ascii="Arial" w:cs="Arial" w:eastAsia="Arial" w:hAnsi="Arial"/>
                <w:sz w:val="14"/>
                <w:szCs w:val="14"/>
                <w:b w:val="1"/>
                <w:bCs w:val="1"/>
                <w:color w:val="auto"/>
                <w:w w:val="95"/>
              </w:rPr>
              <w:t>Three Months Ended</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gridSpan w:val="2"/>
          </w:tcPr>
          <w:p>
            <w:pPr>
              <w:jc w:val="center"/>
              <w:ind w:right="85"/>
              <w:spacing w:after="0"/>
              <w:rPr>
                <w:sz w:val="20"/>
                <w:szCs w:val="20"/>
                <w:color w:val="auto"/>
              </w:rPr>
            </w:pPr>
            <w:r>
              <w:rPr>
                <w:rFonts w:ascii="Arial" w:cs="Arial" w:eastAsia="Arial" w:hAnsi="Arial"/>
                <w:sz w:val="14"/>
                <w:szCs w:val="14"/>
                <w:b w:val="1"/>
                <w:bCs w:val="1"/>
                <w:color w:val="auto"/>
                <w:w w:val="93"/>
              </w:rPr>
              <w:t>Six Months Ended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25"/>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85"/>
              <w:spacing w:after="0"/>
              <w:rPr>
                <w:sz w:val="20"/>
                <w:szCs w:val="20"/>
                <w:color w:val="auto"/>
              </w:rPr>
            </w:pPr>
            <w:r>
              <w:rPr>
                <w:rFonts w:ascii="Arial" w:cs="Arial" w:eastAsia="Arial" w:hAnsi="Arial"/>
                <w:sz w:val="14"/>
                <w:szCs w:val="14"/>
                <w:b w:val="1"/>
                <w:bCs w:val="1"/>
                <w:color w:val="auto"/>
                <w:w w:val="89"/>
              </w:rPr>
              <w:t>June 30,</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45"/>
              <w:spacing w:after="0"/>
              <w:rPr>
                <w:sz w:val="20"/>
                <w:szCs w:val="20"/>
                <w:color w:val="auto"/>
              </w:rPr>
            </w:pPr>
            <w:r>
              <w:rPr>
                <w:rFonts w:ascii="Arial" w:cs="Arial" w:eastAsia="Arial" w:hAnsi="Arial"/>
                <w:sz w:val="14"/>
                <w:szCs w:val="14"/>
                <w:b w:val="1"/>
                <w:bCs w:val="1"/>
                <w:color w:val="auto"/>
              </w:rPr>
              <w:t>2020</w:t>
            </w:r>
          </w:p>
        </w:tc>
        <w:tc>
          <w:tcPr>
            <w:tcW w:w="1200" w:type="dxa"/>
            <w:vAlign w:val="bottom"/>
          </w:tcPr>
          <w:p>
            <w:pPr>
              <w:jc w:val="right"/>
              <w:ind w:right="24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625"/>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jc w:val="right"/>
              <w:ind w:right="24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20" w:type="dxa"/>
            <w:vAlign w:val="bottom"/>
            <w:gridSpan w:val="3"/>
          </w:tcPr>
          <w:p>
            <w:pPr>
              <w:jc w:val="right"/>
              <w:ind w:right="204"/>
              <w:spacing w:after="0"/>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Provision for (benefit from) income</w:t>
            </w:r>
          </w:p>
        </w:tc>
        <w:tc>
          <w:tcPr>
            <w:tcW w:w="920" w:type="dxa"/>
            <w:vAlign w:val="bottom"/>
            <w:vMerge w:val="restart"/>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340" w:type="dxa"/>
            <w:vAlign w:val="bottom"/>
            <w:vMerge w:val="restart"/>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45"/>
              <w:spacing w:after="0"/>
              <w:rPr>
                <w:sz w:val="20"/>
                <w:szCs w:val="20"/>
                <w:color w:val="auto"/>
              </w:rPr>
            </w:pPr>
            <w:r>
              <w:rPr>
                <w:rFonts w:ascii="Arial" w:cs="Arial" w:eastAsia="Arial" w:hAnsi="Arial"/>
                <w:sz w:val="16"/>
                <w:szCs w:val="16"/>
                <w:color w:val="auto"/>
              </w:rPr>
              <w:t>(339)</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300" w:type="dxa"/>
            <w:vAlign w:val="bottom"/>
            <w:vMerge w:val="restart"/>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165"/>
              <w:spacing w:after="0"/>
              <w:rPr>
                <w:sz w:val="20"/>
                <w:szCs w:val="20"/>
                <w:color w:val="auto"/>
              </w:rPr>
            </w:pPr>
            <w:r>
              <w:rPr>
                <w:rFonts w:ascii="Arial" w:cs="Arial" w:eastAsia="Arial" w:hAnsi="Arial"/>
                <w:sz w:val="16"/>
                <w:szCs w:val="16"/>
                <w:color w:val="auto"/>
              </w:rPr>
              <w:t>13</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9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had a tax provision of $0.6 million for the three months ended June 30, 2021 and a tax benefit of $0.3 million in the six months ended June 30, 2021. Benefit from income taxes was $0.3 million for the three months ended June 30, 2020 and provision for income taxes was less than $0.1 million in the six months ended June 30, 2020. Our consolidated effective tax rate was impacted by the statutory income tax rates applicable to each of the jurisdictions in which we operate, excess tax benefits from stock compensation deductions recognized in the United Kingdom, and a change in estimate of uncertain tax benefits related to stock compensation deductions for Kasamba Israel and LivePerson Ltd. Israel.</w:t>
      </w:r>
    </w:p>
    <w:p>
      <w:pPr>
        <w:spacing w:after="0" w:line="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For the three months ended June 30, 2021, the Company recorded a tax provision of $0.6 million. This amount consists of a tax provision of $0.9 million on operating earnings for the period offset by a tax a benefit of $0.3 million excess tax benefit related to stock compensation deductions for LivePerson UK.</w:t>
      </w:r>
    </w:p>
    <w:p>
      <w:pPr>
        <w:spacing w:after="0" w:line="2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the six months ended June 30, 2021, the Company recorded a tax benefit of $0.3 million. This amount consists of a tax provision of $1.5 million on operating earnings offset by a tax benefit of $1.5 million for the release of a reserve of uncertain tax benefits recorded against deferred tax assets related to Israeli stock compensation deductions and a benefit of $0.3 million for excess tax benefits from stock compensation.</w:t>
      </w:r>
    </w:p>
    <w:p>
      <w:pPr>
        <w:spacing w:after="0" w:line="19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 statutory rate change in the United Kingdom was enacted during the three months ended June 30, 2021. Effective April 1, 2023, the tax rate will increase from 19% to 25%. During the period, the Company assessed the impact of the rate change and concluded that it is immaterial to its deferred taxes.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had a net loss of $21.1 million and $42.3 million in the three and six months ended June 30, 2021, respectively, compared to a net loss of $18.6 million and $55.6 million for the three and six months ended June 30, 2020,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w w:val="92"/>
              </w:rPr>
              <w:t>Six Months Ended</w:t>
            </w:r>
          </w:p>
        </w:tc>
        <w:tc>
          <w:tcPr>
            <w:tcW w:w="8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5"/>
                <w:szCs w:val="15"/>
                <w:color w:val="auto"/>
              </w:rPr>
            </w:pPr>
          </w:p>
        </w:tc>
      </w:tr>
      <w:tr>
        <w:trPr>
          <w:trHeight w:val="197"/>
        </w:trPr>
        <w:tc>
          <w:tcPr>
            <w:tcW w:w="2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Consolidated Statements of Cash Flows Data:</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5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CCEEFF"/>
            </w:tcBorders>
          </w:tcPr>
          <w:p>
            <w:pPr>
              <w:jc w:val="right"/>
              <w:ind w:right="44"/>
              <w:spacing w:after="0"/>
              <w:rPr>
                <w:sz w:val="20"/>
                <w:szCs w:val="20"/>
                <w:color w:val="auto"/>
              </w:rPr>
            </w:pPr>
            <w:r>
              <w:rPr>
                <w:rFonts w:ascii="Arial" w:cs="Arial" w:eastAsia="Arial" w:hAnsi="Arial"/>
                <w:sz w:val="16"/>
                <w:szCs w:val="16"/>
                <w:color w:val="auto"/>
              </w:rPr>
              <w:t>30,614</w:t>
            </w:r>
          </w:p>
        </w:tc>
        <w:tc>
          <w:tcPr>
            <w:tcW w:w="600" w:type="dxa"/>
            <w:vAlign w:val="bottom"/>
            <w:tcBorders>
              <w:top w:val="single" w:sz="8" w:color="CCEEFF"/>
            </w:tcBorders>
          </w:tcPr>
          <w:p>
            <w:pPr>
              <w:jc w:val="right"/>
              <w:ind w:right="3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12,306</w:t>
            </w: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(24,547)</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(24,259)</w:t>
            </w:r>
          </w:p>
        </w:tc>
      </w:tr>
      <w:tr>
        <w:trPr>
          <w:trHeight w:val="210"/>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7,271</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9,123</w:t>
            </w:r>
          </w:p>
        </w:tc>
      </w:tr>
    </w:tbl>
    <w:p>
      <w:pPr>
        <w:spacing w:after="0" w:line="1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2021, we had approximately $665.6 million in cash, cash equivalents, and restricted cash, an increase of approximately $11.5 million from December 31, 2020. The increase is primarily attributable to cash flows provided by financing activities related to issuance of common stock in connection with exercise of options and ESPP and an increase in operating activities as well as restricted cash held at an Israeli bank as cash collateral in connection with a lease dispute.</w:t>
      </w:r>
    </w:p>
    <w:p>
      <w:pPr>
        <w:spacing w:after="0" w:line="21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cash provided by operating activities was $30.6 million for the six months ended June 30, 2021. Our net loss of $42.3 million was offset by non-cash expenses: stock-based compensation of $29.7 million; depreciation of $13.6 million; an increase in deferred revenue of $20.1 million and accrued expenses of $20.5 million. This was partially offset by increases in accounts receivable of $11.7 million and prepaid expenses of 3.9 million. Net cash provided by operating activities was $12.3 million for the six months ended June 30, 2020. Our net loss of $55.6 million for the six months ended June 30, 2020 was offset by non-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cash expenses: stock-based compensation of $30.6 million; depreciation and amortization of $11.3 million; and a decrease in accounts receivable of $10.1 million.</w:t>
      </w:r>
    </w:p>
    <w:p>
      <w:pPr>
        <w:spacing w:after="0" w:line="197"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Net cash used in investing activities was $24.5 million for the six months ended June 30, 2021 and consisted primarily of the purchase of fixed assets for our co-location facilities and capitalization of internally developed software. Net cash used in investing activities was $24.3 million for the six months ended June 30, 2020 and consisted primarily of the purchase of fixed assets for our co-location facilities and capitalization of internally developed software.</w:t>
      </w:r>
    </w:p>
    <w:p>
      <w:pPr>
        <w:spacing w:after="0" w:line="176"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Net cash provided by financing activities was $7.3 million for the six months ended June 30, 2021, consisting primarily of proceeds from issuance of common stock in connection with the exercise of stock options by employees. Net cash provided by financing activities was $9.1 million for the six months ended June 30, 2020 and consisted primarily of proceeds from issuance of common stock in connection with the exercise of stock options by employees.</w:t>
      </w:r>
    </w:p>
    <w:p>
      <w:pPr>
        <w:spacing w:after="0" w:line="17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June 30, 2021, we had an accumulated deficit of approximately $434.2 million.</w:t>
      </w:r>
    </w:p>
    <w:p>
      <w:pPr>
        <w:spacing w:after="0" w:line="19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response to the COVID-19 pandemic, we have undertaken a re-evaluation of our real estate needs. In connection with this re-evaluation, and the success we have had working remotely for the past several months, we have significantly reduced the real estate space we lease. This will likely result in various one-time cash expenses in connection with early termination of some of our leases. During the second quarter of 2021, we decided to reoccupy some of our leased space to provide our employees with the option of working in an office space environment if they choose to do so.</w:t>
      </w:r>
    </w:p>
    <w:p>
      <w:pPr>
        <w:spacing w:after="0" w:line="19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2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engage in off-balance sheet financing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Risks</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Israeli operations have currency rate fluctuation risk associated with the exchange rate movement of the U.S. dollar against the New Israeli Shekel (“NIS”). During the three months ended June 30, 2021, the U.S. dollar depreciated by approximately 7% as compared to the NIS and during the six months ended June 30, 2021, the U.S. dollar depreciated by approximately 6%. During the three and six months ended June 30, 2021, expenses generated by our Israeli operations totaled approximately $17.3 million and $37.2 million, respectively.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Collection Risks</w:t>
      </w:r>
    </w:p>
    <w:p>
      <w:pPr>
        <w:spacing w:after="0" w:line="25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accounts receivable are subject, in the normal course of business, to collection risks. We regularly assess these risks and have established policies and business practices to protect against the adverse effects of collection risks. During the six months ended June 30, 2021, our allowance for doubtful accounts increased by $0.5 million to approximately $5.8 million. During the six months ended June 30, 2020, we increased our allowance for doubtful accounts by $0.6 million to approximately $4.4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doubtful accounts when accounts previously reserved have been collected.</w:t>
      </w:r>
    </w:p>
    <w:p>
      <w:pPr>
        <w:spacing w:after="0" w:line="19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market interest rates do not affect in any material respect the value of the investments as recorded by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5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June 30, 2021. Based on that evaluation, the Chief Executive Officer and Chief Financial Officer concluded that our disclosure controls and procedures were effective as of June 30, 2021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2021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the Effectiveness of Internal Control</w:t>
      </w:r>
    </w:p>
    <w:p>
      <w:pPr>
        <w:spacing w:after="0" w:line="25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Company previously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 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The Company cannot predict with certainty whether [24]7 will pursue challenges to this award on procedural grounds. Accordingly, no amounts for the settlement have been reflected in the Company’s financial statements. Trial for [24]7’s patent infringement claims has been vacated, to be reset by the Court.</w:t>
      </w:r>
    </w:p>
    <w:p>
      <w:pPr>
        <w:spacing w:after="0" w:line="20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19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55" w:lineRule="auto"/>
        <w:rPr>
          <w:sz w:val="20"/>
          <w:szCs w:val="20"/>
          <w:color w:val="auto"/>
        </w:rPr>
      </w:pPr>
      <w:r>
        <w:rPr>
          <w:rFonts w:ascii="Arial" w:cs="Arial" w:eastAsia="Arial" w:hAnsi="Arial"/>
          <w:sz w:val="18"/>
          <w:szCs w:val="18"/>
          <w:color w:val="auto"/>
        </w:rPr>
        <w:t>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21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2020, filed on March 8, 2021,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unregistered sales of equity securities by the issuer during the three and six months ended June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 by the Issuer</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repurchases of equity securities by the issuer during the three and six months ended June 30, 2021.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8"/>
          <w:szCs w:val="18"/>
          <w:color w:val="auto"/>
        </w:rPr>
        <w:t>ITEM 6.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31.1</w:t>
            </w:r>
          </w:p>
        </w:tc>
        <w:tc>
          <w:tcPr>
            <w:tcW w:w="400" w:type="dxa"/>
            <w:vAlign w:val="bottom"/>
            <w:shd w:val="clear" w:color="auto" w:fill="CCEEFF"/>
          </w:tcPr>
          <w:p>
            <w:pPr>
              <w:spacing w:after="0"/>
              <w:rPr>
                <w:sz w:val="17"/>
                <w:szCs w:val="17"/>
                <w:color w:val="auto"/>
              </w:rPr>
            </w:pPr>
          </w:p>
        </w:tc>
        <w:tc>
          <w:tcPr>
            <w:tcW w:w="9820" w:type="dxa"/>
            <w:vAlign w:val="bottom"/>
            <w:gridSpan w:val="6"/>
            <w:shd w:val="clear" w:color="auto" w:fill="CCEEFF"/>
          </w:tcPr>
          <w:p>
            <w:pPr>
              <w:ind w:left="140"/>
              <w:spacing w:after="0"/>
              <w:rPr>
                <w:rFonts w:ascii="Arial" w:cs="Arial" w:eastAsia="Arial" w:hAnsi="Arial"/>
                <w:sz w:val="18"/>
                <w:szCs w:val="18"/>
                <w:color w:val="0000FF"/>
                <w:w w:val="97"/>
              </w:rPr>
            </w:pPr>
            <w:hyperlink w:anchor="page59">
              <w:r>
                <w:rPr>
                  <w:rFonts w:ascii="Arial" w:cs="Arial" w:eastAsia="Arial" w:hAnsi="Arial"/>
                  <w:sz w:val="18"/>
                  <w:szCs w:val="18"/>
                  <w:color w:val="0000FF"/>
                  <w:w w:val="97"/>
                </w:rPr>
                <w:t>Certification by Chief Executive Officer pursuant to Exchange Act Rule 13a-14(a), as adopted pursuant to Section 302 of the</w:t>
              </w:r>
            </w:hyperlink>
          </w:p>
        </w:tc>
        <w:tc>
          <w:tcPr>
            <w:tcW w:w="0" w:type="dxa"/>
            <w:vAlign w:val="bottom"/>
          </w:tcPr>
          <w:p>
            <w:pPr>
              <w:spacing w:after="0"/>
              <w:rPr>
                <w:sz w:val="1"/>
                <w:szCs w:val="1"/>
                <w:color w:val="auto"/>
              </w:rPr>
            </w:pPr>
          </w:p>
        </w:tc>
      </w:tr>
      <w:tr>
        <w:trPr>
          <w:trHeight w:val="20"/>
        </w:trPr>
        <w:tc>
          <w:tcPr>
            <w:tcW w:w="960" w:type="dxa"/>
            <w:vAlign w:val="bottom"/>
            <w:vMerge w:val="continue"/>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9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vMerge w:val="continue"/>
            <w:shd w:val="clear" w:color="auto" w:fill="CCEEFF"/>
          </w:tcPr>
          <w:p>
            <w:pPr>
              <w:spacing w:after="0"/>
              <w:rPr>
                <w:sz w:val="8"/>
                <w:szCs w:val="8"/>
                <w:color w:val="auto"/>
              </w:rPr>
            </w:pPr>
          </w:p>
        </w:tc>
        <w:tc>
          <w:tcPr>
            <w:tcW w:w="400" w:type="dxa"/>
            <w:vAlign w:val="bottom"/>
            <w:vMerge w:val="restart"/>
            <w:shd w:val="clear" w:color="auto" w:fill="CCEEFF"/>
          </w:tcPr>
          <w:p>
            <w:pPr>
              <w:ind w:left="100"/>
              <w:spacing w:after="0" w:line="156" w:lineRule="exact"/>
              <w:rPr>
                <w:sz w:val="20"/>
                <w:szCs w:val="20"/>
                <w:color w:val="auto"/>
              </w:rPr>
            </w:pPr>
            <w:r>
              <w:rPr>
                <w:rFonts w:ascii="Arial" w:cs="Arial" w:eastAsia="Arial" w:hAnsi="Arial"/>
                <w:sz w:val="18"/>
                <w:szCs w:val="18"/>
                <w:color w:val="auto"/>
              </w:rPr>
              <w:t>*</w:t>
            </w:r>
          </w:p>
        </w:tc>
        <w:tc>
          <w:tcPr>
            <w:tcW w:w="9820" w:type="dxa"/>
            <w:vAlign w:val="bottom"/>
            <w:gridSpan w:val="6"/>
            <w:vMerge w:val="restart"/>
            <w:shd w:val="clear" w:color="auto" w:fill="CCEEFF"/>
          </w:tcPr>
          <w:p>
            <w:pPr>
              <w:ind w:left="140"/>
              <w:spacing w:after="0" w:line="156" w:lineRule="exact"/>
              <w:rPr>
                <w:rFonts w:ascii="Arial" w:cs="Arial" w:eastAsia="Arial" w:hAnsi="Arial"/>
                <w:sz w:val="18"/>
                <w:szCs w:val="18"/>
                <w:color w:val="0000FF"/>
              </w:rPr>
            </w:pPr>
            <w:hyperlink w:anchor="page59">
              <w:r>
                <w:rPr>
                  <w:rFonts w:ascii="Arial" w:cs="Arial" w:eastAsia="Arial" w:hAnsi="Arial"/>
                  <w:sz w:val="18"/>
                  <w:szCs w:val="18"/>
                  <w:color w:val="0000FF"/>
                </w:rPr>
                <w:t>Sarbanes-Oxley Act of 2002</w:t>
              </w:r>
            </w:hyperlink>
          </w:p>
        </w:tc>
        <w:tc>
          <w:tcPr>
            <w:tcW w:w="0" w:type="dxa"/>
            <w:vAlign w:val="bottom"/>
          </w:tcPr>
          <w:p>
            <w:pPr>
              <w:spacing w:after="0"/>
              <w:rPr>
                <w:sz w:val="1"/>
                <w:szCs w:val="1"/>
                <w:color w:val="auto"/>
              </w:rPr>
            </w:pPr>
          </w:p>
        </w:tc>
      </w:tr>
      <w:tr>
        <w:trPr>
          <w:trHeight w:val="74"/>
        </w:trPr>
        <w:tc>
          <w:tcPr>
            <w:tcW w:w="9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9820" w:type="dxa"/>
            <w:vAlign w:val="bottom"/>
            <w:gridSpan w:val="6"/>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96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34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69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31.2</w:t>
            </w:r>
          </w:p>
        </w:tc>
        <w:tc>
          <w:tcPr>
            <w:tcW w:w="400" w:type="dxa"/>
            <w:vAlign w:val="bottom"/>
            <w:shd w:val="clear" w:color="auto" w:fill="CCEEFF"/>
          </w:tcPr>
          <w:p>
            <w:pPr>
              <w:spacing w:after="0"/>
              <w:rPr>
                <w:sz w:val="16"/>
                <w:szCs w:val="16"/>
                <w:color w:val="auto"/>
              </w:rPr>
            </w:pPr>
          </w:p>
        </w:tc>
        <w:tc>
          <w:tcPr>
            <w:tcW w:w="9820" w:type="dxa"/>
            <w:vAlign w:val="bottom"/>
            <w:gridSpan w:val="6"/>
            <w:shd w:val="clear" w:color="auto" w:fill="CCEEFF"/>
          </w:tcPr>
          <w:p>
            <w:pPr>
              <w:ind w:left="140"/>
              <w:spacing w:after="0" w:line="189" w:lineRule="exact"/>
              <w:rPr>
                <w:rFonts w:ascii="Arial" w:cs="Arial" w:eastAsia="Arial" w:hAnsi="Arial"/>
                <w:sz w:val="18"/>
                <w:szCs w:val="18"/>
                <w:color w:val="0000FF"/>
                <w:w w:val="98"/>
              </w:rPr>
            </w:pPr>
            <w:hyperlink w:anchor="page60">
              <w:r>
                <w:rPr>
                  <w:rFonts w:ascii="Arial" w:cs="Arial" w:eastAsia="Arial" w:hAnsi="Arial"/>
                  <w:sz w:val="18"/>
                  <w:szCs w:val="18"/>
                  <w:color w:val="0000FF"/>
                  <w:w w:val="98"/>
                </w:rPr>
                <w:t>Certification by Chief Financial Officer pursuant to Exchange Act Rule 13a-14(a), as adopted pursuant to Section 302 of the</w:t>
              </w:r>
            </w:hyperlink>
          </w:p>
        </w:tc>
        <w:tc>
          <w:tcPr>
            <w:tcW w:w="0" w:type="dxa"/>
            <w:vAlign w:val="bottom"/>
          </w:tcPr>
          <w:p>
            <w:pPr>
              <w:spacing w:after="0"/>
              <w:rPr>
                <w:sz w:val="1"/>
                <w:szCs w:val="1"/>
                <w:color w:val="auto"/>
              </w:rPr>
            </w:pPr>
          </w:p>
        </w:tc>
      </w:tr>
      <w:tr>
        <w:trPr>
          <w:trHeight w:val="20"/>
        </w:trPr>
        <w:tc>
          <w:tcPr>
            <w:tcW w:w="960" w:type="dxa"/>
            <w:vAlign w:val="bottom"/>
            <w:vMerge w:val="continue"/>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940" w:type="dxa"/>
            <w:vAlign w:val="bottom"/>
            <w:tcBorders>
              <w:right w:val="single" w:sz="8" w:color="CCEEFF"/>
            </w:tcBorders>
            <w:shd w:val="clear" w:color="auto" w:fill="0000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vMerge w:val="continue"/>
            <w:shd w:val="clear" w:color="auto" w:fill="CCEEFF"/>
          </w:tcPr>
          <w:p>
            <w:pPr>
              <w:spacing w:after="0"/>
              <w:rPr>
                <w:sz w:val="8"/>
                <w:szCs w:val="8"/>
                <w:color w:val="auto"/>
              </w:rPr>
            </w:pPr>
          </w:p>
        </w:tc>
        <w:tc>
          <w:tcPr>
            <w:tcW w:w="400" w:type="dxa"/>
            <w:vAlign w:val="bottom"/>
            <w:vMerge w:val="restart"/>
            <w:shd w:val="clear" w:color="auto" w:fill="CCEEFF"/>
          </w:tcPr>
          <w:p>
            <w:pPr>
              <w:ind w:left="100"/>
              <w:spacing w:after="0" w:line="156" w:lineRule="exact"/>
              <w:rPr>
                <w:sz w:val="20"/>
                <w:szCs w:val="20"/>
                <w:color w:val="auto"/>
              </w:rPr>
            </w:pPr>
            <w:r>
              <w:rPr>
                <w:rFonts w:ascii="Arial" w:cs="Arial" w:eastAsia="Arial" w:hAnsi="Arial"/>
                <w:sz w:val="18"/>
                <w:szCs w:val="18"/>
                <w:color w:val="auto"/>
              </w:rPr>
              <w:t>*</w:t>
            </w:r>
          </w:p>
        </w:tc>
        <w:tc>
          <w:tcPr>
            <w:tcW w:w="9820" w:type="dxa"/>
            <w:vAlign w:val="bottom"/>
            <w:gridSpan w:val="6"/>
            <w:vMerge w:val="restart"/>
            <w:shd w:val="clear" w:color="auto" w:fill="CCEEFF"/>
          </w:tcPr>
          <w:p>
            <w:pPr>
              <w:ind w:left="140"/>
              <w:spacing w:after="0" w:line="156" w:lineRule="exact"/>
              <w:rPr>
                <w:rFonts w:ascii="Arial" w:cs="Arial" w:eastAsia="Arial" w:hAnsi="Arial"/>
                <w:sz w:val="18"/>
                <w:szCs w:val="18"/>
                <w:color w:val="0000FF"/>
              </w:rPr>
            </w:pPr>
            <w:hyperlink w:anchor="page60">
              <w:r>
                <w:rPr>
                  <w:rFonts w:ascii="Arial" w:cs="Arial" w:eastAsia="Arial" w:hAnsi="Arial"/>
                  <w:sz w:val="18"/>
                  <w:szCs w:val="18"/>
                  <w:color w:val="0000FF"/>
                </w:rPr>
                <w:t>Sarbanes-Oxley Act of 2002</w:t>
              </w:r>
            </w:hyperlink>
          </w:p>
        </w:tc>
        <w:tc>
          <w:tcPr>
            <w:tcW w:w="0" w:type="dxa"/>
            <w:vAlign w:val="bottom"/>
          </w:tcPr>
          <w:p>
            <w:pPr>
              <w:spacing w:after="0"/>
              <w:rPr>
                <w:sz w:val="1"/>
                <w:szCs w:val="1"/>
                <w:color w:val="auto"/>
              </w:rPr>
            </w:pPr>
          </w:p>
        </w:tc>
      </w:tr>
      <w:tr>
        <w:trPr>
          <w:trHeight w:val="74"/>
        </w:trPr>
        <w:tc>
          <w:tcPr>
            <w:tcW w:w="9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9820" w:type="dxa"/>
            <w:vAlign w:val="bottom"/>
            <w:gridSpan w:val="6"/>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9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9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32.1</w:t>
            </w:r>
          </w:p>
        </w:tc>
        <w:tc>
          <w:tcPr>
            <w:tcW w:w="400" w:type="dxa"/>
            <w:vAlign w:val="bottom"/>
            <w:shd w:val="clear" w:color="auto" w:fill="CCEEFF"/>
          </w:tcPr>
          <w:p>
            <w:pPr>
              <w:spacing w:after="0"/>
              <w:rPr>
                <w:sz w:val="16"/>
                <w:szCs w:val="16"/>
                <w:color w:val="auto"/>
              </w:rPr>
            </w:pPr>
          </w:p>
        </w:tc>
        <w:tc>
          <w:tcPr>
            <w:tcW w:w="9820" w:type="dxa"/>
            <w:vAlign w:val="bottom"/>
            <w:gridSpan w:val="6"/>
            <w:shd w:val="clear" w:color="auto" w:fill="CCEEFF"/>
          </w:tcPr>
          <w:p>
            <w:pPr>
              <w:ind w:left="140"/>
              <w:spacing w:after="0" w:line="189" w:lineRule="exact"/>
              <w:rPr>
                <w:rFonts w:ascii="Arial" w:cs="Arial" w:eastAsia="Arial" w:hAnsi="Arial"/>
                <w:sz w:val="18"/>
                <w:szCs w:val="18"/>
                <w:color w:val="0000FF"/>
                <w:w w:val="94"/>
              </w:rPr>
            </w:pPr>
            <w:hyperlink w:anchor="page61">
              <w:r>
                <w:rPr>
                  <w:rFonts w:ascii="Arial" w:cs="Arial" w:eastAsia="Arial" w:hAnsi="Arial"/>
                  <w:sz w:val="18"/>
                  <w:szCs w:val="18"/>
                  <w:color w:val="0000FF"/>
                  <w:w w:val="94"/>
                </w:rPr>
                <w:t>Certification by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20"/>
        </w:trPr>
        <w:tc>
          <w:tcPr>
            <w:tcW w:w="960" w:type="dxa"/>
            <w:vAlign w:val="bottom"/>
            <w:vMerge w:val="continue"/>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9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vMerge w:val="continue"/>
            <w:shd w:val="clear" w:color="auto" w:fill="CCEEFF"/>
          </w:tcPr>
          <w:p>
            <w:pPr>
              <w:spacing w:after="0"/>
              <w:rPr>
                <w:sz w:val="8"/>
                <w:szCs w:val="8"/>
                <w:color w:val="auto"/>
              </w:rPr>
            </w:pPr>
          </w:p>
        </w:tc>
        <w:tc>
          <w:tcPr>
            <w:tcW w:w="400" w:type="dxa"/>
            <w:vAlign w:val="bottom"/>
            <w:vMerge w:val="restart"/>
            <w:shd w:val="clear" w:color="auto" w:fill="CCEEFF"/>
          </w:tcPr>
          <w:p>
            <w:pPr>
              <w:ind w:left="100"/>
              <w:spacing w:after="0" w:line="156" w:lineRule="exact"/>
              <w:rPr>
                <w:sz w:val="20"/>
                <w:szCs w:val="20"/>
                <w:color w:val="auto"/>
              </w:rPr>
            </w:pPr>
            <w:r>
              <w:rPr>
                <w:rFonts w:ascii="Arial" w:cs="Arial" w:eastAsia="Arial" w:hAnsi="Arial"/>
                <w:sz w:val="18"/>
                <w:szCs w:val="18"/>
                <w:color w:val="auto"/>
              </w:rPr>
              <w:t>**</w:t>
            </w:r>
          </w:p>
        </w:tc>
        <w:tc>
          <w:tcPr>
            <w:tcW w:w="9820" w:type="dxa"/>
            <w:vAlign w:val="bottom"/>
            <w:gridSpan w:val="6"/>
            <w:vMerge w:val="restart"/>
            <w:shd w:val="clear" w:color="auto" w:fill="CCEEFF"/>
          </w:tcPr>
          <w:p>
            <w:pPr>
              <w:ind w:left="140"/>
              <w:spacing w:after="0" w:line="156" w:lineRule="exact"/>
              <w:rPr>
                <w:rFonts w:ascii="Arial" w:cs="Arial" w:eastAsia="Arial" w:hAnsi="Arial"/>
                <w:sz w:val="18"/>
                <w:szCs w:val="18"/>
                <w:color w:val="0000FF"/>
              </w:rPr>
            </w:pPr>
            <w:hyperlink w:anchor="page61">
              <w:r>
                <w:rPr>
                  <w:rFonts w:ascii="Arial" w:cs="Arial" w:eastAsia="Arial" w:hAnsi="Arial"/>
                  <w:sz w:val="18"/>
                  <w:szCs w:val="18"/>
                  <w:color w:val="0000FF"/>
                </w:rPr>
                <w:t>Oxley Act of 2002</w:t>
              </w:r>
            </w:hyperlink>
          </w:p>
        </w:tc>
        <w:tc>
          <w:tcPr>
            <w:tcW w:w="0" w:type="dxa"/>
            <w:vAlign w:val="bottom"/>
          </w:tcPr>
          <w:p>
            <w:pPr>
              <w:spacing w:after="0"/>
              <w:rPr>
                <w:sz w:val="1"/>
                <w:szCs w:val="1"/>
                <w:color w:val="auto"/>
              </w:rPr>
            </w:pPr>
          </w:p>
        </w:tc>
      </w:tr>
      <w:tr>
        <w:trPr>
          <w:trHeight w:val="74"/>
        </w:trPr>
        <w:tc>
          <w:tcPr>
            <w:tcW w:w="9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9820" w:type="dxa"/>
            <w:vAlign w:val="bottom"/>
            <w:gridSpan w:val="6"/>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9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69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32.2</w:t>
            </w:r>
          </w:p>
        </w:tc>
        <w:tc>
          <w:tcPr>
            <w:tcW w:w="400" w:type="dxa"/>
            <w:vAlign w:val="bottom"/>
            <w:shd w:val="clear" w:color="auto" w:fill="CCEEFF"/>
          </w:tcPr>
          <w:p>
            <w:pPr>
              <w:spacing w:after="0"/>
              <w:rPr>
                <w:sz w:val="16"/>
                <w:szCs w:val="16"/>
                <w:color w:val="auto"/>
              </w:rPr>
            </w:pPr>
          </w:p>
        </w:tc>
        <w:tc>
          <w:tcPr>
            <w:tcW w:w="9820" w:type="dxa"/>
            <w:vAlign w:val="bottom"/>
            <w:gridSpan w:val="6"/>
            <w:shd w:val="clear" w:color="auto" w:fill="CCEEFF"/>
          </w:tcPr>
          <w:p>
            <w:pPr>
              <w:ind w:left="140"/>
              <w:spacing w:after="0" w:line="189" w:lineRule="exact"/>
              <w:rPr>
                <w:rFonts w:ascii="Arial" w:cs="Arial" w:eastAsia="Arial" w:hAnsi="Arial"/>
                <w:sz w:val="18"/>
                <w:szCs w:val="18"/>
                <w:color w:val="0000FF"/>
                <w:w w:val="94"/>
              </w:rPr>
            </w:pPr>
            <w:hyperlink w:anchor="page62">
              <w:r>
                <w:rPr>
                  <w:rFonts w:ascii="Arial" w:cs="Arial" w:eastAsia="Arial" w:hAnsi="Arial"/>
                  <w:sz w:val="18"/>
                  <w:szCs w:val="18"/>
                  <w:color w:val="0000FF"/>
                  <w:w w:val="94"/>
                </w:rPr>
                <w:t>Certification by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20"/>
        </w:trPr>
        <w:tc>
          <w:tcPr>
            <w:tcW w:w="960" w:type="dxa"/>
            <w:vAlign w:val="bottom"/>
            <w:vMerge w:val="continue"/>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9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CCEEFF"/>
            </w:tcBorders>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vMerge w:val="continue"/>
            <w:shd w:val="clear" w:color="auto" w:fill="CCEEFF"/>
          </w:tcPr>
          <w:p>
            <w:pPr>
              <w:spacing w:after="0"/>
              <w:rPr>
                <w:sz w:val="8"/>
                <w:szCs w:val="8"/>
                <w:color w:val="auto"/>
              </w:rPr>
            </w:pPr>
          </w:p>
        </w:tc>
        <w:tc>
          <w:tcPr>
            <w:tcW w:w="400" w:type="dxa"/>
            <w:vAlign w:val="bottom"/>
            <w:vMerge w:val="restart"/>
            <w:shd w:val="clear" w:color="auto" w:fill="CCEEFF"/>
          </w:tcPr>
          <w:p>
            <w:pPr>
              <w:ind w:left="100"/>
              <w:spacing w:after="0" w:line="156" w:lineRule="exact"/>
              <w:rPr>
                <w:sz w:val="20"/>
                <w:szCs w:val="20"/>
                <w:color w:val="auto"/>
              </w:rPr>
            </w:pPr>
            <w:r>
              <w:rPr>
                <w:rFonts w:ascii="Arial" w:cs="Arial" w:eastAsia="Arial" w:hAnsi="Arial"/>
                <w:sz w:val="18"/>
                <w:szCs w:val="18"/>
                <w:color w:val="auto"/>
              </w:rPr>
              <w:t>**</w:t>
            </w:r>
          </w:p>
        </w:tc>
        <w:tc>
          <w:tcPr>
            <w:tcW w:w="9820" w:type="dxa"/>
            <w:vAlign w:val="bottom"/>
            <w:gridSpan w:val="6"/>
            <w:vMerge w:val="restart"/>
            <w:shd w:val="clear" w:color="auto" w:fill="CCEEFF"/>
          </w:tcPr>
          <w:p>
            <w:pPr>
              <w:ind w:left="140"/>
              <w:spacing w:after="0" w:line="156" w:lineRule="exact"/>
              <w:rPr>
                <w:rFonts w:ascii="Arial" w:cs="Arial" w:eastAsia="Arial" w:hAnsi="Arial"/>
                <w:sz w:val="18"/>
                <w:szCs w:val="18"/>
                <w:color w:val="0000FF"/>
              </w:rPr>
            </w:pPr>
            <w:hyperlink w:anchor="page62">
              <w:r>
                <w:rPr>
                  <w:rFonts w:ascii="Arial" w:cs="Arial" w:eastAsia="Arial" w:hAnsi="Arial"/>
                  <w:sz w:val="18"/>
                  <w:szCs w:val="18"/>
                  <w:color w:val="0000FF"/>
                </w:rPr>
                <w:t>Oxley Act of 2002</w:t>
              </w:r>
            </w:hyperlink>
          </w:p>
        </w:tc>
        <w:tc>
          <w:tcPr>
            <w:tcW w:w="0" w:type="dxa"/>
            <w:vAlign w:val="bottom"/>
          </w:tcPr>
          <w:p>
            <w:pPr>
              <w:spacing w:after="0"/>
              <w:rPr>
                <w:sz w:val="1"/>
                <w:szCs w:val="1"/>
                <w:color w:val="auto"/>
              </w:rPr>
            </w:pPr>
          </w:p>
        </w:tc>
      </w:tr>
      <w:tr>
        <w:trPr>
          <w:trHeight w:val="74"/>
        </w:trPr>
        <w:tc>
          <w:tcPr>
            <w:tcW w:w="9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9820" w:type="dxa"/>
            <w:vAlign w:val="bottom"/>
            <w:gridSpan w:val="6"/>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9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69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400" w:type="dxa"/>
            <w:vAlign w:val="bottom"/>
            <w:shd w:val="clear" w:color="auto" w:fill="CCEEFF"/>
          </w:tcPr>
          <w:p>
            <w:pPr>
              <w:spacing w:after="0"/>
              <w:rPr>
                <w:sz w:val="15"/>
                <w:szCs w:val="15"/>
                <w:color w:val="auto"/>
              </w:rPr>
            </w:pPr>
          </w:p>
        </w:tc>
        <w:tc>
          <w:tcPr>
            <w:tcW w:w="9820" w:type="dxa"/>
            <w:vAlign w:val="bottom"/>
            <w:gridSpan w:val="6"/>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35"/>
        </w:trPr>
        <w:tc>
          <w:tcPr>
            <w:tcW w:w="960" w:type="dxa"/>
            <w:vAlign w:val="bottom"/>
            <w:vMerge w:val="continue"/>
            <w:shd w:val="clear" w:color="auto" w:fill="CCEEFF"/>
          </w:tcPr>
          <w:p>
            <w:pPr>
              <w:spacing w:after="0"/>
              <w:rPr>
                <w:sz w:val="11"/>
                <w:szCs w:val="11"/>
                <w:color w:val="auto"/>
              </w:rPr>
            </w:pPr>
          </w:p>
        </w:tc>
        <w:tc>
          <w:tcPr>
            <w:tcW w:w="4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20" w:type="dxa"/>
            <w:vAlign w:val="bottom"/>
            <w:gridSpan w:val="6"/>
            <w:vMerge w:val="restart"/>
            <w:shd w:val="clear" w:color="auto" w:fill="CCEEFF"/>
          </w:tcPr>
          <w:p>
            <w:pPr>
              <w:ind w:left="14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94"/>
        </w:trPr>
        <w:tc>
          <w:tcPr>
            <w:tcW w:w="960" w:type="dxa"/>
            <w:vAlign w:val="bottom"/>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9820" w:type="dxa"/>
            <w:vAlign w:val="bottom"/>
            <w:gridSpan w:val="6"/>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101.SCH</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2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2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101.DEF</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2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2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2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5280" w:firstLine="386"/>
        <w:spacing w:after="0" w:line="430" w:lineRule="auto"/>
        <w:tabs>
          <w:tab w:leader="none" w:pos="10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 Filed herewith</w:t>
      </w: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09803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57" w:name="page58"/>
    <w:bookmarkEnd w:id="57"/>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580" w:type="dxa"/>
            <w:vAlign w:val="bottom"/>
            <w:gridSpan w:val="2"/>
          </w:tcPr>
          <w:p>
            <w:pPr>
              <w:ind w:left="1580"/>
              <w:spacing w:after="0"/>
              <w:rPr>
                <w:sz w:val="20"/>
                <w:szCs w:val="20"/>
                <w:color w:val="auto"/>
              </w:rPr>
            </w:pPr>
            <w:r>
              <w:rPr>
                <w:rFonts w:ascii="Arial" w:cs="Arial" w:eastAsia="Arial" w:hAnsi="Arial"/>
                <w:sz w:val="18"/>
                <w:szCs w:val="18"/>
                <w:b w:val="1"/>
                <w:bCs w:val="1"/>
                <w:color w:val="auto"/>
              </w:rPr>
              <w:t>LIVEPERSON, INC.</w:t>
            </w:r>
          </w:p>
        </w:tc>
      </w:tr>
      <w:tr>
        <w:trPr>
          <w:trHeight w:val="230"/>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580" w:type="dxa"/>
            <w:vAlign w:val="bottom"/>
            <w:gridSpan w:val="2"/>
          </w:tcPr>
          <w:p>
            <w:pPr>
              <w:ind w:left="1580"/>
              <w:spacing w:after="0"/>
              <w:rPr>
                <w:sz w:val="20"/>
                <w:szCs w:val="20"/>
                <w:color w:val="auto"/>
              </w:rPr>
            </w:pPr>
            <w:r>
              <w:rPr>
                <w:rFonts w:ascii="Arial" w:cs="Arial" w:eastAsia="Arial" w:hAnsi="Arial"/>
                <w:sz w:val="18"/>
                <w:szCs w:val="18"/>
                <w:color w:val="auto"/>
              </w:rPr>
              <w:t>(Registrant)</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40"/>
              <w:spacing w:after="0"/>
              <w:rPr>
                <w:sz w:val="20"/>
                <w:szCs w:val="20"/>
                <w:color w:val="auto"/>
              </w:rPr>
            </w:pPr>
            <w:r>
              <w:rPr>
                <w:rFonts w:ascii="Arial" w:cs="Arial" w:eastAsia="Arial" w:hAnsi="Arial"/>
                <w:sz w:val="18"/>
                <w:szCs w:val="18"/>
                <w:color w:val="auto"/>
              </w:rPr>
              <w:t>August 4, 2021</w:t>
            </w:r>
          </w:p>
        </w:tc>
        <w:tc>
          <w:tcPr>
            <w:tcW w:w="2400" w:type="dxa"/>
            <w:vAlign w:val="bottom"/>
          </w:tcPr>
          <w:p>
            <w:pPr>
              <w:ind w:left="15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LOCASCIO</w:t>
            </w:r>
          </w:p>
        </w:tc>
      </w:tr>
      <w:tr>
        <w:trPr>
          <w:trHeight w:val="222"/>
        </w:trPr>
        <w:tc>
          <w:tcPr>
            <w:tcW w:w="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30"/>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40"/>
              <w:spacing w:after="0"/>
              <w:rPr>
                <w:sz w:val="20"/>
                <w:szCs w:val="20"/>
                <w:color w:val="auto"/>
              </w:rPr>
            </w:pPr>
            <w:r>
              <w:rPr>
                <w:rFonts w:ascii="Arial" w:cs="Arial" w:eastAsia="Arial" w:hAnsi="Arial"/>
                <w:sz w:val="18"/>
                <w:szCs w:val="18"/>
                <w:color w:val="auto"/>
              </w:rPr>
              <w:t>August 4, 2021</w:t>
            </w:r>
          </w:p>
        </w:tc>
        <w:tc>
          <w:tcPr>
            <w:tcW w:w="2400" w:type="dxa"/>
            <w:vAlign w:val="bottom"/>
          </w:tcPr>
          <w:p>
            <w:pPr>
              <w:ind w:left="15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D. COLLINS</w:t>
            </w:r>
          </w:p>
        </w:tc>
      </w:tr>
      <w:tr>
        <w:trPr>
          <w:trHeight w:val="222"/>
        </w:trPr>
        <w:tc>
          <w:tcPr>
            <w:tcW w:w="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John D. Collins</w:t>
            </w:r>
          </w:p>
        </w:tc>
      </w:tr>
      <w:tr>
        <w:trPr>
          <w:trHeight w:val="230"/>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320" w:top="1093" w:right="5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0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left="340" w:right="180" w:hanging="332"/>
        <w:spacing w:after="0" w:line="263" w:lineRule="auto"/>
        <w:tabs>
          <w:tab w:leader="none" w:pos="3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340" w:right="180" w:hanging="332"/>
        <w:spacing w:after="0" w:line="263" w:lineRule="auto"/>
        <w:tabs>
          <w:tab w:leader="none" w:pos="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right="40" w:hanging="332"/>
        <w:spacing w:after="0" w:line="277" w:lineRule="auto"/>
        <w:tabs>
          <w:tab w:leader="none" w:pos="3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340" w:right="80" w:hanging="332"/>
        <w:spacing w:after="0" w:line="263" w:lineRule="auto"/>
        <w:tabs>
          <w:tab w:leader="none" w:pos="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340" w:right="1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340" w:right="140" w:hanging="332"/>
        <w:spacing w:after="0" w:line="277" w:lineRule="auto"/>
        <w:tabs>
          <w:tab w:leader="none" w:pos="3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0" w:hanging="332"/>
        <w:spacing w:after="0" w:line="277" w:lineRule="auto"/>
        <w:tabs>
          <w:tab w:leader="none" w:pos="3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280"/>
              <w:spacing w:after="0"/>
              <w:rPr>
                <w:sz w:val="20"/>
                <w:szCs w:val="20"/>
                <w:color w:val="auto"/>
              </w:rPr>
            </w:pPr>
            <w:r>
              <w:rPr>
                <w:rFonts w:ascii="Arial" w:cs="Arial" w:eastAsia="Arial" w:hAnsi="Arial"/>
                <w:sz w:val="18"/>
                <w:szCs w:val="18"/>
                <w:color w:val="auto"/>
              </w:rPr>
              <w:t>August 4, 2021</w:t>
            </w:r>
          </w:p>
        </w:tc>
        <w:tc>
          <w:tcPr>
            <w:tcW w:w="2380" w:type="dxa"/>
            <w:vAlign w:val="bottom"/>
          </w:tcPr>
          <w:p>
            <w:pPr>
              <w:ind w:left="166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LOCASCIO</w:t>
            </w:r>
          </w:p>
        </w:tc>
      </w:tr>
      <w:tr>
        <w:trPr>
          <w:trHeight w:val="222"/>
        </w:trPr>
        <w:tc>
          <w:tcPr>
            <w:tcW w:w="6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380" w:type="dxa"/>
            <w:vAlign w:val="bottom"/>
          </w:tcPr>
          <w:p>
            <w:pPr>
              <w:ind w:left="1660"/>
              <w:spacing w:after="0"/>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30"/>
        </w:trPr>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380" w:type="dxa"/>
            <w:vAlign w:val="bottom"/>
          </w:tcPr>
          <w:p>
            <w:pPr>
              <w:ind w:left="166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John Collins, certify that:</w:t>
      </w:r>
    </w:p>
    <w:p>
      <w:pPr>
        <w:spacing w:after="0" w:line="10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left="340" w:right="180" w:hanging="332"/>
        <w:spacing w:after="0" w:line="263" w:lineRule="auto"/>
        <w:tabs>
          <w:tab w:leader="none" w:pos="3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340" w:right="180" w:hanging="332"/>
        <w:spacing w:after="0" w:line="263"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right="40" w:hanging="332"/>
        <w:spacing w:after="0" w:line="277" w:lineRule="auto"/>
        <w:tabs>
          <w:tab w:leader="none" w:pos="3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340" w:right="80" w:hanging="332"/>
        <w:spacing w:after="0" w:line="263"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340" w:right="1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340" w:right="140" w:hanging="332"/>
        <w:spacing w:after="0" w:line="277" w:lineRule="auto"/>
        <w:tabs>
          <w:tab w:leader="none" w:pos="3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0" w:hanging="332"/>
        <w:spacing w:after="0" w:line="277"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320"/>
              <w:spacing w:after="0"/>
              <w:rPr>
                <w:sz w:val="20"/>
                <w:szCs w:val="20"/>
                <w:color w:val="auto"/>
              </w:rPr>
            </w:pPr>
            <w:r>
              <w:rPr>
                <w:rFonts w:ascii="Arial" w:cs="Arial" w:eastAsia="Arial" w:hAnsi="Arial"/>
                <w:sz w:val="18"/>
                <w:szCs w:val="18"/>
                <w:color w:val="auto"/>
              </w:rPr>
              <w:t>August 4, 2021</w:t>
            </w:r>
          </w:p>
        </w:tc>
        <w:tc>
          <w:tcPr>
            <w:tcW w:w="2240" w:type="dxa"/>
            <w:vAlign w:val="bottom"/>
          </w:tcPr>
          <w:p>
            <w:pPr>
              <w:ind w:left="15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Collins</w:t>
            </w:r>
          </w:p>
        </w:tc>
      </w:tr>
      <w:tr>
        <w:trPr>
          <w:trHeight w:val="222"/>
        </w:trPr>
        <w:tc>
          <w:tcPr>
            <w:tcW w:w="6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240" w:type="dxa"/>
            <w:vAlign w:val="bottom"/>
          </w:tcPr>
          <w:p>
            <w:pPr>
              <w:ind w:left="152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John Collins</w:t>
            </w:r>
          </w:p>
        </w:tc>
      </w:tr>
      <w:tr>
        <w:trPr>
          <w:trHeight w:val="230"/>
        </w:trPr>
        <w:tc>
          <w:tcPr>
            <w:tcW w:w="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40" w:type="dxa"/>
            <w:vAlign w:val="bottom"/>
          </w:tcPr>
          <w:p>
            <w:pPr>
              <w:ind w:left="152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 Robert P. LoCascio, Chief Executive Officer of LivePerson, Inc. (the “Company”),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89" w:lineRule="exact"/>
        <w:rPr>
          <w:sz w:val="20"/>
          <w:szCs w:val="20"/>
          <w:color w:val="auto"/>
        </w:rPr>
      </w:pPr>
    </w:p>
    <w:p>
      <w:pPr>
        <w:ind w:left="660" w:right="260" w:hanging="328"/>
        <w:spacing w:after="0" w:line="308" w:lineRule="auto"/>
        <w:tabs>
          <w:tab w:leader="none" w:pos="65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June 30, 2021, as filed with the Securities and Exchange Commission (the “Report”), fully complies with the requirements of Section 13(a) or 15(d) of the Securities Exchange Act of 1934; and</w:t>
      </w:r>
    </w:p>
    <w:p>
      <w:pPr>
        <w:spacing w:after="0" w:line="11" w:lineRule="exact"/>
        <w:rPr>
          <w:rFonts w:ascii="Arial" w:cs="Arial" w:eastAsia="Arial" w:hAnsi="Arial"/>
          <w:sz w:val="17"/>
          <w:szCs w:val="17"/>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200"/>
              <w:spacing w:after="0"/>
              <w:rPr>
                <w:sz w:val="20"/>
                <w:szCs w:val="20"/>
                <w:color w:val="auto"/>
              </w:rPr>
            </w:pPr>
            <w:r>
              <w:rPr>
                <w:rFonts w:ascii="Arial" w:cs="Arial" w:eastAsia="Arial" w:hAnsi="Arial"/>
                <w:sz w:val="18"/>
                <w:szCs w:val="18"/>
                <w:color w:val="auto"/>
              </w:rPr>
              <w:t>August 4, 2021</w:t>
            </w:r>
          </w:p>
        </w:tc>
        <w:tc>
          <w:tcPr>
            <w:tcW w:w="2440" w:type="dxa"/>
            <w:vAlign w:val="bottom"/>
          </w:tcPr>
          <w:p>
            <w:pPr>
              <w:ind w:left="17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 LOCASCIO</w:t>
            </w:r>
          </w:p>
        </w:tc>
      </w:tr>
      <w:tr>
        <w:trPr>
          <w:trHeight w:val="222"/>
        </w:trPr>
        <w:tc>
          <w:tcPr>
            <w:tcW w:w="6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40" w:type="dxa"/>
            <w:vAlign w:val="bottom"/>
          </w:tcPr>
          <w:p>
            <w:pPr>
              <w:ind w:left="172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Robert P. LoCascio</w:t>
            </w:r>
          </w:p>
        </w:tc>
      </w:tr>
      <w:tr>
        <w:trPr>
          <w:trHeight w:val="230"/>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40" w:type="dxa"/>
            <w:vAlign w:val="bottom"/>
          </w:tcPr>
          <w:p>
            <w:pPr>
              <w:ind w:left="172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 John Collins, Chief Financial Officer of LivePerson, Inc. (the “Company”), certify, pursuant to 18 U.S.C. Section 1350, as adopted pursuant to Section 906 of the Sarbanes-Oxley Act of 2002, that:</w:t>
      </w:r>
    </w:p>
    <w:p>
      <w:pPr>
        <w:spacing w:after="0" w:line="49" w:lineRule="exact"/>
        <w:rPr>
          <w:sz w:val="20"/>
          <w:szCs w:val="20"/>
          <w:color w:val="auto"/>
        </w:rPr>
      </w:pPr>
    </w:p>
    <w:p>
      <w:pPr>
        <w:ind w:left="660" w:right="260" w:hanging="328"/>
        <w:spacing w:after="0" w:line="308" w:lineRule="auto"/>
        <w:tabs>
          <w:tab w:leader="none" w:pos="65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June 30, 2021, as filed with the Securities and Exchange Commission (the “Report”), fully complies with the requirements of Section 13(a) or 15(d) of the Securities Exchange Act of 1934; and</w:t>
      </w:r>
    </w:p>
    <w:p>
      <w:pPr>
        <w:spacing w:after="0" w:line="11" w:lineRule="exact"/>
        <w:rPr>
          <w:rFonts w:ascii="Arial" w:cs="Arial" w:eastAsia="Arial" w:hAnsi="Arial"/>
          <w:sz w:val="17"/>
          <w:szCs w:val="17"/>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320"/>
              <w:spacing w:after="0"/>
              <w:rPr>
                <w:sz w:val="20"/>
                <w:szCs w:val="20"/>
                <w:color w:val="auto"/>
              </w:rPr>
            </w:pPr>
            <w:r>
              <w:rPr>
                <w:rFonts w:ascii="Arial" w:cs="Arial" w:eastAsia="Arial" w:hAnsi="Arial"/>
                <w:sz w:val="18"/>
                <w:szCs w:val="18"/>
                <w:color w:val="auto"/>
              </w:rPr>
              <w:t>August 4, 2021</w:t>
            </w:r>
          </w:p>
        </w:tc>
        <w:tc>
          <w:tcPr>
            <w:tcW w:w="2380" w:type="dxa"/>
            <w:vAlign w:val="bottom"/>
          </w:tcPr>
          <w:p>
            <w:pPr>
              <w:ind w:left="168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Collins</w:t>
            </w:r>
          </w:p>
        </w:tc>
      </w:tr>
      <w:tr>
        <w:trPr>
          <w:trHeight w:val="222"/>
        </w:trPr>
        <w:tc>
          <w:tcPr>
            <w:tcW w:w="7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380" w:type="dxa"/>
            <w:vAlign w:val="bottom"/>
          </w:tcPr>
          <w:p>
            <w:pPr>
              <w:ind w:left="168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John Collins</w:t>
            </w:r>
          </w:p>
        </w:tc>
      </w:tr>
      <w:tr>
        <w:trPr>
          <w:trHeight w:val="230"/>
        </w:trPr>
        <w:tc>
          <w:tcPr>
            <w:tcW w:w="7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380" w:type="dxa"/>
            <w:vAlign w:val="bottom"/>
          </w:tcPr>
          <w:p>
            <w:pPr>
              <w:ind w:left="168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lvl w:ilvl="1">
      <w:lvlJc w:val="left"/>
      <w:lvlText w:val="%2"/>
      <w:numFmt w:val="decimal"/>
      <w:start w:val="104"/>
    </w:lvl>
  </w:abstractNum>
  <w:abstractNum w:abstractNumId="25">
    <w:nsid w:val="7C3DBD3D"/>
    <w:multiLevelType w:val="hybridMultilevel"/>
    <w:lvl w:ilvl="0">
      <w:lvlJc w:val="left"/>
      <w:lvlText w:val="**"/>
      <w:numFmt w:val="bullet"/>
      <w:start w:val="1"/>
    </w:lvl>
    <w:lvl w:ilvl="1">
      <w:lvlJc w:val="left"/>
      <w:lvlText w:val="%2"/>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2021-08-04T16:21:44Z</dcterms:created>
  <dcterms:modified xsi:type="dcterms:W3CDTF">2021-08-04T16:21:44Z</dcterms:modified>
</cp:coreProperties>
</file>