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20" w:type="dxa"/>
            <w:vAlign w:val="bottom"/>
            <w:gridSpan w:val="5"/>
          </w:tcPr>
          <w:p>
            <w:pPr>
              <w:jc w:val="center"/>
              <w:spacing w:after="0"/>
              <w:rPr>
                <w:sz w:val="20"/>
                <w:szCs w:val="20"/>
                <w:color w:val="auto"/>
              </w:rPr>
            </w:pPr>
            <w:r>
              <w:rPr>
                <w:rFonts w:ascii="Arial" w:cs="Arial" w:eastAsia="Arial" w:hAnsi="Arial"/>
                <w:sz w:val="22"/>
                <w:szCs w:val="22"/>
                <w:b w:val="1"/>
                <w:bCs w:val="1"/>
                <w:color w:val="auto"/>
                <w:w w:val="97"/>
              </w:rPr>
              <w:t>UNITED STATES</w:t>
            </w:r>
          </w:p>
        </w:tc>
        <w:tc>
          <w:tcPr>
            <w:tcW w:w="2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2"/>
        </w:trPr>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760" w:type="dxa"/>
            <w:vAlign w:val="bottom"/>
            <w:gridSpan w:val="9"/>
          </w:tcPr>
          <w:p>
            <w:pPr>
              <w:jc w:val="center"/>
              <w:ind w:right="2660"/>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234"/>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Washington, D.C. 20549</w:t>
            </w:r>
          </w:p>
        </w:tc>
        <w:tc>
          <w:tcPr>
            <w:tcW w:w="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5"/>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60" w:type="dxa"/>
            <w:vAlign w:val="bottom"/>
            <w:gridSpan w:val="4"/>
          </w:tcPr>
          <w:p>
            <w:pPr>
              <w:jc w:val="center"/>
              <w:ind w:right="1220"/>
              <w:spacing w:after="0"/>
              <w:rPr>
                <w:sz w:val="20"/>
                <w:szCs w:val="20"/>
                <w:color w:val="auto"/>
              </w:rPr>
            </w:pPr>
            <w:r>
              <w:rPr>
                <w:rFonts w:ascii="Arial" w:cs="Arial" w:eastAsia="Arial" w:hAnsi="Arial"/>
                <w:sz w:val="22"/>
                <w:szCs w:val="22"/>
                <w:b w:val="1"/>
                <w:bCs w:val="1"/>
                <w:color w:val="auto"/>
                <w:w w:val="99"/>
              </w:rPr>
              <w:t>FORM 10-K</w:t>
            </w: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7"/>
        </w:trPr>
        <w:tc>
          <w:tcPr>
            <w:tcW w:w="5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000" w:type="dxa"/>
            <w:vAlign w:val="bottom"/>
          </w:tcPr>
          <w:p>
            <w:pPr>
              <w:spacing w:after="0"/>
              <w:rPr>
                <w:sz w:val="24"/>
                <w:szCs w:val="24"/>
                <w:color w:val="auto"/>
              </w:rPr>
            </w:pPr>
          </w:p>
        </w:tc>
        <w:tc>
          <w:tcPr>
            <w:tcW w:w="9920" w:type="dxa"/>
            <w:vAlign w:val="bottom"/>
            <w:gridSpan w:val="10"/>
          </w:tcPr>
          <w:p>
            <w:pPr>
              <w:jc w:val="center"/>
              <w:ind w:right="92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tc>
      </w:tr>
      <w:tr>
        <w:trPr>
          <w:trHeight w:val="225"/>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For the Fiscal Year Ended December 31, 2019</w:t>
            </w:r>
          </w:p>
        </w:tc>
        <w:tc>
          <w:tcPr>
            <w:tcW w:w="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20" w:type="dxa"/>
            <w:vAlign w:val="bottom"/>
            <w:gridSpan w:val="3"/>
          </w:tcPr>
          <w:p>
            <w:pPr>
              <w:jc w:val="center"/>
              <w:ind w:right="1560"/>
              <w:spacing w:after="0"/>
              <w:rPr>
                <w:sz w:val="20"/>
                <w:szCs w:val="20"/>
                <w:color w:val="auto"/>
              </w:rPr>
            </w:pPr>
            <w:r>
              <w:rPr>
                <w:rFonts w:ascii="Arial" w:cs="Arial" w:eastAsia="Arial" w:hAnsi="Arial"/>
                <w:sz w:val="16"/>
                <w:szCs w:val="16"/>
                <w:color w:val="auto"/>
                <w:w w:val="91"/>
              </w:rPr>
              <w:t>OR</w:t>
            </w:r>
          </w:p>
        </w:tc>
        <w:tc>
          <w:tcPr>
            <w:tcW w:w="2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369"/>
        </w:trPr>
        <w:tc>
          <w:tcPr>
            <w:tcW w:w="5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1000" w:type="dxa"/>
            <w:vAlign w:val="bottom"/>
          </w:tcPr>
          <w:p>
            <w:pPr>
              <w:spacing w:after="0"/>
              <w:rPr>
                <w:sz w:val="24"/>
                <w:szCs w:val="24"/>
                <w:color w:val="auto"/>
              </w:rPr>
            </w:pPr>
          </w:p>
        </w:tc>
        <w:tc>
          <w:tcPr>
            <w:tcW w:w="9920" w:type="dxa"/>
            <w:vAlign w:val="bottom"/>
            <w:gridSpan w:val="10"/>
          </w:tcPr>
          <w:p>
            <w:pPr>
              <w:jc w:val="center"/>
              <w:ind w:right="92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225"/>
        </w:trPr>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For the Transition Period from _____ to _____</w:t>
            </w:r>
          </w:p>
        </w:tc>
        <w:tc>
          <w:tcPr>
            <w:tcW w:w="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97"/>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Commission File Number 000-30141</w:t>
            </w: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15"/>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20" w:type="dxa"/>
            <w:vAlign w:val="bottom"/>
            <w:gridSpan w:val="5"/>
          </w:tcPr>
          <w:p>
            <w:pPr>
              <w:jc w:val="center"/>
              <w:spacing w:after="0"/>
              <w:rPr>
                <w:sz w:val="20"/>
                <w:szCs w:val="20"/>
                <w:color w:val="auto"/>
              </w:rPr>
            </w:pPr>
            <w:r>
              <w:rPr>
                <w:rFonts w:ascii="Arial" w:cs="Arial" w:eastAsia="Arial" w:hAnsi="Arial"/>
                <w:sz w:val="27"/>
                <w:szCs w:val="27"/>
                <w:b w:val="1"/>
                <w:bCs w:val="1"/>
                <w:color w:val="auto"/>
              </w:rPr>
              <w:t>LIVEPERSON, INC.</w:t>
            </w: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c>
          <w:tcPr>
            <w:tcW w:w="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71"/>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gridSpan w:val="2"/>
          </w:tcPr>
          <w:p>
            <w:pPr>
              <w:jc w:val="center"/>
              <w:ind w:left="34"/>
              <w:spacing w:after="0"/>
              <w:rPr>
                <w:sz w:val="20"/>
                <w:szCs w:val="20"/>
                <w:color w:val="auto"/>
              </w:rPr>
            </w:pPr>
            <w:r>
              <w:rPr>
                <w:rFonts w:ascii="Arial" w:cs="Arial" w:eastAsia="Arial" w:hAnsi="Arial"/>
                <w:sz w:val="18"/>
                <w:szCs w:val="18"/>
                <w:b w:val="1"/>
                <w:bCs w:val="1"/>
                <w:color w:val="auto"/>
                <w:w w:val="91"/>
              </w:rPr>
              <w:t>Delaware</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120" w:type="dxa"/>
            <w:vAlign w:val="bottom"/>
            <w:gridSpan w:val="2"/>
          </w:tcPr>
          <w:p>
            <w:pPr>
              <w:jc w:val="right"/>
              <w:ind w:right="1459"/>
              <w:spacing w:after="0"/>
              <w:rPr>
                <w:sz w:val="20"/>
                <w:szCs w:val="20"/>
                <w:color w:val="auto"/>
              </w:rPr>
            </w:pPr>
            <w:r>
              <w:rPr>
                <w:rFonts w:ascii="Arial" w:cs="Arial" w:eastAsia="Arial" w:hAnsi="Arial"/>
                <w:sz w:val="18"/>
                <w:szCs w:val="18"/>
                <w:color w:val="auto"/>
              </w:rPr>
              <w:t>13-3861628</w:t>
            </w:r>
          </w:p>
        </w:tc>
        <w:tc>
          <w:tcPr>
            <w:tcW w:w="700" w:type="dxa"/>
            <w:vAlign w:val="bottom"/>
          </w:tcPr>
          <w:p>
            <w:pPr>
              <w:spacing w:after="0"/>
              <w:rPr>
                <w:sz w:val="24"/>
                <w:szCs w:val="24"/>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4"/>
        </w:trPr>
        <w:tc>
          <w:tcPr>
            <w:tcW w:w="500" w:type="dxa"/>
            <w:vAlign w:val="bottom"/>
          </w:tcPr>
          <w:p>
            <w:pPr>
              <w:spacing w:after="0"/>
              <w:rPr>
                <w:sz w:val="19"/>
                <w:szCs w:val="19"/>
                <w:color w:val="auto"/>
              </w:rPr>
            </w:pPr>
          </w:p>
        </w:tc>
        <w:tc>
          <w:tcPr>
            <w:tcW w:w="7100" w:type="dxa"/>
            <w:vAlign w:val="bottom"/>
            <w:gridSpan w:val="8"/>
          </w:tcPr>
          <w:p>
            <w:pPr>
              <w:jc w:val="center"/>
              <w:ind w:right="2700"/>
              <w:spacing w:after="0"/>
              <w:rPr>
                <w:sz w:val="20"/>
                <w:szCs w:val="20"/>
                <w:color w:val="auto"/>
              </w:rPr>
            </w:pPr>
            <w:r>
              <w:rPr>
                <w:rFonts w:ascii="Arial" w:cs="Arial" w:eastAsia="Arial" w:hAnsi="Arial"/>
                <w:sz w:val="16"/>
                <w:szCs w:val="16"/>
                <w:color w:val="auto"/>
                <w:w w:val="93"/>
              </w:rPr>
              <w:t>(State or other jurisdiction of incorporation)</w:t>
            </w:r>
          </w:p>
        </w:tc>
        <w:tc>
          <w:tcPr>
            <w:tcW w:w="3820" w:type="dxa"/>
            <w:vAlign w:val="bottom"/>
            <w:gridSpan w:val="3"/>
          </w:tcPr>
          <w:p>
            <w:pPr>
              <w:jc w:val="center"/>
              <w:ind w:right="1540"/>
              <w:spacing w:after="0"/>
              <w:rPr>
                <w:sz w:val="20"/>
                <w:szCs w:val="20"/>
                <w:color w:val="auto"/>
              </w:rPr>
            </w:pPr>
            <w:r>
              <w:rPr>
                <w:rFonts w:ascii="Arial" w:cs="Arial" w:eastAsia="Arial" w:hAnsi="Arial"/>
                <w:sz w:val="16"/>
                <w:szCs w:val="16"/>
                <w:color w:val="auto"/>
                <w:w w:val="96"/>
              </w:rPr>
              <w:t>(IRS Employer Identification No.)</w:t>
            </w:r>
          </w:p>
        </w:tc>
      </w:tr>
      <w:tr>
        <w:trPr>
          <w:trHeight w:val="438"/>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gridSpan w:val="2"/>
          </w:tcPr>
          <w:p>
            <w:pPr>
              <w:jc w:val="center"/>
              <w:ind w:left="34"/>
              <w:spacing w:after="0"/>
              <w:rPr>
                <w:sz w:val="20"/>
                <w:szCs w:val="20"/>
                <w:color w:val="auto"/>
              </w:rPr>
            </w:pPr>
            <w:r>
              <w:rPr>
                <w:rFonts w:ascii="Arial" w:cs="Arial" w:eastAsia="Arial" w:hAnsi="Arial"/>
                <w:sz w:val="18"/>
                <w:szCs w:val="18"/>
                <w:color w:val="auto"/>
                <w:w w:val="91"/>
              </w:rPr>
              <w:t>475 Tenth Avenue, 5th Floor</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80" w:type="dxa"/>
            <w:vAlign w:val="bottom"/>
            <w:gridSpan w:val="2"/>
          </w:tcPr>
          <w:p>
            <w:pPr>
              <w:jc w:val="center"/>
              <w:ind w:left="34"/>
              <w:spacing w:after="0"/>
              <w:rPr>
                <w:sz w:val="20"/>
                <w:szCs w:val="20"/>
                <w:color w:val="auto"/>
              </w:rPr>
            </w:pPr>
            <w:r>
              <w:rPr>
                <w:rFonts w:ascii="Arial" w:cs="Arial" w:eastAsia="Arial" w:hAnsi="Arial"/>
                <w:sz w:val="18"/>
                <w:szCs w:val="18"/>
                <w:color w:val="auto"/>
                <w:w w:val="95"/>
              </w:rPr>
              <w:t xml:space="preserve">New York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New York</w:t>
            </w: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120" w:type="dxa"/>
            <w:vAlign w:val="bottom"/>
            <w:gridSpan w:val="2"/>
          </w:tcPr>
          <w:p>
            <w:pPr>
              <w:jc w:val="right"/>
              <w:ind w:right="1679"/>
              <w:spacing w:after="0"/>
              <w:rPr>
                <w:sz w:val="20"/>
                <w:szCs w:val="20"/>
                <w:color w:val="auto"/>
              </w:rPr>
            </w:pPr>
            <w:r>
              <w:rPr>
                <w:rFonts w:ascii="Arial" w:cs="Arial" w:eastAsia="Arial" w:hAnsi="Arial"/>
                <w:sz w:val="18"/>
                <w:szCs w:val="18"/>
                <w:color w:val="auto"/>
              </w:rPr>
              <w:t>10018</w:t>
            </w:r>
          </w:p>
        </w:tc>
        <w:tc>
          <w:tcPr>
            <w:tcW w:w="700" w:type="dxa"/>
            <w:vAlign w:val="bottom"/>
          </w:tcPr>
          <w:p>
            <w:pPr>
              <w:spacing w:after="0"/>
              <w:rPr>
                <w:sz w:val="23"/>
                <w:szCs w:val="23"/>
                <w:color w:val="auto"/>
              </w:rPr>
            </w:pPr>
          </w:p>
        </w:tc>
      </w:tr>
      <w:tr>
        <w:trPr>
          <w:trHeight w:val="34"/>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4"/>
        </w:trPr>
        <w:tc>
          <w:tcPr>
            <w:tcW w:w="500" w:type="dxa"/>
            <w:vAlign w:val="bottom"/>
          </w:tcPr>
          <w:p>
            <w:pPr>
              <w:spacing w:after="0"/>
              <w:rPr>
                <w:sz w:val="19"/>
                <w:szCs w:val="19"/>
                <w:color w:val="auto"/>
              </w:rPr>
            </w:pPr>
          </w:p>
        </w:tc>
        <w:tc>
          <w:tcPr>
            <w:tcW w:w="7100" w:type="dxa"/>
            <w:vAlign w:val="bottom"/>
            <w:gridSpan w:val="8"/>
          </w:tcPr>
          <w:p>
            <w:pPr>
              <w:jc w:val="center"/>
              <w:ind w:right="2700"/>
              <w:spacing w:after="0"/>
              <w:rPr>
                <w:sz w:val="20"/>
                <w:szCs w:val="20"/>
                <w:color w:val="auto"/>
              </w:rPr>
            </w:pPr>
            <w:r>
              <w:rPr>
                <w:rFonts w:ascii="Arial" w:cs="Arial" w:eastAsia="Arial" w:hAnsi="Arial"/>
                <w:sz w:val="16"/>
                <w:szCs w:val="16"/>
                <w:color w:val="auto"/>
                <w:w w:val="93"/>
              </w:rPr>
              <w:t>(Address of Principal Executive Offices)</w:t>
            </w:r>
          </w:p>
        </w:tc>
        <w:tc>
          <w:tcPr>
            <w:tcW w:w="260" w:type="dxa"/>
            <w:vAlign w:val="bottom"/>
          </w:tcPr>
          <w:p>
            <w:pPr>
              <w:spacing w:after="0"/>
              <w:rPr>
                <w:sz w:val="19"/>
                <w:szCs w:val="19"/>
                <w:color w:val="auto"/>
              </w:rPr>
            </w:pPr>
          </w:p>
        </w:tc>
        <w:tc>
          <w:tcPr>
            <w:tcW w:w="3560" w:type="dxa"/>
            <w:vAlign w:val="bottom"/>
            <w:gridSpan w:val="2"/>
          </w:tcPr>
          <w:p>
            <w:pPr>
              <w:jc w:val="center"/>
              <w:ind w:right="1800"/>
              <w:spacing w:after="0"/>
              <w:rPr>
                <w:sz w:val="20"/>
                <w:szCs w:val="20"/>
                <w:color w:val="auto"/>
              </w:rPr>
            </w:pPr>
            <w:r>
              <w:rPr>
                <w:rFonts w:ascii="Arial" w:cs="Arial" w:eastAsia="Arial" w:hAnsi="Arial"/>
                <w:sz w:val="16"/>
                <w:szCs w:val="16"/>
                <w:color w:val="auto"/>
                <w:w w:val="95"/>
              </w:rPr>
              <w:t>(Zip Code)</w:t>
            </w:r>
          </w:p>
        </w:tc>
      </w:tr>
      <w:tr>
        <w:trPr>
          <w:trHeight w:val="320"/>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4"/>
          </w:tcPr>
          <w:p>
            <w:pPr>
              <w:jc w:val="center"/>
              <w:ind w:left="1271"/>
              <w:spacing w:after="0"/>
              <w:rPr>
                <w:sz w:val="20"/>
                <w:szCs w:val="20"/>
                <w:color w:val="auto"/>
              </w:rPr>
            </w:pPr>
            <w:r>
              <w:rPr>
                <w:rFonts w:ascii="Arial" w:cs="Arial" w:eastAsia="Arial" w:hAnsi="Arial"/>
                <w:sz w:val="16"/>
                <w:szCs w:val="16"/>
                <w:b w:val="1"/>
                <w:bCs w:val="1"/>
                <w:color w:val="auto"/>
                <w:w w:val="93"/>
              </w:rPr>
              <w:t>(212) 609-4200</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6"/>
        </w:trPr>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97"/>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7"/>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gridSpan w:val="2"/>
          </w:tcPr>
          <w:p>
            <w:pPr>
              <w:jc w:val="center"/>
              <w:ind w:right="1012"/>
              <w:spacing w:after="0"/>
              <w:rPr>
                <w:sz w:val="20"/>
                <w:szCs w:val="20"/>
                <w:color w:val="auto"/>
              </w:rPr>
            </w:pPr>
            <w:r>
              <w:rPr>
                <w:rFonts w:ascii="Arial" w:cs="Arial" w:eastAsia="Arial" w:hAnsi="Arial"/>
                <w:sz w:val="16"/>
                <w:szCs w:val="16"/>
                <w:color w:val="auto"/>
                <w:w w:val="90"/>
              </w:rPr>
              <w:t>Title of each class</w:t>
            </w:r>
          </w:p>
        </w:tc>
        <w:tc>
          <w:tcPr>
            <w:tcW w:w="3820" w:type="dxa"/>
            <w:vAlign w:val="bottom"/>
            <w:gridSpan w:val="5"/>
          </w:tcPr>
          <w:p>
            <w:pPr>
              <w:jc w:val="center"/>
              <w:ind w:right="60"/>
              <w:spacing w:after="0"/>
              <w:rPr>
                <w:sz w:val="20"/>
                <w:szCs w:val="20"/>
                <w:color w:val="auto"/>
              </w:rPr>
            </w:pPr>
            <w:r>
              <w:rPr>
                <w:rFonts w:ascii="Arial" w:cs="Arial" w:eastAsia="Arial" w:hAnsi="Arial"/>
                <w:sz w:val="16"/>
                <w:szCs w:val="16"/>
                <w:color w:val="auto"/>
                <w:w w:val="94"/>
              </w:rPr>
              <w:t>Trading Symbol(s)</w:t>
            </w:r>
          </w:p>
        </w:tc>
        <w:tc>
          <w:tcPr>
            <w:tcW w:w="260" w:type="dxa"/>
            <w:vAlign w:val="bottom"/>
          </w:tcPr>
          <w:p>
            <w:pPr>
              <w:spacing w:after="0"/>
              <w:rPr>
                <w:sz w:val="24"/>
                <w:szCs w:val="24"/>
                <w:color w:val="auto"/>
              </w:rPr>
            </w:pPr>
          </w:p>
        </w:tc>
        <w:tc>
          <w:tcPr>
            <w:tcW w:w="3560" w:type="dxa"/>
            <w:vAlign w:val="bottom"/>
            <w:gridSpan w:val="2"/>
          </w:tcPr>
          <w:p>
            <w:pPr>
              <w:jc w:val="center"/>
              <w:ind w:right="700"/>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71"/>
        </w:trPr>
        <w:tc>
          <w:tcPr>
            <w:tcW w:w="500" w:type="dxa"/>
            <w:vAlign w:val="bottom"/>
          </w:tcPr>
          <w:p>
            <w:pPr>
              <w:spacing w:after="0"/>
              <w:rPr>
                <w:sz w:val="23"/>
                <w:szCs w:val="23"/>
                <w:color w:val="auto"/>
              </w:rPr>
            </w:pPr>
          </w:p>
        </w:tc>
        <w:tc>
          <w:tcPr>
            <w:tcW w:w="3280" w:type="dxa"/>
            <w:vAlign w:val="bottom"/>
            <w:gridSpan w:val="3"/>
          </w:tcPr>
          <w:p>
            <w:pPr>
              <w:jc w:val="center"/>
              <w:ind w:right="12"/>
              <w:spacing w:after="0"/>
              <w:rPr>
                <w:sz w:val="20"/>
                <w:szCs w:val="20"/>
                <w:color w:val="auto"/>
              </w:rPr>
            </w:pPr>
            <w:r>
              <w:rPr>
                <w:rFonts w:ascii="Arial" w:cs="Arial" w:eastAsia="Arial" w:hAnsi="Arial"/>
                <w:sz w:val="16"/>
                <w:szCs w:val="16"/>
                <w:color w:val="auto"/>
                <w:w w:val="90"/>
              </w:rPr>
              <w:t>Common Stock, par value $0.001 per share</w:t>
            </w: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20" w:type="dxa"/>
            <w:vAlign w:val="bottom"/>
            <w:gridSpan w:val="3"/>
          </w:tcPr>
          <w:p>
            <w:pPr>
              <w:jc w:val="center"/>
              <w:ind w:right="1660"/>
              <w:spacing w:after="0"/>
              <w:rPr>
                <w:sz w:val="20"/>
                <w:szCs w:val="20"/>
                <w:color w:val="auto"/>
              </w:rPr>
            </w:pPr>
            <w:r>
              <w:rPr>
                <w:rFonts w:ascii="Arial" w:cs="Arial" w:eastAsia="Arial" w:hAnsi="Arial"/>
                <w:sz w:val="16"/>
                <w:szCs w:val="16"/>
                <w:color w:val="auto"/>
                <w:w w:val="95"/>
              </w:rPr>
              <w:t>LPSN</w:t>
            </w:r>
          </w:p>
        </w:tc>
        <w:tc>
          <w:tcPr>
            <w:tcW w:w="260" w:type="dxa"/>
            <w:vAlign w:val="bottom"/>
          </w:tcPr>
          <w:p>
            <w:pPr>
              <w:spacing w:after="0"/>
              <w:rPr>
                <w:sz w:val="23"/>
                <w:szCs w:val="23"/>
                <w:color w:val="auto"/>
              </w:rPr>
            </w:pPr>
          </w:p>
        </w:tc>
        <w:tc>
          <w:tcPr>
            <w:tcW w:w="3560" w:type="dxa"/>
            <w:vAlign w:val="bottom"/>
            <w:gridSpan w:val="2"/>
          </w:tcPr>
          <w:p>
            <w:pPr>
              <w:jc w:val="center"/>
              <w:ind w:right="680"/>
              <w:spacing w:after="0"/>
              <w:rPr>
                <w:sz w:val="20"/>
                <w:szCs w:val="20"/>
                <w:color w:val="auto"/>
              </w:rPr>
            </w:pPr>
            <w:r>
              <w:rPr>
                <w:rFonts w:ascii="Arial" w:cs="Arial" w:eastAsia="Arial" w:hAnsi="Arial"/>
                <w:sz w:val="16"/>
                <w:szCs w:val="16"/>
                <w:color w:val="auto"/>
                <w:w w:val="93"/>
              </w:rPr>
              <w:t>The Nasdaq Stock Market LLC</w:t>
            </w:r>
          </w:p>
        </w:tc>
      </w:tr>
    </w:tbl>
    <w:p>
      <w:pPr>
        <w:spacing w:after="0" w:line="127"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34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34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0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720" w:type="dxa"/>
            <w:vAlign w:val="bottom"/>
          </w:tcPr>
          <w:p>
            <w:pPr>
              <w:ind w:left="134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The aggregate market value of the voting common stock held by non-affiliates of the registrant as of June 30, 2019 (the last business day of the registrant’s most recently completed second fiscal quarter) was approximately $1,207,203,816 (computed by reference to the last reported sale price on The Nasdaq Global Select Market on that date). The registrant does not have any non-voting common stock outstanding.</w:t>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On February 24, 2020, 64,108,516 shares of the registrant’s common stock were outstanding.</w:t>
      </w:r>
    </w:p>
    <w:p>
      <w:pPr>
        <w:spacing w:after="0" w:line="10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20"/>
          </w:cols>
          <w:pgMar w:left="240" w:top="1098" w:right="23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6"/>
          <w:szCs w:val="16"/>
          <w:color w:val="auto"/>
        </w:rPr>
        <w:t>Portions of the registrant’s definitive proxy statement for the 2020 Annual Meeting of Stockholders, which we plan to file subsequent to the date hereof, are incorporated by reference into Items 10, 11, 12, 13 and 14 of Part III of this Form 10-K.</w:t>
      </w:r>
    </w:p>
    <w:p>
      <w:pPr>
        <w:sectPr>
          <w:pgSz w:w="11900" w:h="16838" w:orient="portrait"/>
          <w:cols w:equalWidth="0" w:num="1">
            <w:col w:w="11400"/>
          </w:cols>
          <w:pgMar w:left="240" w:top="99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rPr>
              <w:t>LIVEPERSON, INC.</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9900" w:type="dxa"/>
            <w:vAlign w:val="bottom"/>
          </w:tcPr>
          <w:p>
            <w:pPr>
              <w:jc w:val="center"/>
              <w:spacing w:after="0"/>
              <w:rPr>
                <w:sz w:val="20"/>
                <w:szCs w:val="20"/>
                <w:color w:val="auto"/>
              </w:rPr>
            </w:pPr>
            <w:r>
              <w:rPr>
                <w:rFonts w:ascii="Arial" w:cs="Arial" w:eastAsia="Arial" w:hAnsi="Arial"/>
                <w:sz w:val="18"/>
                <w:szCs w:val="18"/>
                <w:b w:val="1"/>
                <w:bCs w:val="1"/>
                <w:color w:val="auto"/>
                <w:w w:val="98"/>
              </w:rPr>
              <w:t>2019 ANNUAL REPORT ON FORM 10-K</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p>
        </w:tc>
        <w:tc>
          <w:tcPr>
            <w:tcW w:w="9900" w:type="dxa"/>
            <w:vAlign w:val="bottom"/>
          </w:tcPr>
          <w:p>
            <w:pPr>
              <w:jc w:val="center"/>
              <w:ind w:left="18"/>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7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800" w:type="dxa"/>
            <w:vAlign w:val="bottom"/>
            <w:gridSpan w:val="6"/>
          </w:tcPr>
          <w:p>
            <w:pPr>
              <w:ind w:left="240"/>
              <w:spacing w:after="0"/>
              <w:rPr>
                <w:sz w:val="20"/>
                <w:szCs w:val="20"/>
                <w:color w:val="auto"/>
              </w:rPr>
            </w:pPr>
            <w:r>
              <w:rPr>
                <w:rFonts w:ascii="Arial" w:cs="Arial" w:eastAsia="Arial" w:hAnsi="Arial"/>
                <w:sz w:val="16"/>
                <w:szCs w:val="16"/>
                <w:b w:val="1"/>
                <w:bCs w:val="1"/>
                <w:color w:val="auto"/>
              </w:rPr>
              <w:t>Page</w:t>
            </w:r>
          </w:p>
        </w:tc>
      </w:tr>
      <w:tr>
        <w:trPr>
          <w:trHeight w:val="33"/>
        </w:trPr>
        <w:tc>
          <w:tcPr>
            <w:tcW w:w="720" w:type="dxa"/>
            <w:vAlign w:val="bottom"/>
            <w:tcBorders>
              <w:bottom w:val="single" w:sz="8" w:color="CCFFCC"/>
            </w:tcBorders>
          </w:tcPr>
          <w:p>
            <w:pPr>
              <w:spacing w:after="0"/>
              <w:rPr>
                <w:sz w:val="2"/>
                <w:szCs w:val="2"/>
                <w:color w:val="auto"/>
              </w:rPr>
            </w:pPr>
          </w:p>
        </w:tc>
        <w:tc>
          <w:tcPr>
            <w:tcW w:w="9900" w:type="dxa"/>
            <w:vAlign w:val="bottom"/>
            <w:tcBorders>
              <w:bottom w:val="single" w:sz="8" w:color="CCFFC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720" w:type="dxa"/>
            <w:vAlign w:val="bottom"/>
            <w:tcBorders>
              <w:bottom w:val="single" w:sz="8" w:color="CCFFCC"/>
            </w:tcBorders>
            <w:shd w:val="clear" w:color="auto" w:fill="CCFFCC"/>
          </w:tcPr>
          <w:p>
            <w:pPr>
              <w:spacing w:after="0"/>
              <w:rPr>
                <w:sz w:val="20"/>
                <w:szCs w:val="20"/>
                <w:color w:val="auto"/>
              </w:rPr>
            </w:pPr>
          </w:p>
        </w:tc>
        <w:tc>
          <w:tcPr>
            <w:tcW w:w="9900" w:type="dxa"/>
            <w:vAlign w:val="bottom"/>
            <w:tcBorders>
              <w:bottom w:val="single" w:sz="8" w:color="CCFFCC"/>
            </w:tcBorders>
            <w:shd w:val="clear" w:color="auto" w:fill="CCFFCC"/>
          </w:tcPr>
          <w:p>
            <w:pPr>
              <w:jc w:val="center"/>
              <w:ind w:left="818"/>
              <w:spacing w:after="0"/>
              <w:rPr>
                <w:sz w:val="20"/>
                <w:szCs w:val="20"/>
                <w:color w:val="auto"/>
              </w:rPr>
            </w:pPr>
            <w:r>
              <w:rPr>
                <w:rFonts w:ascii="Arial" w:cs="Arial" w:eastAsia="Arial" w:hAnsi="Arial"/>
                <w:sz w:val="16"/>
                <w:szCs w:val="16"/>
                <w:b w:val="1"/>
                <w:bCs w:val="1"/>
                <w:color w:val="auto"/>
                <w:w w:val="99"/>
              </w:rPr>
              <w:t>PART I</w:t>
            </w:r>
          </w:p>
        </w:tc>
        <w:tc>
          <w:tcPr>
            <w:tcW w:w="52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w:t>
            </w:r>
          </w:p>
        </w:tc>
        <w:tc>
          <w:tcPr>
            <w:tcW w:w="9900" w:type="dxa"/>
            <w:vAlign w:val="bottom"/>
          </w:tcPr>
          <w:p>
            <w:pPr>
              <w:ind w:left="120"/>
              <w:spacing w:after="0"/>
              <w:rPr>
                <w:sz w:val="20"/>
                <w:szCs w:val="20"/>
                <w:color w:val="auto"/>
              </w:rPr>
            </w:pPr>
            <w:r>
              <w:rPr>
                <w:rFonts w:ascii="Arial" w:cs="Arial" w:eastAsia="Arial" w:hAnsi="Arial"/>
                <w:sz w:val="16"/>
                <w:szCs w:val="16"/>
                <w:color w:val="auto"/>
              </w:rPr>
              <w:t>Business</w:t>
            </w:r>
          </w:p>
        </w:tc>
        <w:tc>
          <w:tcPr>
            <w:tcW w:w="780" w:type="dxa"/>
            <w:vAlign w:val="bottom"/>
            <w:gridSpan w:val="5"/>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1A.</w:t>
            </w:r>
          </w:p>
        </w:tc>
        <w:tc>
          <w:tcPr>
            <w:tcW w:w="9900" w:type="dxa"/>
            <w:vAlign w:val="bottom"/>
          </w:tcPr>
          <w:p>
            <w:pPr>
              <w:ind w:left="120"/>
              <w:spacing w:after="0"/>
              <w:rPr>
                <w:sz w:val="20"/>
                <w:szCs w:val="20"/>
                <w:color w:val="auto"/>
              </w:rPr>
            </w:pPr>
            <w:r>
              <w:rPr>
                <w:rFonts w:ascii="Arial" w:cs="Arial" w:eastAsia="Arial" w:hAnsi="Arial"/>
                <w:sz w:val="16"/>
                <w:szCs w:val="16"/>
                <w:color w:val="auto"/>
              </w:rPr>
              <w:t>Risk Factors</w:t>
            </w:r>
          </w:p>
        </w:tc>
        <w:tc>
          <w:tcPr>
            <w:tcW w:w="780" w:type="dxa"/>
            <w:vAlign w:val="bottom"/>
            <w:gridSpan w:val="5"/>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1B.</w:t>
            </w:r>
          </w:p>
        </w:tc>
        <w:tc>
          <w:tcPr>
            <w:tcW w:w="9900" w:type="dxa"/>
            <w:vAlign w:val="bottom"/>
          </w:tcPr>
          <w:p>
            <w:pPr>
              <w:ind w:left="120"/>
              <w:spacing w:after="0"/>
              <w:rPr>
                <w:sz w:val="20"/>
                <w:szCs w:val="20"/>
                <w:color w:val="auto"/>
              </w:rPr>
            </w:pPr>
            <w:r>
              <w:rPr>
                <w:rFonts w:ascii="Arial" w:cs="Arial" w:eastAsia="Arial" w:hAnsi="Arial"/>
                <w:sz w:val="16"/>
                <w:szCs w:val="16"/>
                <w:color w:val="auto"/>
              </w:rPr>
              <w:t>Unresolved Staff Comments</w:t>
            </w:r>
          </w:p>
        </w:tc>
        <w:tc>
          <w:tcPr>
            <w:tcW w:w="780" w:type="dxa"/>
            <w:vAlign w:val="bottom"/>
            <w:gridSpan w:val="5"/>
          </w:tcPr>
          <w:p>
            <w:pPr>
              <w:jc w:val="right"/>
              <w:spacing w:after="0"/>
              <w:rPr>
                <w:rFonts w:ascii="Arial" w:cs="Arial" w:eastAsia="Arial" w:hAnsi="Arial"/>
                <w:sz w:val="16"/>
                <w:szCs w:val="16"/>
                <w:color w:val="0000EE"/>
              </w:rPr>
            </w:pPr>
            <w:hyperlink w:anchor="page44">
              <w:r>
                <w:rPr>
                  <w:rFonts w:ascii="Arial" w:cs="Arial" w:eastAsia="Arial" w:hAnsi="Arial"/>
                  <w:sz w:val="16"/>
                  <w:szCs w:val="16"/>
                  <w:color w:val="0000EE"/>
                </w:rPr>
                <w:t>40</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2.</w:t>
            </w:r>
          </w:p>
        </w:tc>
        <w:tc>
          <w:tcPr>
            <w:tcW w:w="9900" w:type="dxa"/>
            <w:vAlign w:val="bottom"/>
          </w:tcPr>
          <w:p>
            <w:pPr>
              <w:ind w:left="120"/>
              <w:spacing w:after="0"/>
              <w:rPr>
                <w:sz w:val="20"/>
                <w:szCs w:val="20"/>
                <w:color w:val="auto"/>
              </w:rPr>
            </w:pPr>
            <w:r>
              <w:rPr>
                <w:rFonts w:ascii="Arial" w:cs="Arial" w:eastAsia="Arial" w:hAnsi="Arial"/>
                <w:sz w:val="16"/>
                <w:szCs w:val="16"/>
                <w:color w:val="auto"/>
              </w:rPr>
              <w:t>Properties</w:t>
            </w:r>
          </w:p>
        </w:tc>
        <w:tc>
          <w:tcPr>
            <w:tcW w:w="780" w:type="dxa"/>
            <w:vAlign w:val="bottom"/>
            <w:gridSpan w:val="5"/>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3.</w:t>
            </w:r>
          </w:p>
        </w:tc>
        <w:tc>
          <w:tcPr>
            <w:tcW w:w="9900" w:type="dxa"/>
            <w:vAlign w:val="bottom"/>
          </w:tcPr>
          <w:p>
            <w:pPr>
              <w:ind w:left="120"/>
              <w:spacing w:after="0"/>
              <w:rPr>
                <w:sz w:val="20"/>
                <w:szCs w:val="20"/>
                <w:color w:val="auto"/>
              </w:rPr>
            </w:pPr>
            <w:r>
              <w:rPr>
                <w:rFonts w:ascii="Arial" w:cs="Arial" w:eastAsia="Arial" w:hAnsi="Arial"/>
                <w:sz w:val="16"/>
                <w:szCs w:val="16"/>
                <w:color w:val="auto"/>
              </w:rPr>
              <w:t>Legal Proceedings</w:t>
            </w:r>
          </w:p>
        </w:tc>
        <w:tc>
          <w:tcPr>
            <w:tcW w:w="780" w:type="dxa"/>
            <w:vAlign w:val="bottom"/>
            <w:gridSpan w:val="5"/>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4.</w:t>
            </w:r>
          </w:p>
        </w:tc>
        <w:tc>
          <w:tcPr>
            <w:tcW w:w="9900" w:type="dxa"/>
            <w:vAlign w:val="bottom"/>
          </w:tcPr>
          <w:p>
            <w:pPr>
              <w:ind w:left="120"/>
              <w:spacing w:after="0"/>
              <w:rPr>
                <w:sz w:val="20"/>
                <w:szCs w:val="20"/>
                <w:color w:val="auto"/>
              </w:rPr>
            </w:pPr>
            <w:r>
              <w:rPr>
                <w:rFonts w:ascii="Arial" w:cs="Arial" w:eastAsia="Arial" w:hAnsi="Arial"/>
                <w:sz w:val="16"/>
                <w:szCs w:val="16"/>
                <w:color w:val="auto"/>
              </w:rPr>
              <w:t>Mine Safety Disclosures</w:t>
            </w:r>
          </w:p>
        </w:tc>
        <w:tc>
          <w:tcPr>
            <w:tcW w:w="780" w:type="dxa"/>
            <w:vAlign w:val="bottom"/>
            <w:gridSpan w:val="5"/>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20" w:type="dxa"/>
            <w:vAlign w:val="bottom"/>
            <w:shd w:val="clear" w:color="auto" w:fill="CCFFCC"/>
          </w:tcPr>
          <w:p>
            <w:pPr>
              <w:spacing w:after="0"/>
              <w:rPr>
                <w:sz w:val="23"/>
                <w:szCs w:val="23"/>
                <w:color w:val="auto"/>
              </w:rPr>
            </w:pPr>
          </w:p>
        </w:tc>
        <w:tc>
          <w:tcPr>
            <w:tcW w:w="9900" w:type="dxa"/>
            <w:vAlign w:val="bottom"/>
            <w:shd w:val="clear" w:color="auto" w:fill="CCFFCC"/>
          </w:tcPr>
          <w:p>
            <w:pPr>
              <w:spacing w:after="0"/>
              <w:rPr>
                <w:sz w:val="23"/>
                <w:szCs w:val="23"/>
                <w:color w:val="auto"/>
              </w:rPr>
            </w:pPr>
          </w:p>
        </w:tc>
        <w:tc>
          <w:tcPr>
            <w:tcW w:w="52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5.</w:t>
            </w:r>
          </w:p>
        </w:tc>
        <w:tc>
          <w:tcPr>
            <w:tcW w:w="9900" w:type="dxa"/>
            <w:vAlign w:val="bottom"/>
          </w:tcPr>
          <w:p>
            <w:pPr>
              <w:ind w:left="12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780" w:type="dxa"/>
            <w:vAlign w:val="bottom"/>
            <w:gridSpan w:val="5"/>
          </w:tcPr>
          <w:p>
            <w:pPr>
              <w:jc w:val="right"/>
              <w:spacing w:after="0"/>
              <w:rPr>
                <w:rFonts w:ascii="Arial" w:cs="Arial" w:eastAsia="Arial" w:hAnsi="Arial"/>
                <w:sz w:val="16"/>
                <w:szCs w:val="16"/>
                <w:color w:val="0000EE"/>
              </w:rPr>
            </w:pPr>
            <w:hyperlink w:anchor="page45">
              <w:r>
                <w:rPr>
                  <w:rFonts w:ascii="Arial" w:cs="Arial" w:eastAsia="Arial" w:hAnsi="Arial"/>
                  <w:sz w:val="16"/>
                  <w:szCs w:val="16"/>
                  <w:color w:val="0000EE"/>
                </w:rPr>
                <w:t>41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6.</w:t>
            </w:r>
          </w:p>
        </w:tc>
        <w:tc>
          <w:tcPr>
            <w:tcW w:w="9900" w:type="dxa"/>
            <w:vAlign w:val="bottom"/>
          </w:tcPr>
          <w:p>
            <w:pPr>
              <w:ind w:left="120"/>
              <w:spacing w:after="0"/>
              <w:rPr>
                <w:sz w:val="20"/>
                <w:szCs w:val="20"/>
                <w:color w:val="auto"/>
              </w:rPr>
            </w:pPr>
            <w:r>
              <w:rPr>
                <w:rFonts w:ascii="Arial" w:cs="Arial" w:eastAsia="Arial" w:hAnsi="Arial"/>
                <w:sz w:val="16"/>
                <w:szCs w:val="16"/>
                <w:color w:val="auto"/>
              </w:rPr>
              <w:t>Selected Consolidated Financial Data</w:t>
            </w:r>
          </w:p>
        </w:tc>
        <w:tc>
          <w:tcPr>
            <w:tcW w:w="780" w:type="dxa"/>
            <w:vAlign w:val="bottom"/>
            <w:gridSpan w:val="5"/>
          </w:tcPr>
          <w:p>
            <w:pPr>
              <w:jc w:val="right"/>
              <w:spacing w:after="0"/>
              <w:rPr>
                <w:rFonts w:ascii="Arial" w:cs="Arial" w:eastAsia="Arial" w:hAnsi="Arial"/>
                <w:sz w:val="16"/>
                <w:szCs w:val="16"/>
                <w:color w:val="0000EE"/>
              </w:rPr>
            </w:pPr>
            <w:hyperlink w:anchor="page48">
              <w:r>
                <w:rPr>
                  <w:rFonts w:ascii="Arial" w:cs="Arial" w:eastAsia="Arial" w:hAnsi="Arial"/>
                  <w:sz w:val="16"/>
                  <w:szCs w:val="16"/>
                  <w:color w:val="0000EE"/>
                </w:rPr>
                <w:t>44</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7.</w:t>
            </w:r>
          </w:p>
        </w:tc>
        <w:tc>
          <w:tcPr>
            <w:tcW w:w="9900" w:type="dxa"/>
            <w:vAlign w:val="bottom"/>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780" w:type="dxa"/>
            <w:vAlign w:val="bottom"/>
            <w:gridSpan w:val="5"/>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47</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7A.</w:t>
            </w:r>
          </w:p>
        </w:tc>
        <w:tc>
          <w:tcPr>
            <w:tcW w:w="9900" w:type="dxa"/>
            <w:vAlign w:val="bottom"/>
          </w:tcPr>
          <w:p>
            <w:pPr>
              <w:ind w:left="120"/>
              <w:spacing w:after="0"/>
              <w:rPr>
                <w:sz w:val="20"/>
                <w:szCs w:val="20"/>
                <w:color w:val="auto"/>
              </w:rPr>
            </w:pPr>
            <w:r>
              <w:rPr>
                <w:rFonts w:ascii="Arial" w:cs="Arial" w:eastAsia="Arial" w:hAnsi="Arial"/>
                <w:sz w:val="16"/>
                <w:szCs w:val="16"/>
                <w:color w:val="auto"/>
              </w:rPr>
              <w:t>Quantitative and Qualitative Disclosures About Market Risk</w:t>
            </w:r>
          </w:p>
        </w:tc>
        <w:tc>
          <w:tcPr>
            <w:tcW w:w="780" w:type="dxa"/>
            <w:vAlign w:val="bottom"/>
            <w:gridSpan w:val="5"/>
          </w:tcPr>
          <w:p>
            <w:pPr>
              <w:jc w:val="right"/>
              <w:spacing w:after="0"/>
              <w:rPr>
                <w:rFonts w:ascii="Arial" w:cs="Arial" w:eastAsia="Arial" w:hAnsi="Arial"/>
                <w:sz w:val="16"/>
                <w:szCs w:val="16"/>
                <w:color w:val="0000EE"/>
              </w:rPr>
            </w:pPr>
            <w:hyperlink w:anchor="page69">
              <w:r>
                <w:rPr>
                  <w:rFonts w:ascii="Arial" w:cs="Arial" w:eastAsia="Arial" w:hAnsi="Arial"/>
                  <w:sz w:val="16"/>
                  <w:szCs w:val="16"/>
                  <w:color w:val="0000EE"/>
                </w:rPr>
                <w:t>65</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8.</w:t>
            </w:r>
          </w:p>
        </w:tc>
        <w:tc>
          <w:tcPr>
            <w:tcW w:w="9900" w:type="dxa"/>
            <w:vAlign w:val="bottom"/>
          </w:tcPr>
          <w:p>
            <w:pPr>
              <w:ind w:left="120"/>
              <w:spacing w:after="0"/>
              <w:rPr>
                <w:sz w:val="20"/>
                <w:szCs w:val="20"/>
                <w:color w:val="auto"/>
              </w:rPr>
            </w:pPr>
            <w:r>
              <w:rPr>
                <w:rFonts w:ascii="Arial" w:cs="Arial" w:eastAsia="Arial" w:hAnsi="Arial"/>
                <w:sz w:val="16"/>
                <w:szCs w:val="16"/>
                <w:color w:val="auto"/>
              </w:rPr>
              <w:t>Consolidated Financial Statements and Supplementary Data</w:t>
            </w:r>
          </w:p>
        </w:tc>
        <w:tc>
          <w:tcPr>
            <w:tcW w:w="780" w:type="dxa"/>
            <w:vAlign w:val="bottom"/>
            <w:gridSpan w:val="5"/>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67</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w:t>
            </w:r>
          </w:p>
        </w:tc>
        <w:tc>
          <w:tcPr>
            <w:tcW w:w="9900" w:type="dxa"/>
            <w:vAlign w:val="bottom"/>
          </w:tcPr>
          <w:p>
            <w:pPr>
              <w:ind w:left="1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780" w:type="dxa"/>
            <w:vAlign w:val="bottom"/>
            <w:gridSpan w:val="5"/>
          </w:tcPr>
          <w:p>
            <w:pPr>
              <w:jc w:val="right"/>
              <w:spacing w:after="0"/>
              <w:rPr>
                <w:rFonts w:ascii="Arial" w:cs="Arial" w:eastAsia="Arial" w:hAnsi="Arial"/>
                <w:sz w:val="16"/>
                <w:szCs w:val="16"/>
                <w:color w:val="0000EE"/>
              </w:rPr>
            </w:pPr>
            <w:hyperlink w:anchor="page112">
              <w:r>
                <w:rPr>
                  <w:rFonts w:ascii="Arial" w:cs="Arial" w:eastAsia="Arial" w:hAnsi="Arial"/>
                  <w:sz w:val="16"/>
                  <w:szCs w:val="16"/>
                  <w:color w:val="0000EE"/>
                </w:rPr>
                <w:t>108</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9A.</w:t>
            </w:r>
          </w:p>
        </w:tc>
        <w:tc>
          <w:tcPr>
            <w:tcW w:w="9900" w:type="dxa"/>
            <w:vAlign w:val="bottom"/>
          </w:tcPr>
          <w:p>
            <w:pPr>
              <w:ind w:left="120"/>
              <w:spacing w:after="0"/>
              <w:rPr>
                <w:sz w:val="20"/>
                <w:szCs w:val="20"/>
                <w:color w:val="auto"/>
              </w:rPr>
            </w:pPr>
            <w:r>
              <w:rPr>
                <w:rFonts w:ascii="Arial" w:cs="Arial" w:eastAsia="Arial" w:hAnsi="Arial"/>
                <w:sz w:val="16"/>
                <w:szCs w:val="16"/>
                <w:color w:val="auto"/>
              </w:rPr>
              <w:t>Controls and Procedures</w:t>
            </w:r>
          </w:p>
        </w:tc>
        <w:tc>
          <w:tcPr>
            <w:tcW w:w="780" w:type="dxa"/>
            <w:vAlign w:val="bottom"/>
            <w:gridSpan w:val="5"/>
          </w:tcPr>
          <w:p>
            <w:pPr>
              <w:jc w:val="right"/>
              <w:spacing w:after="0"/>
              <w:rPr>
                <w:rFonts w:ascii="Arial" w:cs="Arial" w:eastAsia="Arial" w:hAnsi="Arial"/>
                <w:sz w:val="16"/>
                <w:szCs w:val="16"/>
                <w:color w:val="0000EE"/>
              </w:rPr>
            </w:pPr>
            <w:hyperlink w:anchor="page112">
              <w:r>
                <w:rPr>
                  <w:rFonts w:ascii="Arial" w:cs="Arial" w:eastAsia="Arial" w:hAnsi="Arial"/>
                  <w:sz w:val="16"/>
                  <w:szCs w:val="16"/>
                  <w:color w:val="0000EE"/>
                </w:rPr>
                <w:t>108</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9B.</w:t>
            </w:r>
          </w:p>
        </w:tc>
        <w:tc>
          <w:tcPr>
            <w:tcW w:w="9900" w:type="dxa"/>
            <w:vAlign w:val="bottom"/>
          </w:tcPr>
          <w:p>
            <w:pPr>
              <w:ind w:left="120"/>
              <w:spacing w:after="0"/>
              <w:rPr>
                <w:sz w:val="20"/>
                <w:szCs w:val="20"/>
                <w:color w:val="auto"/>
              </w:rPr>
            </w:pPr>
            <w:r>
              <w:rPr>
                <w:rFonts w:ascii="Arial" w:cs="Arial" w:eastAsia="Arial" w:hAnsi="Arial"/>
                <w:sz w:val="16"/>
                <w:szCs w:val="16"/>
                <w:color w:val="auto"/>
              </w:rPr>
              <w:t>Other Information</w:t>
            </w:r>
          </w:p>
        </w:tc>
        <w:tc>
          <w:tcPr>
            <w:tcW w:w="780" w:type="dxa"/>
            <w:vAlign w:val="bottom"/>
            <w:gridSpan w:val="5"/>
          </w:tcPr>
          <w:p>
            <w:pPr>
              <w:jc w:val="right"/>
              <w:spacing w:after="0"/>
              <w:rPr>
                <w:rFonts w:ascii="Arial" w:cs="Arial" w:eastAsia="Arial" w:hAnsi="Arial"/>
                <w:sz w:val="16"/>
                <w:szCs w:val="16"/>
                <w:color w:val="0000EE"/>
              </w:rPr>
            </w:pPr>
            <w:hyperlink w:anchor="page114">
              <w:r>
                <w:rPr>
                  <w:rFonts w:ascii="Arial" w:cs="Arial" w:eastAsia="Arial" w:hAnsi="Arial"/>
                  <w:sz w:val="16"/>
                  <w:szCs w:val="16"/>
                  <w:color w:val="0000EE"/>
                </w:rPr>
                <w:t>110</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III</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10.</w:t>
            </w:r>
          </w:p>
        </w:tc>
        <w:tc>
          <w:tcPr>
            <w:tcW w:w="9900" w:type="dxa"/>
            <w:vAlign w:val="bottom"/>
          </w:tcPr>
          <w:p>
            <w:pPr>
              <w:ind w:left="120"/>
              <w:spacing w:after="0"/>
              <w:rPr>
                <w:sz w:val="20"/>
                <w:szCs w:val="20"/>
                <w:color w:val="auto"/>
              </w:rPr>
            </w:pPr>
            <w:r>
              <w:rPr>
                <w:rFonts w:ascii="Arial" w:cs="Arial" w:eastAsia="Arial" w:hAnsi="Arial"/>
                <w:sz w:val="16"/>
                <w:szCs w:val="16"/>
                <w:color w:val="auto"/>
              </w:rPr>
              <w:t>Directors, Executive Officers and Corporate Governance</w:t>
            </w:r>
          </w:p>
        </w:tc>
        <w:tc>
          <w:tcPr>
            <w:tcW w:w="780" w:type="dxa"/>
            <w:vAlign w:val="bottom"/>
            <w:gridSpan w:val="5"/>
          </w:tcPr>
          <w:p>
            <w:pPr>
              <w:jc w:val="right"/>
              <w:spacing w:after="0"/>
              <w:rPr>
                <w:rFonts w:ascii="Arial" w:cs="Arial" w:eastAsia="Arial" w:hAnsi="Arial"/>
                <w:sz w:val="16"/>
                <w:szCs w:val="16"/>
                <w:color w:val="0000EE"/>
              </w:rPr>
            </w:pPr>
            <w:hyperlink w:anchor="page114">
              <w:r>
                <w:rPr>
                  <w:rFonts w:ascii="Arial" w:cs="Arial" w:eastAsia="Arial" w:hAnsi="Arial"/>
                  <w:sz w:val="16"/>
                  <w:szCs w:val="16"/>
                  <w:color w:val="0000EE"/>
                </w:rPr>
                <w:t>110</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11.</w:t>
            </w:r>
          </w:p>
        </w:tc>
        <w:tc>
          <w:tcPr>
            <w:tcW w:w="9900" w:type="dxa"/>
            <w:vAlign w:val="bottom"/>
          </w:tcPr>
          <w:p>
            <w:pPr>
              <w:ind w:left="120"/>
              <w:spacing w:after="0"/>
              <w:rPr>
                <w:sz w:val="20"/>
                <w:szCs w:val="20"/>
                <w:color w:val="auto"/>
              </w:rPr>
            </w:pPr>
            <w:r>
              <w:rPr>
                <w:rFonts w:ascii="Arial" w:cs="Arial" w:eastAsia="Arial" w:hAnsi="Arial"/>
                <w:sz w:val="16"/>
                <w:szCs w:val="16"/>
                <w:color w:val="auto"/>
              </w:rPr>
              <w:t>Executive Compensation</w:t>
            </w:r>
          </w:p>
        </w:tc>
        <w:tc>
          <w:tcPr>
            <w:tcW w:w="780" w:type="dxa"/>
            <w:vAlign w:val="bottom"/>
            <w:gridSpan w:val="5"/>
          </w:tcPr>
          <w:p>
            <w:pPr>
              <w:jc w:val="right"/>
              <w:spacing w:after="0"/>
              <w:rPr>
                <w:rFonts w:ascii="Arial" w:cs="Arial" w:eastAsia="Arial" w:hAnsi="Arial"/>
                <w:sz w:val="16"/>
                <w:szCs w:val="16"/>
                <w:color w:val="0000EE"/>
              </w:rPr>
            </w:pPr>
            <w:hyperlink w:anchor="page114">
              <w:r>
                <w:rPr>
                  <w:rFonts w:ascii="Arial" w:cs="Arial" w:eastAsia="Arial" w:hAnsi="Arial"/>
                  <w:sz w:val="16"/>
                  <w:szCs w:val="16"/>
                  <w:color w:val="0000EE"/>
                </w:rPr>
                <w:t>110</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12.</w:t>
            </w:r>
          </w:p>
        </w:tc>
        <w:tc>
          <w:tcPr>
            <w:tcW w:w="9900" w:type="dxa"/>
            <w:vAlign w:val="bottom"/>
          </w:tcPr>
          <w:p>
            <w:pPr>
              <w:ind w:left="12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780" w:type="dxa"/>
            <w:vAlign w:val="bottom"/>
            <w:gridSpan w:val="5"/>
          </w:tcPr>
          <w:p>
            <w:pPr>
              <w:jc w:val="right"/>
              <w:spacing w:after="0"/>
              <w:rPr>
                <w:rFonts w:ascii="Arial" w:cs="Arial" w:eastAsia="Arial" w:hAnsi="Arial"/>
                <w:sz w:val="16"/>
                <w:szCs w:val="16"/>
                <w:color w:val="0000EE"/>
              </w:rPr>
            </w:pPr>
            <w:hyperlink w:anchor="page114">
              <w:r>
                <w:rPr>
                  <w:rFonts w:ascii="Arial" w:cs="Arial" w:eastAsia="Arial" w:hAnsi="Arial"/>
                  <w:sz w:val="16"/>
                  <w:szCs w:val="16"/>
                  <w:color w:val="0000EE"/>
                </w:rPr>
                <w:t>110</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13.</w:t>
            </w:r>
          </w:p>
        </w:tc>
        <w:tc>
          <w:tcPr>
            <w:tcW w:w="9900" w:type="dxa"/>
            <w:vAlign w:val="bottom"/>
          </w:tcPr>
          <w:p>
            <w:pPr>
              <w:ind w:left="12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780" w:type="dxa"/>
            <w:vAlign w:val="bottom"/>
            <w:gridSpan w:val="5"/>
          </w:tcPr>
          <w:p>
            <w:pPr>
              <w:jc w:val="right"/>
              <w:spacing w:after="0"/>
              <w:rPr>
                <w:rFonts w:ascii="Arial" w:cs="Arial" w:eastAsia="Arial" w:hAnsi="Arial"/>
                <w:sz w:val="16"/>
                <w:szCs w:val="16"/>
                <w:color w:val="0000EE"/>
              </w:rPr>
            </w:pPr>
            <w:hyperlink w:anchor="page115">
              <w:r>
                <w:rPr>
                  <w:rFonts w:ascii="Arial" w:cs="Arial" w:eastAsia="Arial" w:hAnsi="Arial"/>
                  <w:sz w:val="16"/>
                  <w:szCs w:val="16"/>
                  <w:color w:val="0000EE"/>
                </w:rPr>
                <w:t>111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14.</w:t>
            </w:r>
          </w:p>
        </w:tc>
        <w:tc>
          <w:tcPr>
            <w:tcW w:w="9900" w:type="dxa"/>
            <w:vAlign w:val="bottom"/>
          </w:tcPr>
          <w:p>
            <w:pPr>
              <w:ind w:left="120"/>
              <w:spacing w:after="0"/>
              <w:rPr>
                <w:sz w:val="20"/>
                <w:szCs w:val="20"/>
                <w:color w:val="auto"/>
              </w:rPr>
            </w:pPr>
            <w:r>
              <w:rPr>
                <w:rFonts w:ascii="Arial" w:cs="Arial" w:eastAsia="Arial" w:hAnsi="Arial"/>
                <w:sz w:val="16"/>
                <w:szCs w:val="16"/>
                <w:color w:val="auto"/>
              </w:rPr>
              <w:t>Principal Accountant Fees and Services</w:t>
            </w:r>
          </w:p>
        </w:tc>
        <w:tc>
          <w:tcPr>
            <w:tcW w:w="780" w:type="dxa"/>
            <w:vAlign w:val="bottom"/>
            <w:gridSpan w:val="5"/>
          </w:tcPr>
          <w:p>
            <w:pPr>
              <w:jc w:val="right"/>
              <w:spacing w:after="0"/>
              <w:rPr>
                <w:rFonts w:ascii="Arial" w:cs="Arial" w:eastAsia="Arial" w:hAnsi="Arial"/>
                <w:sz w:val="16"/>
                <w:szCs w:val="16"/>
                <w:color w:val="0000EE"/>
              </w:rPr>
            </w:pPr>
            <w:hyperlink w:anchor="page115">
              <w:r>
                <w:rPr>
                  <w:rFonts w:ascii="Arial" w:cs="Arial" w:eastAsia="Arial" w:hAnsi="Arial"/>
                  <w:sz w:val="16"/>
                  <w:szCs w:val="16"/>
                  <w:color w:val="0000EE"/>
                </w:rPr>
                <w:t>111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9900" w:type="dxa"/>
            <w:vAlign w:val="bottom"/>
          </w:tcPr>
          <w:p>
            <w:pPr>
              <w:jc w:val="center"/>
              <w:ind w:left="818"/>
              <w:spacing w:after="0"/>
              <w:rPr>
                <w:sz w:val="20"/>
                <w:szCs w:val="20"/>
                <w:color w:val="auto"/>
              </w:rPr>
            </w:pPr>
            <w:r>
              <w:rPr>
                <w:rFonts w:ascii="Arial" w:cs="Arial" w:eastAsia="Arial" w:hAnsi="Arial"/>
                <w:sz w:val="16"/>
                <w:szCs w:val="16"/>
                <w:b w:val="1"/>
                <w:bCs w:val="1"/>
                <w:color w:val="auto"/>
              </w:rPr>
              <w:t>PART IV</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9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15.</w:t>
            </w:r>
          </w:p>
        </w:tc>
        <w:tc>
          <w:tcPr>
            <w:tcW w:w="9900" w:type="dxa"/>
            <w:vAlign w:val="bottom"/>
          </w:tcPr>
          <w:p>
            <w:pPr>
              <w:ind w:left="120"/>
              <w:spacing w:after="0"/>
              <w:rPr>
                <w:sz w:val="20"/>
                <w:szCs w:val="20"/>
                <w:color w:val="auto"/>
              </w:rPr>
            </w:pPr>
            <w:r>
              <w:rPr>
                <w:rFonts w:ascii="Arial" w:cs="Arial" w:eastAsia="Arial" w:hAnsi="Arial"/>
                <w:sz w:val="16"/>
                <w:szCs w:val="16"/>
                <w:color w:val="auto"/>
              </w:rPr>
              <w:t>Exhibits and Financial Statement Schedules</w:t>
            </w:r>
          </w:p>
        </w:tc>
        <w:tc>
          <w:tcPr>
            <w:tcW w:w="780" w:type="dxa"/>
            <w:vAlign w:val="bottom"/>
            <w:gridSpan w:val="5"/>
          </w:tcPr>
          <w:p>
            <w:pPr>
              <w:jc w:val="right"/>
              <w:spacing w:after="0"/>
              <w:rPr>
                <w:rFonts w:ascii="Arial" w:cs="Arial" w:eastAsia="Arial" w:hAnsi="Arial"/>
                <w:sz w:val="16"/>
                <w:szCs w:val="16"/>
                <w:color w:val="0000EE"/>
              </w:rPr>
            </w:pPr>
            <w:hyperlink w:anchor="page115">
              <w:r>
                <w:rPr>
                  <w:rFonts w:ascii="Arial" w:cs="Arial" w:eastAsia="Arial" w:hAnsi="Arial"/>
                  <w:sz w:val="16"/>
                  <w:szCs w:val="16"/>
                  <w:color w:val="0000EE"/>
                </w:rPr>
                <w:t>111</w:t>
              </w:r>
            </w:hyperlink>
          </w:p>
        </w:tc>
        <w:tc>
          <w:tcPr>
            <w:tcW w:w="20" w:type="dxa"/>
            <w:vAlign w:val="bottom"/>
          </w:tcPr>
          <w:p>
            <w:pPr>
              <w:spacing w:after="0"/>
              <w:rPr>
                <w:sz w:val="16"/>
                <w:szCs w:val="16"/>
                <w:color w:val="auto"/>
              </w:rPr>
            </w:pPr>
          </w:p>
        </w:tc>
      </w:tr>
      <w:tr>
        <w:trPr>
          <w:trHeight w:val="48"/>
        </w:trPr>
        <w:tc>
          <w:tcPr>
            <w:tcW w:w="720" w:type="dxa"/>
            <w:vAlign w:val="bottom"/>
          </w:tcPr>
          <w:p>
            <w:pPr>
              <w:spacing w:after="0"/>
              <w:rPr>
                <w:sz w:val="4"/>
                <w:szCs w:val="4"/>
                <w:color w:val="auto"/>
              </w:rPr>
            </w:pPr>
          </w:p>
        </w:tc>
        <w:tc>
          <w:tcPr>
            <w:tcW w:w="9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84"/>
        </w:trPr>
        <w:tc>
          <w:tcPr>
            <w:tcW w:w="720" w:type="dxa"/>
            <w:vAlign w:val="bottom"/>
            <w:shd w:val="clear" w:color="auto" w:fill="CCFFCC"/>
          </w:tcPr>
          <w:p>
            <w:pPr>
              <w:spacing w:after="0"/>
              <w:rPr>
                <w:sz w:val="24"/>
                <w:szCs w:val="24"/>
                <w:color w:val="auto"/>
              </w:rPr>
            </w:pPr>
          </w:p>
        </w:tc>
        <w:tc>
          <w:tcPr>
            <w:tcW w:w="9900" w:type="dxa"/>
            <w:vAlign w:val="bottom"/>
            <w:shd w:val="clear" w:color="auto" w:fill="CCFFCC"/>
          </w:tcPr>
          <w:p>
            <w:pPr>
              <w:spacing w:after="0"/>
              <w:rPr>
                <w:sz w:val="24"/>
                <w:szCs w:val="24"/>
                <w:color w:val="auto"/>
              </w:rPr>
            </w:pPr>
          </w:p>
        </w:tc>
        <w:tc>
          <w:tcPr>
            <w:tcW w:w="52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0" w:type="dxa"/>
            <w:vAlign w:val="bottom"/>
            <w:shd w:val="clear" w:color="auto" w:fill="CCFFCC"/>
          </w:tcPr>
          <w:p>
            <w:pPr>
              <w:spacing w:after="0"/>
              <w:rPr>
                <w:sz w:val="24"/>
                <w:szCs w:val="24"/>
                <w:color w:val="auto"/>
              </w:rPr>
            </w:pPr>
          </w:p>
        </w:tc>
      </w:tr>
      <w:tr>
        <w:trPr>
          <w:trHeight w:val="189"/>
        </w:trPr>
        <w:tc>
          <w:tcPr>
            <w:tcW w:w="720" w:type="dxa"/>
            <w:vAlign w:val="bottom"/>
          </w:tcPr>
          <w:p>
            <w:pPr>
              <w:ind w:left="40"/>
              <w:spacing w:after="0"/>
              <w:rPr>
                <w:sz w:val="20"/>
                <w:szCs w:val="20"/>
                <w:color w:val="auto"/>
              </w:rPr>
            </w:pPr>
            <w:r>
              <w:rPr>
                <w:rFonts w:ascii="Arial" w:cs="Arial" w:eastAsia="Arial" w:hAnsi="Arial"/>
                <w:sz w:val="16"/>
                <w:szCs w:val="16"/>
                <w:color w:val="auto"/>
              </w:rPr>
              <w:t>Item 16.</w:t>
            </w:r>
          </w:p>
        </w:tc>
        <w:tc>
          <w:tcPr>
            <w:tcW w:w="9900" w:type="dxa"/>
            <w:vAlign w:val="bottom"/>
          </w:tcPr>
          <w:p>
            <w:pPr>
              <w:ind w:left="120"/>
              <w:spacing w:after="0"/>
              <w:rPr>
                <w:sz w:val="20"/>
                <w:szCs w:val="20"/>
                <w:color w:val="auto"/>
              </w:rPr>
            </w:pPr>
            <w:r>
              <w:rPr>
                <w:rFonts w:ascii="Arial" w:cs="Arial" w:eastAsia="Arial" w:hAnsi="Arial"/>
                <w:sz w:val="16"/>
                <w:szCs w:val="16"/>
                <w:color w:val="auto"/>
              </w:rPr>
              <w:t>Form 10-K Summary</w:t>
            </w:r>
          </w:p>
        </w:tc>
        <w:tc>
          <w:tcPr>
            <w:tcW w:w="540" w:type="dxa"/>
            <w:vAlign w:val="bottom"/>
            <w:gridSpan w:val="2"/>
          </w:tcPr>
          <w:p>
            <w:pPr>
              <w:spacing w:after="0"/>
              <w:rPr>
                <w:sz w:val="16"/>
                <w:szCs w:val="16"/>
                <w:color w:val="auto"/>
              </w:rPr>
            </w:pPr>
          </w:p>
        </w:tc>
        <w:tc>
          <w:tcPr>
            <w:tcW w:w="240" w:type="dxa"/>
            <w:vAlign w:val="bottom"/>
            <w:tcBorders>
              <w:bottom w:val="single" w:sz="8" w:color="0000EE"/>
            </w:tcBorders>
            <w:gridSpan w:val="3"/>
          </w:tcPr>
          <w:p>
            <w:pPr>
              <w:jc w:val="right"/>
              <w:spacing w:after="0"/>
              <w:rPr>
                <w:rFonts w:ascii="Arial" w:cs="Arial" w:eastAsia="Arial" w:hAnsi="Arial"/>
                <w:sz w:val="16"/>
                <w:szCs w:val="16"/>
                <w:color w:val="0000EE"/>
                <w:w w:val="82"/>
              </w:rPr>
            </w:pPr>
            <w:hyperlink w:anchor="page115">
              <w:r>
                <w:rPr>
                  <w:rFonts w:ascii="Arial" w:cs="Arial" w:eastAsia="Arial" w:hAnsi="Arial"/>
                  <w:sz w:val="16"/>
                  <w:szCs w:val="16"/>
                  <w:color w:val="0000EE"/>
                  <w:w w:val="82"/>
                </w:rPr>
                <w:t>111</w:t>
              </w:r>
            </w:hyperlink>
          </w:p>
        </w:tc>
        <w:tc>
          <w:tcPr>
            <w:tcW w:w="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985" w:right="239" w:bottom="829"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985" w:right="239" w:bottom="829"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THESE FORWARD-LOOKING STATEMENTS ARE BASED ON OUR CURRENT EXPECTATIONS, WHICH MAY NOT PROVE TO BE ACCURATE. MANY OF THESE STATEMENTS ARE FOUND IN THE “BUSINESS” AND “MANAGEMENT’S DISCUSSION AND ANALYSIS OF FINANCIAL CONDITION AND RESULTS OF OPERATIONS” SECTIONS OF THIS FORM 10-K. WHEN USED IN THIS FORM 10-K, THE WORDS “ESTIMATES,” “EXPECTS,” “ANTICIPATES,” “PROJECTS,” “PLANS,” “INTENDS,” “BELIEVES” AND VARIATIONS OF SUCH WORDS OR SIMILAR EXPRESSIONS ARE INTENDED TO IDENTIFY FORWARD-LOOKING STATEMENTS. ALL FORWARD-LOOKING STATEMENTS, INCLUDING, WITHOUT LIMITATION, OUR EXAMINATION OF HISTORICAL OPERATING TRENDS, ARE BASED UPON OUR CURRENT EXPECTATIONS AND VARIOUS ASSUMPTIONS. OUR EXPECTATIONS, BELIEFS AND PROJECTIONS ARE EXPRESSED IN GOOD FAITH, AND WE BELIEVE THERE IS A REASONABLE BASIS FOR THEM, BUT WE CANNOT ASSURE YOU THAT OUR EXPECTATIONS, BELIEFS AND PROJECTIONS WILL BE REALIZED. ANY SUCH FORWARD-LOOKING STATEMENTS ARE MADE PURSUANT TO THE SAFE HARBOR PROVISIONS OF THE PRIVATE SECURITIES LITIGATION REFORM ACT OF 1995. IT IS ROUTINE FOR OUR INTERNAL PROJECTIONS AND EXPECTATIONS TO CHANGE AS THE YEAR OR EACH QUARTER IN THE YEAR PROGRESS, AND THEREFORE IT SHOULD BE CLEARLY UNDERSTOOD THAT THE INTERNAL PROJECTIONS AND BELIEFS UPON WHICH WE BASE OUR EXPECTATIONS MAY CHANGE PRIOR TO THE END OF EACH QUARTER OR THE YEAR. ALTHOUGH THESE EXPECTATIONS MAY CHANGE, WE ARE UNDER NO OBLIGATION TO INFORM YOU IF THEY DO. ACTUAL EVENTS OR RESULTS MAY DIFFER MATERIALLY FROM THOSE CONTAINED IN THE PROJECTIONS OR FORWARD-LOOKING STATEMENTS. IMPORTANT FACTORS THAT COULD CAUSE OUR ACTUAL RESULTS TO DIFFER MATERIALLY FROM THE FORWARD-LOOKING STATEMENTS WE MAKE IN THIS FORM 10-K ARE SET FORTH IN THIS FORM 10-K, INCLUDING THE FACTORS DESCRIBED IN THE SECTION ENTITLED “ITEM 1A — RISK FACTORS.” IF ANY OF THESE RISKS OR UNCERTAINTIES MATERIALIZE, OR IF ANY OF OUR UNDERLYING ASSUMPTIONS ARE INCORRECT, OUR ACTUAL RESULTS MAY DIFFER SIGNIFICANTLY FROM THE RESULTS THAT WE EXPRESS IN OR IMPLY BY ANY OF OUR FORWARD-LOOKING STATEMENTS. WE DO NOT UNDERTAKE ANY OBLIGATION TO REVISE THESE FORWARD-LOOKING STATEMENTS TO REFLECT FUTURE EVENTS OR CIRCUMSTANCES.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98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LivePerson, Inc. (“LivePerson”, the “Company”, “we” or “our”) makes life easier for people and brands everywhere through messaging powered by AI and humans. During the past decade, the consumer has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These AI and human-assisted conversational experiences constitute the Conversational Space.</w:t>
      </w:r>
    </w:p>
    <w:p>
      <w:pPr>
        <w:spacing w:after="0" w:line="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LiveEngage, our enterprise-class cloud-based platform, enables businesses to become conversational by securely deploying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forcing them to navigate interactive voice response systems (IVRs) and wait on hold. Similarly, LiveEngage can ingest traditional emails and convert them into messaging conversations, or embed messaging conversations directly into web advertisements, rather than redirect consumers to static website landing pages.</w:t>
      </w:r>
    </w:p>
    <w:p>
      <w:pPr>
        <w:spacing w:after="0" w:line="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social, email,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LiveEngage.</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LiveEngage offers brands a comprehensive approach to scaling automations across their millions of customer conversations.</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80" w:lineRule="exact"/>
        <w:rPr>
          <w:sz w:val="20"/>
          <w:szCs w:val="20"/>
          <w:color w:val="auto"/>
        </w:rPr>
      </w:pPr>
    </w:p>
    <w:p>
      <w:pPr>
        <w:ind w:left="1280" w:right="20" w:hanging="327"/>
        <w:spacing w:after="0" w:line="291" w:lineRule="auto"/>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280" w:hanging="327"/>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9" w:lineRule="exact"/>
        <w:rPr>
          <w:rFonts w:ascii="Arial" w:cs="Arial" w:eastAsia="Arial" w:hAnsi="Arial"/>
          <w:sz w:val="18"/>
          <w:szCs w:val="18"/>
          <w:color w:val="auto"/>
        </w:rPr>
      </w:pPr>
    </w:p>
    <w:p>
      <w:pPr>
        <w:ind w:left="1280" w:right="20" w:hanging="327"/>
        <w:spacing w:after="0" w:line="250"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increases of up to 20 percentage points, and enhancing retention and loyalty;</w:t>
      </w:r>
    </w:p>
    <w:p>
      <w:pPr>
        <w:ind w:left="1280" w:hanging="327"/>
        <w:spacing w:after="0" w:line="250"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ind w:left="1280" w:hanging="327"/>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9" w:lineRule="exact"/>
        <w:rPr>
          <w:rFonts w:ascii="Arial" w:cs="Arial" w:eastAsia="Arial" w:hAnsi="Arial"/>
          <w:sz w:val="18"/>
          <w:szCs w:val="18"/>
          <w:color w:val="auto"/>
        </w:rPr>
      </w:pPr>
    </w:p>
    <w:p>
      <w:pPr>
        <w:ind w:left="1280" w:hanging="327"/>
        <w:spacing w:after="0" w:line="261" w:lineRule="auto"/>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85" w:right="239" w:bottom="1440" w:gutter="0" w:footer="0" w:header="0"/>
        </w:sectPr>
      </w:pPr>
    </w:p>
    <w:bookmarkStart w:id="5" w:name="page6"/>
    <w:bookmarkEnd w:id="5"/>
    <w:p>
      <w:pPr>
        <w:ind w:left="1280" w:hanging="327"/>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23" w:lineRule="exact"/>
        <w:rPr>
          <w:rFonts w:ascii="Arial" w:cs="Arial" w:eastAsia="Arial" w:hAnsi="Arial"/>
          <w:sz w:val="18"/>
          <w:szCs w:val="18"/>
          <w:color w:val="auto"/>
        </w:rPr>
      </w:pPr>
    </w:p>
    <w:p>
      <w:pPr>
        <w:ind w:left="1280" w:hanging="327"/>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9" w:lineRule="exact"/>
        <w:rPr>
          <w:rFonts w:ascii="Arial" w:cs="Arial" w:eastAsia="Arial" w:hAnsi="Arial"/>
          <w:sz w:val="18"/>
          <w:szCs w:val="18"/>
          <w:color w:val="auto"/>
        </w:rPr>
      </w:pPr>
    </w:p>
    <w:p>
      <w:pPr>
        <w:ind w:left="1280" w:right="20" w:hanging="327"/>
        <w:spacing w:after="0" w:line="261"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lead generation by providing a single platform that engages consumers through advertisements and listings on branded and third-party websites.</w:t>
      </w:r>
    </w:p>
    <w:p>
      <w:pPr>
        <w:spacing w:after="0" w:line="184" w:lineRule="exact"/>
        <w:rPr>
          <w:sz w:val="20"/>
          <w:szCs w:val="20"/>
          <w:color w:val="auto"/>
        </w:rPr>
      </w:pPr>
    </w:p>
    <w:p>
      <w:pPr>
        <w:jc w:val="both"/>
        <w:ind w:left="340" w:firstLine="1296"/>
        <w:spacing w:after="0" w:line="302"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2" w:lineRule="exact"/>
        <w:rPr>
          <w:sz w:val="20"/>
          <w:szCs w:val="20"/>
          <w:color w:val="auto"/>
        </w:rPr>
      </w:pPr>
    </w:p>
    <w:p>
      <w:pPr>
        <w:jc w:val="both"/>
        <w:ind w:firstLine="526"/>
        <w:spacing w:after="0" w:line="286" w:lineRule="auto"/>
        <w:rPr>
          <w:sz w:val="20"/>
          <w:szCs w:val="20"/>
          <w:color w:val="auto"/>
        </w:rPr>
      </w:pPr>
      <w:r>
        <w:rPr>
          <w:rFonts w:ascii="Arial" w:cs="Arial" w:eastAsia="Arial" w:hAnsi="Arial"/>
          <w:sz w:val="17"/>
          <w:szCs w:val="17"/>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Austin (Texas), San Francisco (California) and Seattle (Washington), and international offices in Amsterdam (Netherlands), Berlin (Germany), Delhi (India), London (United Kingdom), Mannheim (Germany), Melbourne (Australia), Milan (Italy), Paris (France), Ra'anana (Israel), Reading (United Kingdom), Singapore (Singapore), Tel Aviv (Israel), and Tokyo (Japan).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LivePerson's proprietary messaging and Conversational AI enable consumers and businesses to use natural language over conversational interfaces such as SMS, Messenger, Apple Business Chat, Google’s Rich Business Messenger, and in-home personal assistants like Alexa, in order to get answers to questions, make purchases and resolve customer care inquiries. These conversational messaging capabilities target lower costs and increased customer satisfaction, retention and revenue by utilizing human agents, AI and bots to provide convenient, personalized and content-rich communication as alternatives to calling a 1-800 number, navigating a website or downloading an app.</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view is that once a consumer has established their favorite brands as contacts in their preferred messaging app, they will no longer see a need to call that brand’s 1-800 number, visit their website or download their app. Instead, they will simply select the contact, open up the thread with their entire history with the brand, and then renew the conversation. As a result, the billions of dollars previously invested by brands across these legacy channels will be increasingly allocated to experiences powered by our platform.</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brands have predominantly promoted calling the 1-800 number or using email as the primary means of contact with consumers. According to a 2018 IBM report, approximately 270 billion customer service calls are made to contact centers each year. With a median cost per call of approximately $5.60, according to US Contact Center Decision-Makers' Guide, we estimate that businesses spend approximately $1.5 trillion annually to support their 1-800 number call centers. We believe that moving these calls to messaging represents the largest portion of what we estimate is a $60 billion go-to-market opportunity. We estimate that nearly half of this market opportunity is tied to service, and the other half tied to sales, marketing, social and brick and mortar use cases.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LivePerson is already capitalizing on this Conversational Space transformation. We cite the following considerations:</w:t>
      </w:r>
    </w:p>
    <w:p>
      <w:pPr>
        <w:spacing w:after="0" w:line="117" w:lineRule="exact"/>
        <w:rPr>
          <w:sz w:val="20"/>
          <w:szCs w:val="20"/>
          <w:color w:val="auto"/>
        </w:rPr>
      </w:pPr>
    </w:p>
    <w:p>
      <w:pPr>
        <w:jc w:val="both"/>
        <w:ind w:left="1040" w:hanging="316"/>
        <w:spacing w:after="0" w:line="253"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preference has already shifted away from calling to messaging in our personal lives. Gartner, a technology research firm, estimates that the proportion of voice-based communication will drop from 41% in 2017 to 12% in 2022. In contrast, WhatsApp and Facebook users combined send more than 65 billion messages a day, and, according to Portio Research, people worldwide were estimated to send an estimated 23 billion text messages a day in 2015. According to Gartner, by 2020, more than 500 million consumers will use voice-enabled conversational AI to purchase on digital commerce platforms, growing from 160 million in 2017. The International Smartphone Mobility Report by mobile data tracking firm Infomate found that Americans spend about 26 minutes a day texting, as compared to six minutes a day on voice calls. A survey by transportation booking app, Hailo, found that making phone calls has dropped to the sixth most popular use of a mobile device, behind sending messages, receiving messages, checking email, surfing the Web, and using the alarm clock. The adoption of messaging has not been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89" w:right="239" w:bottom="1440" w:gutter="0" w:footer="0" w:header="0"/>
        </w:sectPr>
      </w:pPr>
    </w:p>
    <w:bookmarkStart w:id="6" w:name="page7"/>
    <w:bookmarkEnd w:id="6"/>
    <w:p>
      <w:pPr>
        <w:ind w:left="1040"/>
        <w:spacing w:after="0" w:line="258" w:lineRule="auto"/>
        <w:rPr>
          <w:sz w:val="20"/>
          <w:szCs w:val="20"/>
          <w:color w:val="auto"/>
        </w:rPr>
      </w:pPr>
      <w:r>
        <w:rPr>
          <w:rFonts w:ascii="Arial" w:cs="Arial" w:eastAsia="Arial" w:hAnsi="Arial"/>
          <w:sz w:val="18"/>
          <w:szCs w:val="18"/>
          <w:color w:val="auto"/>
        </w:rPr>
        <w:t>constrained to younger generations. According to Experian Marketing Services, adults 55 and older send and receive an average of nearly 500 text messages a month.</w:t>
      </w:r>
    </w:p>
    <w:p>
      <w:pPr>
        <w:spacing w:after="0" w:line="1" w:lineRule="exact"/>
        <w:rPr>
          <w:sz w:val="20"/>
          <w:szCs w:val="20"/>
          <w:color w:val="auto"/>
        </w:rPr>
      </w:pPr>
    </w:p>
    <w:p>
      <w:pPr>
        <w:jc w:val="both"/>
        <w:ind w:left="1040" w:hanging="316"/>
        <w:spacing w:after="0" w:line="265"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Calling a 1-800 number typically leads to a poor customer experience. Roughly 50% of calls to 1-800 numbers go unresolved, according to IBM, and a 2014 Harris Interactive survey found that “81% of all consumers agree that it is frustrating to be tied to a phone or computer to wait for customer service help.” Research by enterprise analytics firm Mattersight, reinforces this view, with 74% of consumers feeling that call centers are getting worse or at best staying the same. The risk of poor customer service is material, according to Harris Interactive, which found that 89% of consumers will leave and go to a competitor due to bad customer experiences.</w:t>
      </w:r>
    </w:p>
    <w:p>
      <w:pPr>
        <w:spacing w:after="0" w:line="1" w:lineRule="exact"/>
        <w:rPr>
          <w:rFonts w:ascii="Arial" w:cs="Arial" w:eastAsia="Arial" w:hAnsi="Arial"/>
          <w:sz w:val="17"/>
          <w:szCs w:val="17"/>
          <w:color w:val="auto"/>
        </w:rPr>
      </w:pPr>
    </w:p>
    <w:p>
      <w:pPr>
        <w:jc w:val="both"/>
        <w:ind w:left="1040" w:hanging="316"/>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Conversational experiences, which harness the power of human agents, bots and AI over messaging have been demonstrated to provide a superior alternative to voice calls. LivePerson customers typically see contact center agent efficiency increase by at least two times for messaging on our platform versus voice, while fueling higher customer satisfaction and increased sales conversions. According to a RingCentral survey, “at least 78% of consumers who text wish they could have a text conversation with a business.” An Amdocs global consumer survey had a similar finding, with 76% of consumers stating they would rather use a mobile app than call the contact center. According to Forrester Research's Customer Experience Survey, 73% of US online adults say that valuing their time is the most important thing a company can do to provide them with good service.</w:t>
      </w:r>
    </w:p>
    <w:p>
      <w:pPr>
        <w:spacing w:after="0" w:line="3" w:lineRule="exact"/>
        <w:rPr>
          <w:rFonts w:ascii="Arial" w:cs="Arial" w:eastAsia="Arial" w:hAnsi="Arial"/>
          <w:sz w:val="18"/>
          <w:szCs w:val="18"/>
          <w:color w:val="auto"/>
        </w:rPr>
      </w:pPr>
    </w:p>
    <w:p>
      <w:pPr>
        <w:jc w:val="both"/>
        <w:ind w:left="1040" w:hanging="316"/>
        <w:spacing w:after="0" w:line="271"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believe the combination of strong alignment to consumer communication preferences, high returns on investment and a growing list of proven referenceable customers have positioned the Conversational Space at an inflection point. Nearly 55% of our enterprise customers had adopted messaging by the end of 2019, up from approximately 40% at the end of 2018 and less than 5% at the end of 2016. In addition, nearly 60% of messaging conversations had automation attached at the end of 2019, up from approximately 25% at the end of 2017. In the first year of its launch, our Conversation Bot Builder was deployed by nearly 300 brands.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market share opportunities in the legacy 1-800 number call center, we believe that consumer traffic and digital spending will increasingly shift away from websites and mobile apps to conversational engagements on our platform. We think that websites and e-commerce have not lived up to the expectations of businesses and that consumers are likewise frustrated with the navigational experience and the challenges of getting questions answered on websites. In fact, after more than 20 years, e-commerce still only accounts for approximately 11% of total commerce and, in the United States, Amazon.com accounts for approximately half of this share. Even more alarming, is the growing disconnect as consumers go mobile. According to Adobe Analytics, on Cyber Monday in 2018, mobile accounted for approximately 51% of overall website traffic, but accounted for only approximately 31% of total revenue generated.</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low penetration rates of online and mobile e-commerce reflect disappointing website conversion rates, which average less than 5%. Low conversion rates are likely a factor of the trend for websites to be designed for content, as opposed to commerce, so that they can be indexed to show up in web searches. According to Forrester Research, 53% of customers are likely to abandon their online purchases if they can't find quick answers to their questions. This conflict between content and commerce not only impacts revenue, but also drives higher costs, as we estimate that 60%-80% of all calls to 1-800 numbers originate from consumers first visiting a website and then getting confused or not obtaining the answers they seek.</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LivePerson's proprietary messaging and Conversational AI offerings provide a superior alternative. Certain LivePerson customers have demonstrated increases in website sales of up to 20%, while lowering the cost of engagement relative to voice or email. No longer are consumers navigating through clicks and searches to find answers across multiple static web pages. Instead they use natural language to engage conversationally with a brand. These conversations can be personalized to each brand’s unique identity and to each consumer’s unique history and preferences. The engagements are content rich, featuring images, reviews, ratings, and videos, and they are convenient, letting the consumer drive the conversation when it meets their needs, and offering the ability to integrate to credit cards, pay wallets and calendars.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believe that the Conversational Space will steadily eliminate the need for investment in branded apps. We conclude that consumers will increasingly opt to connect with brands through their preferred messaging channels, such as Apple Business Chat, WhatsApp, SMS, Messenger, or Twitter, rather than clutter their mobile devices, waste storage, and potentially impact performance by downloading a multitude of individual apps.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89" w:right="239" w:bottom="1440" w:gutter="0" w:footer="0" w:header="0"/>
        </w:sectPr>
      </w:pPr>
    </w:p>
    <w:bookmarkStart w:id="7" w:name="page8"/>
    <w:bookmarkEnd w:id="7"/>
    <w:p>
      <w:pPr>
        <w:jc w:val="both"/>
        <w:ind w:firstLine="648"/>
        <w:spacing w:after="0" w:line="254" w:lineRule="auto"/>
        <w:rPr>
          <w:sz w:val="20"/>
          <w:szCs w:val="20"/>
          <w:color w:val="auto"/>
        </w:rPr>
      </w:pPr>
      <w:r>
        <w:rPr>
          <w:rFonts w:ascii="Arial" w:cs="Arial" w:eastAsia="Arial" w:hAnsi="Arial"/>
          <w:sz w:val="18"/>
          <w:szCs w:val="18"/>
          <w:color w:val="auto"/>
        </w:rPr>
        <w:t>Another emerging market opportunity for LivePerson is the leveraging of brick and mortar operations as an extension of the contact center. Retailers, telecommunications companies, and financial services companies, among others, all operate brick and mortar storefronts, where thousands of employees often sit idle during off peak hours. LiveEngage enables our customers to set up campaigns where these employees can connect through messaging to customers in their community, with check-ins, follow ups, and special offers, reinforcing relationships at the local level. For example, a telecommunications company targeted consumers that were local to its storefronts with a trade-in offer. Additionally, our platform can arm employees in the field with the ability to rapidly obtain answers to questions as they engage with customers in the stores. For example, a consumer may have a specific question about a new appliance in a home improvement store, and the employee can engage through our platform with a specialist bot or human agent to obtain detailed information on that appliance.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key component of our industry awareness marketing strategy has been to hold multiple global customer summits each year that target executives from enterprise customers and prospects, and feature a key theme within the Conversational Space, such as Apple Business Chat, Google Rich Business 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2019, we had brought approximately 300 customers live on messaging and increased adoption within our enterprise customers to nearly 55%. In addition, nearly 60% of messaging conversations had automation attached. We will continue to focus on building awareness for the Conversational Space and driving adoption of messaging and AI across our customer base.</w:t>
      </w:r>
    </w:p>
    <w:p>
      <w:pPr>
        <w:spacing w:after="0" w:line="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7"/>
          <w:szCs w:val="17"/>
          <w:color w:val="auto"/>
        </w:rPr>
        <w:t>Our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order to drive broad messaging adoption, it is imperative that LiveEngage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plan overage alerts into two-way conversations. Finally, we connected to Facebook and WhatsApp digital advertisements, enabling consumers to initiate messaging conversations for marketing and customer care directly within the advertisement.</w:t>
      </w:r>
    </w:p>
    <w:p>
      <w:pPr>
        <w:spacing w:after="0" w:line="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channel and use case added opens the door to hundreds of millions of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89" w:right="239" w:bottom="1440" w:gutter="0" w:footer="0" w:header="0"/>
        </w:sectPr>
      </w:pPr>
    </w:p>
    <w:bookmarkStart w:id="8" w:name="page9"/>
    <w:bookmarkEnd w:id="8"/>
    <w:p>
      <w:pPr>
        <w:jc w:val="both"/>
        <w:ind w:firstLine="648"/>
        <w:spacing w:after="0" w:line="255" w:lineRule="auto"/>
        <w:rPr>
          <w:sz w:val="20"/>
          <w:szCs w:val="20"/>
          <w:color w:val="auto"/>
        </w:rPr>
      </w:pPr>
      <w:r>
        <w:rPr>
          <w:rFonts w:ascii="Arial" w:cs="Arial" w:eastAsia="Arial" w:hAnsi="Arial"/>
          <w:sz w:val="18"/>
          <w:szCs w:val="18"/>
          <w:color w:val="auto"/>
        </w:rPr>
        <w:t>We believe that this strategy has influenced LivePerson’s enterprise and mid-market revenue retention rate, (the trailing-twelve-month change in total revenue from existing customers after upsells, downsells and attrition) which was within our target range of 105% to 115% for 2019. The benefit can also be seen in LivePerson’s average revenue per user (ARPU) for our enterprise and mid-market customers, which increased approximately 20% in 2019 to $345,000 from approximately $285,000 in 2018. In fact, in 2019, the ARPU for Enterprise customers on messaging was more than 5 times higher than those on just chat. We believe these ARPU trends are a clear indication of how LivePerson’s strategy to drive messaging adoption has successfully influenced our revenue growth by taking share from legacy communication channels. We plan to continue adding new messaging endpoints and use cases, and to drive higher adoption of existing ones within our customer base.</w:t>
      </w:r>
    </w:p>
    <w:p>
      <w:pPr>
        <w:spacing w:after="0" w:line="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Attract the industry’s best AI, machine learning and conversational talent. </w:t>
      </w:r>
      <w:r>
        <w:rPr>
          <w:rFonts w:ascii="Arial" w:cs="Arial" w:eastAsia="Arial" w:hAnsi="Arial"/>
          <w:sz w:val="17"/>
          <w:szCs w:val="17"/>
          <w:color w:val="auto"/>
        </w:rPr>
        <w:t>We believe that AI and machine learning are critical to successfully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scaling in the 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opened an Advanced Technology Center in Seattle, Washington, where the Company now has more than 125 of the industry’s brightest data scientists, machine learning engineers and automation engineers, many from firms such as Nike, Amazon.com, Microsoft and Target, that are working exclusively on applying AI to Conversational. LivePerson also expanded its Mannheim, Germany development center, and added key development talent through the acquisitions of BotCentral in Mountain View, California and Conversable in Austin, Texas.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Bring to market best-in-class AI and machine learning technologies designed for the conversational space. </w:t>
      </w:r>
      <w:r>
        <w:rPr>
          <w:rFonts w:ascii="Arial" w:cs="Arial" w:eastAsia="Arial" w:hAnsi="Arial"/>
          <w:sz w:val="18"/>
          <w:szCs w:val="18"/>
          <w:color w:val="auto"/>
        </w:rPr>
        <w:t>We believe that in the last decade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vendors introduced AI and bot offerings that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platforms such as LiveEngage.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117" w:lineRule="exact"/>
        <w:rPr>
          <w:sz w:val="20"/>
          <w:szCs w:val="20"/>
          <w:color w:val="auto"/>
        </w:rPr>
      </w:pPr>
    </w:p>
    <w:p>
      <w:pPr>
        <w:ind w:left="1040" w:hanging="316"/>
        <w:spacing w:after="0" w:line="29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ind w:left="1040" w:hanging="316"/>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jc w:val="both"/>
        <w:ind w:left="1040" w:hanging="316"/>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 data moat of hundreds of millions of conversations to feed the machine learning that rapidly and accurately detects consumer sentiment and intents in real-time. Use intent understanding for advanced routing, next-best actions, and to fully contain conversations with automation</w:t>
      </w:r>
    </w:p>
    <w:p>
      <w:pPr>
        <w:spacing w:after="0" w:line="1" w:lineRule="exact"/>
        <w:rPr>
          <w:rFonts w:ascii="Arial" w:cs="Arial" w:eastAsia="Arial" w:hAnsi="Arial"/>
          <w:sz w:val="18"/>
          <w:szCs w:val="18"/>
          <w:color w:val="auto"/>
        </w:rPr>
      </w:pPr>
    </w:p>
    <w:p>
      <w:pPr>
        <w:ind w:left="1040" w:hanging="316"/>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40" w:hanging="316"/>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40" w:hanging="31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AI natural language understanding (NLU) integration, so customers aren't boxed into one vendor</w:t>
      </w:r>
    </w:p>
    <w:p>
      <w:pPr>
        <w:spacing w:after="0" w:line="9" w:lineRule="exact"/>
        <w:rPr>
          <w:rFonts w:ascii="Arial" w:cs="Arial" w:eastAsia="Arial" w:hAnsi="Arial"/>
          <w:sz w:val="18"/>
          <w:szCs w:val="18"/>
          <w:color w:val="auto"/>
        </w:rPr>
      </w:pPr>
    </w:p>
    <w:p>
      <w:pPr>
        <w:ind w:left="1040" w:hanging="316"/>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enhance the Conversational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89" w:right="239" w:bottom="1440" w:gutter="0" w:footer="0" w:header="0"/>
        </w:sectPr>
      </w:pPr>
    </w:p>
    <w:bookmarkStart w:id="9" w:name="page10"/>
    <w:bookmarkEnd w:id="9"/>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8"/>
          <w:szCs w:val="18"/>
          <w:color w:val="auto"/>
        </w:rPr>
        <w:t>We believe that most contact center technology vendors incorrectly view messaging as a feature. They are content with building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across service, sales, marketing, social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LivePerson is uniquely positioned to deliver this transformation due to its technology and expertise:</w:t>
      </w:r>
    </w:p>
    <w:p>
      <w:pPr>
        <w:spacing w:after="0" w:line="117" w:lineRule="exact"/>
        <w:rPr>
          <w:sz w:val="20"/>
          <w:szCs w:val="20"/>
          <w:color w:val="auto"/>
        </w:rPr>
      </w:pPr>
    </w:p>
    <w:p>
      <w:pPr>
        <w:jc w:val="both"/>
        <w:ind w:left="1040" w:hanging="316"/>
        <w:spacing w:after="0" w:line="25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NLU providers.</w:t>
      </w:r>
    </w:p>
    <w:p>
      <w:pPr>
        <w:spacing w:after="0" w:line="1" w:lineRule="exact"/>
        <w:rPr>
          <w:rFonts w:ascii="Arial" w:cs="Arial" w:eastAsia="Arial" w:hAnsi="Arial"/>
          <w:sz w:val="18"/>
          <w:szCs w:val="18"/>
          <w:color w:val="auto"/>
        </w:rPr>
      </w:pPr>
    </w:p>
    <w:p>
      <w:pPr>
        <w:ind w:left="1040" w:hanging="316"/>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ind w:left="1040" w:hanging="316"/>
        <w:spacing w:after="0" w:line="250"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jc w:val="both"/>
        <w:ind w:left="1040" w:hanging="316"/>
        <w:spacing w:after="0" w:line="25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81" w:lineRule="exact"/>
        <w:rPr>
          <w:sz w:val="20"/>
          <w:szCs w:val="20"/>
          <w:color w:val="auto"/>
        </w:rPr>
      </w:pPr>
    </w:p>
    <w:p>
      <w:pPr>
        <w:jc w:val="both"/>
        <w:ind w:firstLine="221"/>
        <w:spacing w:after="0" w:line="276" w:lineRule="auto"/>
        <w:rPr>
          <w:sz w:val="20"/>
          <w:szCs w:val="20"/>
          <w:color w:val="auto"/>
        </w:rPr>
      </w:pPr>
      <w:r>
        <w:rPr>
          <w:rFonts w:ascii="Arial" w:cs="Arial" w:eastAsia="Arial" w:hAnsi="Arial"/>
          <w:sz w:val="17"/>
          <w:szCs w:val="17"/>
          <w:b w:val="1"/>
          <w:bCs w:val="1"/>
          <w:i w:val="1"/>
          <w:iCs w:val="1"/>
          <w:color w:val="auto"/>
        </w:rPr>
        <w:t xml:space="preserve">Strengthen our position in both existing and new industries. </w:t>
      </w:r>
      <w:r>
        <w:rPr>
          <w:rFonts w:ascii="Arial" w:cs="Arial" w:eastAsia="Arial" w:hAnsi="Arial"/>
          <w:sz w:val="17"/>
          <w:szCs w:val="17"/>
          <w:color w:val="auto"/>
        </w:rPr>
        <w:t>We plan to continue to develop our market position by increasing our customer base,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expanding within our installed base. We will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 wins in the airline, foodservice and healthcare industries. We are increasingly structuring our field organization to emphasize our domain expertise and strengthen customer relationships across target industries.</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expanding our international revenue contribution, which increased to 41% of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 2019 and 2018, from 37% in 2017. We are generating positive results from our recent investments in the Asia Pacific region, and recently opened an office in Latin America.</w:t>
      </w:r>
    </w:p>
    <w:p>
      <w:pPr>
        <w:spacing w:after="0" w:line="73" w:lineRule="exact"/>
        <w:rPr>
          <w:sz w:val="20"/>
          <w:szCs w:val="20"/>
          <w:color w:val="auto"/>
        </w:rPr>
      </w:pPr>
    </w:p>
    <w:p>
      <w:pPr>
        <w:jc w:val="both"/>
        <w:ind w:firstLine="279"/>
        <w:spacing w:after="0" w:line="255" w:lineRule="auto"/>
        <w:rPr>
          <w:sz w:val="20"/>
          <w:szCs w:val="20"/>
          <w:color w:val="auto"/>
        </w:rPr>
      </w:pPr>
      <w:r>
        <w:rPr>
          <w:rFonts w:ascii="Arial" w:cs="Arial" w:eastAsia="Arial" w:hAnsi="Arial"/>
          <w:sz w:val="18"/>
          <w:szCs w:val="18"/>
          <w:b w:val="1"/>
          <w:bCs w:val="1"/>
          <w:i w:val="1"/>
          <w:iCs w:val="1"/>
          <w:color w:val="auto"/>
        </w:rPr>
        <w:t xml:space="preserve">Leverage our open architecture to support partners and developers. </w:t>
      </w:r>
      <w:r>
        <w:rPr>
          <w:rFonts w:ascii="Arial" w:cs="Arial" w:eastAsia="Arial" w:hAnsi="Arial"/>
          <w:sz w:val="18"/>
          <w:szCs w:val="18"/>
          <w:color w:val="auto"/>
        </w:rPr>
        <w:t>In addition to developing our own applications, we continue to cultivate a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eco-system capable of offering additional applications and services to our customers. We integrate into approximately a dozen third-party messaging endpoints including SMS, Facebook Messenger, Apple Business Chat, Google Rich Business Messenger, Line, WhatsApp, Alexa, Google Home, WeChat, Google Ad Lingo and Twitter, multiple IVR vendors and dozens of branded apps. LiveEngage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89" w:right="239" w:bottom="1440" w:gutter="0" w:footer="0" w:header="0"/>
        </w:sectPr>
      </w:pPr>
    </w:p>
    <w:bookmarkStart w:id="10" w:name="page11"/>
    <w:bookmarkEnd w:id="10"/>
    <w:p>
      <w:pPr>
        <w:jc w:val="both"/>
        <w:ind w:firstLine="648"/>
        <w:spacing w:after="0" w:line="279" w:lineRule="auto"/>
        <w:rPr>
          <w:sz w:val="20"/>
          <w:szCs w:val="20"/>
          <w:color w:val="auto"/>
        </w:rPr>
      </w:pPr>
      <w:r>
        <w:rPr>
          <w:rFonts w:ascii="Arial" w:cs="Arial" w:eastAsia="Arial" w:hAnsi="Arial"/>
          <w:sz w:val="17"/>
          <w:szCs w:val="17"/>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integration capability that allows brands to more easily and rapidly customize conversations flows within LiveEngage through functions-as-a-service technology.</w:t>
      </w:r>
    </w:p>
    <w:p>
      <w:pPr>
        <w:spacing w:after="0" w:line="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Expand sales partnerships to broaden our presence and accelerate sales cycles. </w:t>
      </w:r>
      <w:r>
        <w:rPr>
          <w:rFonts w:ascii="Arial" w:cs="Arial" w:eastAsia="Arial" w:hAnsi="Arial"/>
          <w:sz w:val="18"/>
          <w:szCs w:val="18"/>
          <w:color w:val="auto"/>
        </w:rPr>
        <w:t>We are focused on broadening our market reach and accelerating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LivePerson increased the number of partners focused on SMBs to more than 300 at year-end 2019, from over 150 at year-end 2018, and approximately 40 at the end of 2017. Approximately one quarter of all opportunities were influenced by partners in 2019, and we are focused on driving that contribution toward 40% longer term.</w:t>
      </w:r>
    </w:p>
    <w:p>
      <w:pPr>
        <w:spacing w:after="0" w:line="81" w:lineRule="exact"/>
        <w:rPr>
          <w:sz w:val="20"/>
          <w:szCs w:val="20"/>
          <w:color w:val="auto"/>
        </w:rPr>
      </w:pPr>
    </w:p>
    <w:p>
      <w:pPr>
        <w:jc w:val="both"/>
        <w:ind w:firstLine="603"/>
        <w:spacing w:after="0" w:line="297"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50"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b w:val="1"/>
          <w:bCs w:val="1"/>
          <w:i w:val="1"/>
          <w:iCs w:val="1"/>
          <w:color w:val="auto"/>
        </w:rPr>
        <w:t xml:space="preserve">Evaluate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solutions offerings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LivePerson’s hosted platforms harness human, AI and bot-powered messaging on mobile apps, mobile and desktop web browsers, SMS, social media and third-party consumer messaging platforms. Our business-to-business services are all managed from a single user interface. By supplying a complete, unified consumer view, our solutions enable businesses to deliver a relevant, timely, personalized, and seamless consumer experience for heads of digital and customer care, as well as e-commerce, marketing, and contact center executives. In addition to product offerings, LivePerson provides professional services and value-added business consulting to support complete deployment and optimization of our enterprise solutions. Revenue attributable to our monthly hosted Business services accounted for 77% of total revenue for the year ended December 31, 2019, 79% of total revenue for the year ended December 31, 2018 and 82% of total revenue for the year ended 2017. The shift in percentage contribution reflects the heightened demand for LivePerson's expert professional services as customers deploy Conversational solutions for the first time.</w:t>
      </w:r>
    </w:p>
    <w:p>
      <w:pPr>
        <w:spacing w:after="0" w:line="71" w:lineRule="exact"/>
        <w:rPr>
          <w:sz w:val="20"/>
          <w:szCs w:val="20"/>
          <w:color w:val="auto"/>
        </w:rPr>
      </w:pPr>
    </w:p>
    <w:p>
      <w:pPr>
        <w:jc w:val="both"/>
        <w:ind w:firstLine="549"/>
        <w:spacing w:after="0" w:line="272" w:lineRule="auto"/>
        <w:rPr>
          <w:sz w:val="20"/>
          <w:szCs w:val="20"/>
          <w:color w:val="auto"/>
        </w:rPr>
      </w:pPr>
      <w:r>
        <w:rPr>
          <w:rFonts w:ascii="Arial" w:cs="Arial" w:eastAsia="Arial" w:hAnsi="Arial"/>
          <w:sz w:val="17"/>
          <w:szCs w:val="17"/>
          <w:b w:val="1"/>
          <w:bCs w:val="1"/>
          <w:i w:val="1"/>
          <w:iCs w:val="1"/>
          <w:color w:val="auto"/>
        </w:rPr>
        <w:t xml:space="preserve">LiveEngage. </w:t>
      </w:r>
      <w:r>
        <w:rPr>
          <w:rFonts w:ascii="Arial" w:cs="Arial" w:eastAsia="Arial" w:hAnsi="Arial"/>
          <w:sz w:val="17"/>
          <w:szCs w:val="17"/>
          <w:color w:val="auto"/>
        </w:rPr>
        <w:t>LiveEngage, LivePerson’s enterprise-class, cloud-based platform, enables businesses and consumers to connect through conversational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interfaces, such as in-app and mobile messaging, while leveraging bots and AI to increase efficiency. The platform, which is targeted at heads of digital and customer care, as well as e-commerce, marketing, and contact center executives, combines sophisticated mobile and online engagement technology with robust business intelligence and big data to produce compelling, measurable results by intelligently engaging consumers based on a real-time understanding of consumer needs. Rich, contextually aware targeting, actionable insights and personalized experiences, empower businesses to get the most out of their existing online, mobile and social platforms. Potential benefits of LiveEngage include increased agent efficiency, decreased customer care costs, improved customer experiences, higher conversion rates and increased customer lifetime value.</w:t>
      </w:r>
    </w:p>
    <w:p>
      <w:pPr>
        <w:spacing w:after="0" w:line="70" w:lineRule="exact"/>
        <w:rPr>
          <w:sz w:val="20"/>
          <w:szCs w:val="20"/>
          <w:color w:val="auto"/>
        </w:rPr>
      </w:pPr>
    </w:p>
    <w:p>
      <w:pPr>
        <w:jc w:val="both"/>
        <w:ind w:firstLine="514"/>
        <w:spacing w:after="0" w:line="291" w:lineRule="auto"/>
        <w:rPr>
          <w:sz w:val="20"/>
          <w:szCs w:val="20"/>
          <w:color w:val="auto"/>
        </w:rPr>
      </w:pPr>
      <w:r>
        <w:rPr>
          <w:rFonts w:ascii="Arial" w:cs="Arial" w:eastAsia="Arial" w:hAnsi="Arial"/>
          <w:sz w:val="16"/>
          <w:szCs w:val="16"/>
          <w:color w:val="auto"/>
        </w:rPr>
        <w:t>LiveEngage was designed for conversational experiences, enabling businesses to securely deploy messaging, coupled with bots and AI, at scale for brands with tens of millions of customers and many thousands of customer care agents. The platform powers conversations across each of a brand’s primary digital channels, including mobile apps, mobile and desktop web browsers, SMS, social media and third-party consumer messaging platforms. Brands can also use LiveEngage to message consumers when they dial a 1-800 number instead of forcing them to navigate interactive voice response systems (IVRs) and wait on hold. Similarly, LiveEngage can ingest traditional emails and convert them into messaging conversations, or embed messaging conversations directly into web advertisements, rather than redirect consumers to static website landing pages. The platform seamlessly integrates LivePerson’s Conversational AI engine as well as third-party bots, enabling brands to manage both AI-based agents and human agents from a single console.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90" w:right="239" w:bottom="1440" w:gutter="0" w:footer="0" w:header="0"/>
        </w:sectPr>
      </w:pPr>
    </w:p>
    <w:bookmarkStart w:id="11" w:name="page12"/>
    <w:bookmarkEnd w:id="11"/>
    <w:p>
      <w:pPr>
        <w:jc w:val="both"/>
        <w:ind w:firstLine="270"/>
        <w:spacing w:after="0" w:line="272" w:lineRule="auto"/>
        <w:rPr>
          <w:sz w:val="20"/>
          <w:szCs w:val="20"/>
          <w:color w:val="auto"/>
        </w:rPr>
      </w:pPr>
      <w:r>
        <w:rPr>
          <w:rFonts w:ascii="Arial" w:cs="Arial" w:eastAsia="Arial" w:hAnsi="Arial"/>
          <w:sz w:val="17"/>
          <w:szCs w:val="17"/>
          <w:color w:val="auto"/>
        </w:rPr>
        <w:t>Our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social, email, Amazon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LiveEngage.</w:t>
      </w:r>
    </w:p>
    <w:p>
      <w:pPr>
        <w:spacing w:after="0" w:line="70" w:lineRule="exact"/>
        <w:rPr>
          <w:sz w:val="20"/>
          <w:szCs w:val="20"/>
          <w:color w:val="auto"/>
        </w:rPr>
      </w:pPr>
    </w:p>
    <w:p>
      <w:pPr>
        <w:jc w:val="both"/>
        <w:ind w:firstLine="270"/>
        <w:spacing w:after="0" w:line="253" w:lineRule="auto"/>
        <w:rPr>
          <w:sz w:val="20"/>
          <w:szCs w:val="20"/>
          <w:color w:val="auto"/>
        </w:rPr>
      </w:pPr>
      <w:r>
        <w:rPr>
          <w:rFonts w:ascii="Arial" w:cs="Arial" w:eastAsia="Arial" w:hAnsi="Arial"/>
          <w:sz w:val="18"/>
          <w:szCs w:val="18"/>
          <w:color w:val="auto"/>
        </w:rPr>
        <w:t>LiveEngage enables the combination of real time on-site data and off-site behavioral data, with a broad set of historical and operational data. Proprietary analytics utilize this data to target end users with compelling engagement options at any step in the conversion funnel and throughout the customer lifecycle. The platform enables customers to maximize online revenue opportunities, improve conversion rates and reduce shopping cart abandonment by proactively engaging the right visitor, using the right channel, at the right time. Our solution identifies segments of website visitors who demonstrate the highest propensity to convert, and engages them in real-time with relevant content and offers, helping to generate incremental sales. The platform also reduces costs in the contact center relative to voice, by identifying consumers who may be struggling with their self-help experience, and proactively connecting them to a live consumer care specialist via messaging, who can manage several conversations at once. This comprehensive solution blends a proven value-based methodology with an active rules-based engagement engine and deep domain expertise to increase first contact resolution, improve consumer satisfaction, and reduce attrition rates.</w:t>
      </w:r>
    </w:p>
    <w:p>
      <w:pPr>
        <w:spacing w:after="0" w:line="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LivePerson’s Conversational AI. LivePerson’s Conversational AI, announced in December 2018, operates as the brains behind new LivePerson AI-based products, and was developed using our conversational data set of millions of brand-to-consumer interactions. LivePerson’s Conversational AI was custom designed for the Conversational Space, putting the power of bot development, training and management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Through LiveEngage, agents become ultra-efficient, leveraging the AI engine to serve up relevant content, define next-best actions and take over repetitive transactional work, so that the agent can focus on relationship building. By seamlessly integrating LiveEngage with our proprietary AI, as well as third-party bots, the platform provides businesses with a comprehensive view of all AI-based and human-based conversations from a single console. Some of the first products developed on LivePerson’s Conversational AI engine include:</w:t>
      </w:r>
    </w:p>
    <w:p>
      <w:pPr>
        <w:spacing w:after="0" w:line="55" w:lineRule="exact"/>
        <w:rPr>
          <w:sz w:val="20"/>
          <w:szCs w:val="20"/>
          <w:color w:val="auto"/>
        </w:rPr>
      </w:pPr>
    </w:p>
    <w:p>
      <w:pPr>
        <w:jc w:val="both"/>
        <w:ind w:left="660" w:hanging="328"/>
        <w:spacing w:after="0" w:line="27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Conversation Builder, </w:t>
      </w:r>
      <w:r>
        <w:rPr>
          <w:rFonts w:ascii="Arial" w:cs="Arial" w:eastAsia="Arial" w:hAnsi="Arial"/>
          <w:sz w:val="17"/>
          <w:szCs w:val="17"/>
          <w:color w:val="auto"/>
        </w:rPr>
        <w:t>which non-technical staff such as contact center agents use to design high-quality automated conversations. The</w:t>
      </w:r>
      <w:r>
        <w:rPr>
          <w:rFonts w:ascii="Arial" w:cs="Arial" w:eastAsia="Arial" w:hAnsi="Arial"/>
          <w:sz w:val="17"/>
          <w:szCs w:val="17"/>
          <w:b w:val="1"/>
          <w:bCs w:val="1"/>
          <w:color w:val="auto"/>
        </w:rPr>
        <w:t xml:space="preserve"> </w:t>
      </w:r>
      <w:r>
        <w:rPr>
          <w:rFonts w:ascii="Arial" w:cs="Arial" w:eastAsia="Arial" w:hAnsi="Arial"/>
          <w:sz w:val="17"/>
          <w:szCs w:val="17"/>
          <w:color w:val="auto"/>
        </w:rPr>
        <w:t>conversations are not built from scratch. Conversation Builder creates the initial versions by mining a brand's existing conversation transcripts. Prebuilt industry templates are also available, providing the dialogue and integrations necessary for common use cases such as billing.</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Conversation Manager, </w:t>
      </w:r>
      <w:r>
        <w:rPr>
          <w:rFonts w:ascii="Arial" w:cs="Arial" w:eastAsia="Arial" w:hAnsi="Arial"/>
          <w:sz w:val="18"/>
          <w:szCs w:val="18"/>
          <w:color w:val="auto"/>
        </w:rPr>
        <w:t>a console that suggests automated responses and next best actions to contact center agents, who edit and select from them.</w:t>
      </w:r>
      <w:r>
        <w:rPr>
          <w:rFonts w:ascii="Arial" w:cs="Arial" w:eastAsia="Arial" w:hAnsi="Arial"/>
          <w:sz w:val="18"/>
          <w:szCs w:val="18"/>
          <w:b w:val="1"/>
          <w:bCs w:val="1"/>
          <w:color w:val="auto"/>
        </w:rPr>
        <w:t xml:space="preserve"> </w:t>
      </w:r>
      <w:r>
        <w:rPr>
          <w:rFonts w:ascii="Arial" w:cs="Arial" w:eastAsia="Arial" w:hAnsi="Arial"/>
          <w:sz w:val="18"/>
          <w:szCs w:val="18"/>
          <w:color w:val="auto"/>
        </w:rPr>
        <w:t>Edits and selections dynamically improve the responses and next best actions. When the content reaches a brand-set accuracy threshold, it can be offered to consumers without human intervention. Conversation Manager also includes sentiment monitoring to alert contact center agents to conversations that require their attention. Designed for use in large contact centers, Conversation Manager sends these requests to agents who have the capacity and appropriate skills to respond. A major retail brand that adopted this approach in its sales operation increased agent productivity up to 220% within 12 weeks of launch.</w:t>
      </w:r>
    </w:p>
    <w:p>
      <w:pPr>
        <w:spacing w:after="0" w:line="2" w:lineRule="exact"/>
        <w:rPr>
          <w:rFonts w:ascii="Arial" w:cs="Arial" w:eastAsia="Arial" w:hAnsi="Arial"/>
          <w:sz w:val="18"/>
          <w:szCs w:val="18"/>
          <w:color w:val="auto"/>
        </w:rPr>
      </w:pPr>
    </w:p>
    <w:p>
      <w:pPr>
        <w:jc w:val="both"/>
        <w:ind w:left="660" w:hanging="328"/>
        <w:spacing w:after="0" w:line="29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Conversation Analytics</w:t>
      </w:r>
      <w:r>
        <w:rPr>
          <w:rFonts w:ascii="Arial" w:cs="Arial" w:eastAsia="Arial" w:hAnsi="Arial"/>
          <w:sz w:val="16"/>
          <w:szCs w:val="16"/>
          <w:color w:val="auto"/>
        </w:rPr>
        <w:t>, dashboards and reporting which take the true voice of the customer - their direct discussions with a brand, spoken in their</w:t>
      </w:r>
      <w:r>
        <w:rPr>
          <w:rFonts w:ascii="Arial" w:cs="Arial" w:eastAsia="Arial" w:hAnsi="Arial"/>
          <w:sz w:val="16"/>
          <w:szCs w:val="16"/>
          <w:b w:val="1"/>
          <w:bCs w:val="1"/>
          <w:color w:val="auto"/>
        </w:rPr>
        <w:t xml:space="preserve"> </w:t>
      </w:r>
      <w:r>
        <w:rPr>
          <w:rFonts w:ascii="Arial" w:cs="Arial" w:eastAsia="Arial" w:hAnsi="Arial"/>
          <w:sz w:val="16"/>
          <w:szCs w:val="16"/>
          <w:color w:val="auto"/>
        </w:rPr>
        <w:t>natural language - and turn it into actionable sales and service intelligence. A major wireless provider using early versions of Conversation Analytics reported the product identifies the root cause of service issues faster than monitoring software, enabling the provider to accelerate the fix and reduce inbound customer inquiries. A leading hospitality firm used Conversation Analytics to identify and add new, top-selling items to its menu selection.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89" w:right="239" w:bottom="1440" w:gutter="0" w:footer="0" w:header="0"/>
        </w:sectPr>
      </w:pPr>
    </w:p>
    <w:bookmarkStart w:id="12" w:name="page13"/>
    <w:bookmarkEnd w:id="12"/>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Professional Services. </w:t>
      </w:r>
      <w:r>
        <w:rPr>
          <w:rFonts w:ascii="Arial" w:cs="Arial" w:eastAsia="Arial" w:hAnsi="Arial"/>
          <w:sz w:val="17"/>
          <w:szCs w:val="17"/>
          <w:color w:val="auto"/>
        </w:rPr>
        <w:t>The mission of our Professional Services team is to help customers optimize the performance of our products in order to drive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incremental value through their mobile and online sales and/or service channel(s). This talented group utilizes their deep domain expertise and years of hands-on experience to provide customers with detailed analyses and measurements of their LivePerson deployment that drive strategies and decisions on how to optimize mobile and online messaging, real-time chat, and bot and AI integration. Deliverables of the team include scorecards that measure and chart performance trends, analyses and recommendations for conversational design, web design and process improvement, transcript reviews to discover both voice of the consumer insight and agent improvement opportunities, custom training of call center agents and management, and ongoing management of messaging programs to ensure alignment with current business practices and objectives. The team’s value-added methodology and approach to guiding customers towards messaging channel and human/bot agent optimization is an important component of the LivePerson offering, and gives our customers a competitive advantage in the digital world. Revenue attributable to professional services accounted for 14% of total revenue for the year ended December 31, 2019. Revenue attributable to professional services accounted for 13% and 10% of total revenue for each of the years ended December 31, 2018 and 2017,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offering</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 Revenue from our Consumer segment accounted for approximately 8% of total revenue for the years ended December 31, 2019, 2018 and 2017, respectively.</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 than 18,000 customers have deployed our business solutions, including Fortune 500 companies, dedicated Internet businesses, a broad range of online merchants, as well as numerous SMBs, automotive dealers, universities, libraries, government agencies and not-for-profit organizations. Our solutions benefit organizations of all sizes conducting business or communicating with consumers through mobile and online messaging and chat. We plan to continue to focus on key target markets: consumer/retail, telecommunications, financial services, travel/hospitality, technology and automotive, within the United States and Canada, Latin America, Europe and the Asia-Pacific region.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customer accounted for or exceeded 10% of our total revenue in 2019, 2018 or 2017.</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sell our business products and services by leveraging a common methodology through both direct and indirect sales channels.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sales process focuses on the perspective that the Conversational Space requires an operational transformation that changes how brands engage with consumers across service, sales, marketing, social and brick and mortar. Brands must adapt their contact centers to an asynchronous messaging environment and leverage a combination of human agents, bots and AI to achieve scale and efficiencies. When done right, the entire consumer lifecycle with a brand will be maintained within the Conversational Space, and traffic will steadily shift away from lower returning voice calls, websites, emails and apps to higher returning messaging endpoints.</w:t>
      </w:r>
    </w:p>
    <w:p>
      <w:pPr>
        <w:spacing w:after="0" w:line="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mobile and online messaging solutions are targeted at business executives whose primary responsibility is optimization of customer care, sales and marketing, or optimizing a consumer’s journey across the brand’s digital properties. Our solutions enable organizations to provide effective customer service, sales and marketing by deflecting costly phone calls and emails to the more cost efficient mobile and online messaging channel. We focus on the value that our solutions deliver in the form of increased agent efficiency, reduced contact center costs, increased customer satisfaction, improved customer lifetime value, maximized digital consumer acquisition, and optimized website and mobile business outcomes. LivePerson supports any organization with a company-wide strategic initiative to improve the overall mobile and online consumer experience.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Within the business solutions segment we have aligned our field organization to address the different sales strategies of our target markets: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90" w:right="2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Enterprise and large mid-market. </w:t>
      </w:r>
      <w:r>
        <w:rPr>
          <w:rFonts w:ascii="Arial" w:cs="Arial" w:eastAsia="Arial" w:hAnsi="Arial"/>
          <w:sz w:val="18"/>
          <w:szCs w:val="18"/>
          <w:color w:val="auto"/>
        </w:rPr>
        <w:t>We target large mid-market and enterprise businesses with a combination of direct sales and customer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teams, and partners. Across the globe we are targeting a select group of brands, many of them already customers, that hold the power to transform customer care. These enterprises have thousands of agents in their contact centers and collectively connect with billions of consumers each year. We leverage thought leadership and related events to showcase our strength in messaging and AI, and highlight existing reference customers who share their successes on our platform and how they achieved positive ROIs. Increasingly, we are working with large third-party system integrators, technology providers and business process outsourcers to supplement our direct sales effort.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our large and more complex customers, our sales methodology often begins with research and discovery meetings that enable us to develop a deep understanding of the value drivers and key performance metrics of a prospective customer. We then present an analytical review detailing how our solutions and industry expertise can affect these value drivers and metrics. Once we validate solution capabilities and prove financial return on investment, we transition to a program management model wherein we work hand-in-hand with the customer, providing detailed analysis, measurements and recommendations that help optimize their performance and ensure ongoing program success.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2018, we introduced a pilot accelerator program, where we offer customers the option to test our entire platform, across all messaging endpoints and customer use cases, at an entry level price point for a period of three to nine months. This pilot program is intended to accelerate sales cycles and enable customers to rapidly assess the potential ROI and differentiation of our solutions before committing to a more substantial and extended deployment.</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Small business and small mid-market. </w:t>
      </w:r>
      <w:r>
        <w:rPr>
          <w:rFonts w:ascii="Arial" w:cs="Arial" w:eastAsia="Arial" w:hAnsi="Arial"/>
          <w:sz w:val="16"/>
          <w:szCs w:val="16"/>
          <w:color w:val="auto"/>
        </w:rPr>
        <w:t>We target small business and small mid-market customers with a mix of direct, online self-service and third-party partner channels. Our customer acquisition strategy centers on leveraging customer word-of-mouth, our leading brand name, online marketing and partnerships. We also leverage marketing programs and partner resources to promote increased usage and product adoption within these customers.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Indirect Sales. </w:t>
      </w:r>
      <w:r>
        <w:rPr>
          <w:rFonts w:ascii="Arial" w:cs="Arial" w:eastAsia="Arial" w:hAnsi="Arial"/>
          <w:sz w:val="17"/>
          <w:szCs w:val="17"/>
          <w:color w:val="auto"/>
        </w:rPr>
        <w:t>Resources within our organization are focused on developing partnerships to generate revenues via referral partnerships and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through channel partners. By maximizing market coverage via partners who provide lead referrals and complementary products and services, we believe this channel supports revenue opportunities without incurring the costs associated with traditional direct sales.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jc w:val="both"/>
        <w:ind w:firstLine="514"/>
        <w:spacing w:after="0" w:line="264" w:lineRule="auto"/>
        <w:rPr>
          <w:sz w:val="20"/>
          <w:szCs w:val="20"/>
          <w:color w:val="auto"/>
        </w:rPr>
      </w:pPr>
      <w:r>
        <w:rPr>
          <w:rFonts w:ascii="Arial" w:cs="Arial" w:eastAsia="Arial" w:hAnsi="Arial"/>
          <w:sz w:val="18"/>
          <w:szCs w:val="18"/>
          <w:color w:val="auto"/>
        </w:rPr>
        <w:t>Our Professional Services group provides deployment support and ongoing business consulting to enterprise and mid-market customers and maintains involvement throughout the engagement lifecycle. All LivePerson customers have access to 24/7 help desk services through messaging, chat, and technical support ticketing.</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firstLine="529"/>
        <w:spacing w:after="0" w:line="257" w:lineRule="auto"/>
        <w:rPr>
          <w:sz w:val="20"/>
          <w:szCs w:val="20"/>
          <w:color w:val="auto"/>
        </w:rPr>
      </w:pPr>
      <w:r>
        <w:rPr>
          <w:rFonts w:ascii="Arial" w:cs="Arial" w:eastAsia="Arial" w:hAnsi="Arial"/>
          <w:sz w:val="18"/>
          <w:szCs w:val="18"/>
          <w:color w:val="auto"/>
        </w:rPr>
        <w:t>Our marketing efforts in support of our business operations are organized around the needs, trends and characteristics of our existing and prospective customer base. Our deep relationship with existing customers fosters continuous feedback and critical data analysis, thereby allowing us to develop and refine marketing programs that drive adoption across multiple customer segments. We have a global team, spread across key geographies that is focused on marketing our brand, products and services to executives responsible for the digital channel, the consumer experience, marketing, sales, IT, and consumer service operations of their organization.</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main focus is on the consumer/retail, telecommunications, financial services, travel/hospitality, technology and automotive industries. Our integrated marketing strategy is focused on driving demand, building customer and consumer advocacy, driving adoption of our platform, and supporting key areas of business, especially large enterprise, but also including mid-sized and small business, partners and international entities. We aim to achieve this by delivering high-touch, small group events for senior executives, to educate them on messaging and the transformational ways that digital communication can help their business. We also market our software via high-level thought leadership campaigns, industry event participation, personalized lead generation campaigns to reach potential and existing customers using mediums such as paid and organic search, direct email and mail, industry- and category-specific tradeshows and events, and telemarketing.</w:t>
      </w:r>
    </w:p>
    <w:p>
      <w:pPr>
        <w:spacing w:after="0" w:line="81" w:lineRule="exact"/>
        <w:rPr>
          <w:sz w:val="20"/>
          <w:szCs w:val="20"/>
          <w:color w:val="auto"/>
        </w:rPr>
      </w:pPr>
    </w:p>
    <w:p>
      <w:pPr>
        <w:jc w:val="both"/>
        <w:ind w:firstLine="700"/>
        <w:spacing w:after="0" w:line="279" w:lineRule="auto"/>
        <w:rPr>
          <w:sz w:val="20"/>
          <w:szCs w:val="20"/>
          <w:color w:val="auto"/>
        </w:rPr>
      </w:pPr>
      <w:r>
        <w:rPr>
          <w:rFonts w:ascii="Arial" w:cs="Arial" w:eastAsia="Arial" w:hAnsi="Arial"/>
          <w:sz w:val="17"/>
          <w:szCs w:val="17"/>
          <w:color w:val="auto"/>
        </w:rPr>
        <w:t>Our marketing strategy also encompasses a strategic communications approach that integrates public relations, social media, and analyst/influencer relations. We are focused on using those channels to communicate our brand value, to those key stakeholders, to increase overall brand and technology awareness. Communications seek to highlight key customer success stories, and promote executive thought leadership via contributed content, speaking opportunities and press interviews, to raise LivePerson’s profile and reinforce our position as an industry leader.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markets for mobile and online business messaging, and digital engagement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pricing pressure. If we are unable to accurately anticipate technology developments and continue to innovate in the markets in which we compete, or our competitors are more successful than us at developing compelling new products and services or at attracting and retaining customers, we may lose revenue and market share and our operating results could be adversely affected.</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most contact center technology vendors incorrectly view messaging as a feature. They are content with building integrations to a messaging endpoint and offering messaging as just another product in their suite. LivePerson holds the perspective that messaging and AI are the foundation for conversational experiences, which transform how agents operate and how brands engage with consumers across service, sales, marketing,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 and apps to higher returning messaging endpoints.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our differentiated approach to the Conversational Space, combined with our unique technology and expertise, has established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a market leader, with an ability to deliver superior returns on investment:</w:t>
      </w:r>
    </w:p>
    <w:p>
      <w:pPr>
        <w:spacing w:after="0" w:line="103" w:lineRule="exact"/>
        <w:rPr>
          <w:sz w:val="20"/>
          <w:szCs w:val="20"/>
          <w:color w:val="auto"/>
        </w:rPr>
      </w:pPr>
    </w:p>
    <w:p>
      <w:pPr>
        <w:jc w:val="both"/>
        <w:ind w:left="1040" w:hanging="316"/>
        <w:spacing w:after="0" w:line="25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NLU providers.</w:t>
      </w:r>
    </w:p>
    <w:p>
      <w:pPr>
        <w:spacing w:after="0" w:line="1" w:lineRule="exact"/>
        <w:rPr>
          <w:rFonts w:ascii="Arial" w:cs="Arial" w:eastAsia="Arial" w:hAnsi="Arial"/>
          <w:sz w:val="18"/>
          <w:szCs w:val="18"/>
          <w:color w:val="auto"/>
        </w:rPr>
      </w:pPr>
    </w:p>
    <w:p>
      <w:pPr>
        <w:ind w:left="1040" w:hanging="316"/>
        <w:spacing w:after="0" w:line="25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ind w:left="1040" w:hanging="316"/>
        <w:spacing w:after="0" w:line="250"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jc w:val="both"/>
        <w:ind w:left="1040" w:hanging="316"/>
        <w:spacing w:after="0" w:line="25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this focus on technological innovation, expertise and enterprise-class capabilities is positioning LivePerson as a leader in the Conversational Space. For example, we estimate that LivePerson held an approximate 33% share of Apple Business Chat deployments in 2018, and that the Company at least maintained that position in 2019.</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3" w:lineRule="exact"/>
        <w:rPr>
          <w:sz w:val="20"/>
          <w:szCs w:val="20"/>
          <w:color w:val="auto"/>
        </w:rPr>
      </w:pPr>
    </w:p>
    <w:p>
      <w:pPr>
        <w:ind w:left="1100" w:hanging="322"/>
        <w:spacing w:after="0" w:line="258"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1" w:lineRule="exact"/>
        <w:rPr>
          <w:rFonts w:ascii="Arial" w:cs="Arial" w:eastAsia="Arial" w:hAnsi="Arial"/>
          <w:sz w:val="18"/>
          <w:szCs w:val="18"/>
          <w:color w:val="auto"/>
        </w:rPr>
      </w:pPr>
    </w:p>
    <w:p>
      <w:pPr>
        <w:ind w:left="1100" w:hanging="322"/>
        <w:spacing w:after="0" w:line="250"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providers that offer basic messaging products or services with limited functionality free of charge or at significantly reduced entry level prices;</w:t>
      </w:r>
    </w:p>
    <w:p>
      <w:pPr>
        <w:jc w:val="both"/>
        <w:ind w:left="1100" w:hanging="322"/>
        <w:spacing w:after="0" w:line="250"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B2B solutions; and</w:t>
      </w:r>
    </w:p>
    <w:p>
      <w:pPr>
        <w:spacing w:after="0" w:line="1" w:lineRule="exact"/>
        <w:rPr>
          <w:rFonts w:ascii="Arial" w:cs="Arial" w:eastAsia="Arial" w:hAnsi="Arial"/>
          <w:sz w:val="18"/>
          <w:szCs w:val="18"/>
          <w:color w:val="auto"/>
        </w:rPr>
      </w:pPr>
    </w:p>
    <w:p>
      <w:pPr>
        <w:ind w:left="1100" w:hanging="322"/>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986" w:right="239" w:bottom="1440" w:gutter="0" w:footer="0" w:header="0"/>
        </w:sectPr>
      </w:pPr>
    </w:p>
    <w:bookmarkStart w:id="15" w:name="page16"/>
    <w:bookmarkEnd w:id="15"/>
    <w:p>
      <w:pPr>
        <w:jc w:val="both"/>
        <w:ind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Three key technological features distinguish the LivePerson services:</w:t>
      </w:r>
    </w:p>
    <w:p>
      <w:pPr>
        <w:spacing w:after="0" w:line="117" w:lineRule="exact"/>
        <w:rPr>
          <w:sz w:val="20"/>
          <w:szCs w:val="20"/>
          <w:color w:val="auto"/>
        </w:rPr>
      </w:pPr>
    </w:p>
    <w:p>
      <w:pPr>
        <w:jc w:val="both"/>
        <w:ind w:left="1300" w:hanging="320"/>
        <w:spacing w:after="0" w:line="25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support our customers through a secure, scalable server infrastructure.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and are supported by a top-tier backup server facility located in The Netherlands. In the Asia Pacific region, our primary and backup servers are hosted in fully-secured, top-tier, third-party server centers located in Australia. Nearly all of our larger customers outside of the United States are hosted within our UK- and Australia-based facilities. By managing our servers directly, we maintain greater flexibility and control over the production environment allowing us to be responsive to customer needs and to continue to provide a superior level of service. Utilizing advanced network infrastructure and protocols, our network, hardware and software are designed to accommodate our customers’ demand for secure, high-quality 24/7 service, including during peak times such as the holiday shopping season.</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spacing w:after="0" w:line="1" w:lineRule="exact"/>
        <w:rPr>
          <w:rFonts w:ascii="Arial" w:cs="Arial" w:eastAsia="Arial" w:hAnsi="Arial"/>
          <w:sz w:val="18"/>
          <w:szCs w:val="18"/>
          <w:color w:val="auto"/>
        </w:rPr>
      </w:pPr>
    </w:p>
    <w:p>
      <w:pPr>
        <w:ind w:left="1300" w:right="20" w:hanging="320"/>
        <w:spacing w:after="0" w:line="323" w:lineRule="auto"/>
        <w:tabs>
          <w:tab w:leader="none" w:pos="13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Software Design. </w:t>
      </w:r>
      <w:r>
        <w:rPr>
          <w:rFonts w:ascii="Arial" w:cs="Arial" w:eastAsia="Arial" w:hAnsi="Arial"/>
          <w:sz w:val="18"/>
          <w:szCs w:val="18"/>
          <w:color w:val="auto"/>
        </w:rPr>
        <w:t>Our software design is based on client-server architecture. Since we are a SaaS provider, LiveEngage customers and visitors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websites require only a standard Web browser and do not need to download software from LivePerson in order to interact with our customers’ operators or to use the LivePerson services. We also provide APIs that enable our customers and third-parties to integrate LiveEngage with custom designed applications.</w:t>
      </w:r>
    </w:p>
    <w:p>
      <w:pPr>
        <w:spacing w:after="0" w:line="79" w:lineRule="exact"/>
        <w:rPr>
          <w:sz w:val="20"/>
          <w:szCs w:val="20"/>
          <w:color w:val="auto"/>
        </w:rPr>
      </w:pPr>
    </w:p>
    <w:p>
      <w:pPr>
        <w:jc w:val="both"/>
        <w:ind w:firstLine="693"/>
        <w:spacing w:after="0" w:line="293" w:lineRule="auto"/>
        <w:rPr>
          <w:sz w:val="20"/>
          <w:szCs w:val="20"/>
          <w:color w:val="auto"/>
        </w:rPr>
      </w:pPr>
      <w:r>
        <w:rPr>
          <w:rFonts w:ascii="Arial" w:cs="Arial" w:eastAsia="Arial" w:hAnsi="Arial"/>
          <w:sz w:val="16"/>
          <w:szCs w:val="16"/>
          <w:b w:val="1"/>
          <w:bCs w:val="1"/>
          <w:i w:val="1"/>
          <w:iCs w:val="1"/>
          <w:color w:val="auto"/>
        </w:rPr>
        <w:t xml:space="preserve">Network Architecture. </w:t>
      </w:r>
      <w:r>
        <w:rPr>
          <w:rFonts w:ascii="Arial" w:cs="Arial" w:eastAsia="Arial" w:hAnsi="Arial"/>
          <w:sz w:val="16"/>
          <w:szCs w:val="16"/>
          <w:color w:val="auto"/>
        </w:rPr>
        <w:t>The software underlying our services is integrated with scalable and reliable network architecture. Our network is scalable;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do not need to add new hardware or network capacity for each new LivePerson customer. This network architecture is hosted in co-location facilities with redundant network connections, servers and other infrastructure, enabling superior availability. Our backup server infrastructure housed at separate locations provides our primary hosting facilities with effective disaster recovery capability. We comply with security standards such as SOC2 and PCI. For increased security, through a multi-layered approach, we use advanced firewall architecture and industry-leading encryption standards and employ third-party experts to further validate our systems’ security. We also enable our customers to further encrypt their sensitive data using more advanced encryption algorithms.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customers are subject to a number of laws and regulations in the United States and abroad, including laws related to conducting business on the Internet and on mobile devices, such as laws regarding data privacy, data protection, information security, cybersecurity, restrictions or technological requirements regarding the collection, use, storage, protection, disposal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06" w:right="239" w:bottom="1440" w:gutter="0" w:footer="0" w:header="0"/>
        </w:sectPr>
      </w:pPr>
    </w:p>
    <w:bookmarkStart w:id="16" w:name="page17"/>
    <w:bookmarkEnd w:id="16"/>
    <w:p>
      <w:pPr>
        <w:jc w:val="both"/>
        <w:ind w:firstLine="648"/>
        <w:spacing w:after="0" w:line="291" w:lineRule="auto"/>
        <w:rPr>
          <w:sz w:val="20"/>
          <w:szCs w:val="20"/>
          <w:color w:val="auto"/>
        </w:rPr>
      </w:pPr>
      <w:r>
        <w:rPr>
          <w:rFonts w:ascii="Arial" w:cs="Arial" w:eastAsia="Arial" w:hAnsi="Arial"/>
          <w:sz w:val="16"/>
          <w:szCs w:val="16"/>
          <w:color w:val="auto"/>
        </w:rPr>
        <w:t>U.S. and international privacy laws and regulations are evolving and changing, are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investigations, and legislative proposals and enactments could harm our reputation or otherwise impact the growth of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121" w:lineRule="exact"/>
        <w:rPr>
          <w:sz w:val="20"/>
          <w:szCs w:val="20"/>
          <w:color w:val="auto"/>
        </w:rPr>
      </w:pPr>
    </w:p>
    <w:p>
      <w:pPr>
        <w:jc w:val="both"/>
        <w:ind w:firstLine="522"/>
        <w:spacing w:after="0" w:line="285" w:lineRule="auto"/>
        <w:rPr>
          <w:sz w:val="20"/>
          <w:szCs w:val="20"/>
          <w:color w:val="auto"/>
        </w:rPr>
      </w:pPr>
      <w:r>
        <w:rPr>
          <w:rFonts w:ascii="Arial" w:cs="Arial" w:eastAsia="Arial" w:hAnsi="Arial"/>
          <w:sz w:val="16"/>
          <w:szCs w:val="16"/>
          <w:color w:val="auto"/>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65"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7"/>
          <w:szCs w:val="17"/>
          <w:color w:val="auto"/>
        </w:rPr>
        <w:t>Substantial litigation regarding intellectual property rights exists in the software industry. In the ordinary course of our business, our services and/or our customers' use of our services have been and may be increasingly subject to third-party infringement claims as claims by non-practicing entities become more prevalent and as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or may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develop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99"/>
        <w:spacing w:after="0" w:line="277" w:lineRule="auto"/>
        <w:rPr>
          <w:sz w:val="20"/>
          <w:szCs w:val="20"/>
          <w:color w:val="auto"/>
        </w:rPr>
      </w:pPr>
      <w:r>
        <w:rPr>
          <w:rFonts w:ascii="Arial" w:cs="Arial" w:eastAsia="Arial" w:hAnsi="Arial"/>
          <w:sz w:val="18"/>
          <w:szCs w:val="18"/>
          <w:color w:val="auto"/>
        </w:rPr>
        <w:t>As of December 31, 2019, we had 1,341 full-time employees. Our employees are not covered by collective bargaining agreements. We believe our relations with our employees are satisfactory.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121" w:lineRule="exact"/>
        <w:rPr>
          <w:sz w:val="20"/>
          <w:szCs w:val="20"/>
          <w:color w:val="auto"/>
        </w:rPr>
      </w:pPr>
    </w:p>
    <w:p>
      <w:pPr>
        <w:jc w:val="both"/>
        <w:ind w:firstLine="559"/>
        <w:spacing w:after="0" w:line="293" w:lineRule="auto"/>
        <w:rPr>
          <w:sz w:val="20"/>
          <w:szCs w:val="20"/>
          <w:color w:val="auto"/>
        </w:rPr>
      </w:pPr>
      <w:r>
        <w:rPr>
          <w:rFonts w:ascii="Arial" w:cs="Arial" w:eastAsia="Arial" w:hAnsi="Arial"/>
          <w:sz w:val="16"/>
          <w:szCs w:val="16"/>
          <w:color w:val="auto"/>
        </w:rPr>
        <w:t xml:space="preserve">We make available, free of charge, on our website (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 our annual reports on Form 10-K, our quarterly reports on Form 10-Q and our current reports on Form 8-K and amendments to those reports filed or furnished pursuant to Sections 13(a) or 15(d) of the Securities Exchange Act of 1934 as soon as reasonably practicable after we have electronically filed such material with, or furnished it to, the Securities and Exchange Commission.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Company’s web site address provided above 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6"/>
          <w:szCs w:val="16"/>
          <w:color w:val="auto"/>
        </w:rPr>
        <w:t>The SEC maintains an Internet site that contains reports,</w:t>
      </w:r>
      <w:r>
        <w:rPr>
          <w:rFonts w:ascii="Arial" w:cs="Arial" w:eastAsia="Arial" w:hAnsi="Arial"/>
          <w:sz w:val="16"/>
          <w:szCs w:val="16"/>
          <w:i w:val="1"/>
          <w:iCs w:val="1"/>
          <w:color w:val="auto"/>
        </w:rPr>
        <w:t xml:space="preserve"> </w:t>
      </w:r>
      <w:r>
        <w:rPr>
          <w:rFonts w:ascii="Arial" w:cs="Arial" w:eastAsia="Arial" w:hAnsi="Arial"/>
          <w:sz w:val="16"/>
          <w:szCs w:val="16"/>
          <w:color w:val="auto"/>
        </w:rPr>
        <w:t>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are certain of the important risk factors that could cause, or contribute to causing, our actual operating results to differ materially from those indicated, expected or suggested by forward-looking statements made in this Annual Report on Form 10-K or presented elsewhere by management from time to time. The risks described below are not the only ones we face. Additional risks not presently known to us, or that we currently deem immaterial, may become important factors that impair our business operations. Prospective and existing investors are strongly urged to carefully consider the various cautionary statements and risks set forth in this report and other public filings before deciding to purchase, hold or sell our securities.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jc w:val="center"/>
        <w:ind w:right="440"/>
        <w:spacing w:after="0"/>
        <w:rPr>
          <w:sz w:val="20"/>
          <w:szCs w:val="20"/>
          <w:color w:val="auto"/>
        </w:rPr>
      </w:pPr>
      <w:r>
        <w:rPr>
          <w:rFonts w:ascii="Arial" w:cs="Arial" w:eastAsia="Arial" w:hAnsi="Arial"/>
          <w:sz w:val="15"/>
          <w:szCs w:val="15"/>
          <w:b w:val="1"/>
          <w:bCs w:val="1"/>
          <w:i w:val="1"/>
          <w:iCs w:val="1"/>
          <w:color w:val="auto"/>
        </w:rPr>
        <w:t>Our quarterly revenue and operating results may fluctuate significantly, which may cause a substantial decline in the trading price of our securities.</w:t>
      </w:r>
    </w:p>
    <w:p>
      <w:pPr>
        <w:spacing w:after="0" w:line="1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in the past incurred, and may in the future incur, losses and experience negative cash flows, either or both of which may be significant and may cause our quarterly revenue and operating results to fluctuate significantly. These fluctuations may result from a variety of factors, many of which are outside of our control. Some of the important factors that may cause our revenue and operating results to fluctuate include:</w:t>
      </w:r>
    </w:p>
    <w:p>
      <w:pPr>
        <w:spacing w:after="0" w:line="57" w:lineRule="exact"/>
        <w:rPr>
          <w:sz w:val="20"/>
          <w:szCs w:val="20"/>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new customers;</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and increase sales to existing customers;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demand from customers and consumers for our services;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innovate and provide new services to current and future customers;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add artificial intelligence, machine learning and automation into our services;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of new services by us or our competitors;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avoid and/or manage service interruptions, disruptions, or security incidents;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pricing models or policies or in those of our competitors;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and add integrations with third-party consumer messaging platforms and endpoints;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adoption by companies of mobile and cloud-based messaging solutions;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in growing our sales and marketing programs;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adoption by Experts and Users of web-based advice services;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and</w:t>
      </w:r>
    </w:p>
    <w:p>
      <w:pPr>
        <w:spacing w:after="0" w:line="9" w:lineRule="exact"/>
        <w:rPr>
          <w:rFonts w:ascii="Arial" w:cs="Arial" w:eastAsia="Arial" w:hAnsi="Arial"/>
          <w:sz w:val="18"/>
          <w:szCs w:val="18"/>
          <w:color w:val="auto"/>
        </w:rPr>
      </w:pPr>
    </w:p>
    <w:p>
      <w:pPr>
        <w:ind w:left="1100" w:right="320" w:hanging="322"/>
        <w:spacing w:after="0" w:line="261"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other costs related to operation and expansion of our business, including those related to acquisitions.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86"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6"/>
          <w:szCs w:val="16"/>
          <w:color w:val="auto"/>
        </w:rPr>
        <w:t>Our revenue and operating results may also fluctuate significantly in the future due to the following factors that are entirely outside of our control:</w:t>
      </w:r>
    </w:p>
    <w:p>
      <w:pPr>
        <w:spacing w:after="0" w:line="140" w:lineRule="exact"/>
        <w:rPr>
          <w:sz w:val="20"/>
          <w:szCs w:val="20"/>
          <w:color w:val="auto"/>
        </w:rPr>
      </w:pPr>
    </w:p>
    <w:p>
      <w:pPr>
        <w:ind w:left="1100" w:hanging="322"/>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laws, regulations or regulatory or law enforcement initiatives;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economic conditions specific to the web, mobile technology, electronic commerce and cloud computing;</w:t>
      </w:r>
    </w:p>
    <w:p>
      <w:pPr>
        <w:spacing w:after="0" w:line="9" w:lineRule="exact"/>
        <w:rPr>
          <w:rFonts w:ascii="Arial" w:cs="Arial" w:eastAsia="Arial" w:hAnsi="Arial"/>
          <w:sz w:val="18"/>
          <w:szCs w:val="18"/>
          <w:color w:val="auto"/>
        </w:rPr>
      </w:pPr>
    </w:p>
    <w:p>
      <w:pPr>
        <w:ind w:left="1100" w:right="100" w:hanging="322"/>
        <w:spacing w:after="0" w:line="250"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consequences of unexpected geopolitical events, natural disasters, acts of war or terrorism, outbreaks of contagious disease (e.g., coronavirus) or climate change; and</w:t>
      </w:r>
    </w:p>
    <w:p>
      <w:pPr>
        <w:ind w:left="1100" w:hanging="322"/>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regional and/or global economic and political conditions.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securities could decline significantly.</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markets in which we participate are highly competitive, and we may lose customers and revenue if we are not able to innovate or effectively compete.</w:t>
      </w:r>
    </w:p>
    <w:p>
      <w:pPr>
        <w:spacing w:after="0" w:line="1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markets for mobile and online business messaging and digital engagement and AI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pressure. If we are unable to accurately anticipate technology developments and continue to innovate in the markets in which we compete and develop successful integrations with third-party consumer messaging platforms, AI providers and endpoints, or our competitors are more successful than us at developing compelling new products, services and integrations, or at attracting and retaining customers, we may lose revenue and market share and our operating results could be adversely affected.</w:t>
      </w:r>
    </w:p>
    <w:p>
      <w:pPr>
        <w:spacing w:after="0" w:line="28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181" w:lineRule="exact"/>
        <w:rPr>
          <w:sz w:val="20"/>
          <w:szCs w:val="20"/>
          <w:color w:val="auto"/>
        </w:rPr>
      </w:pPr>
    </w:p>
    <w:p>
      <w:pPr>
        <w:ind w:left="460" w:right="760" w:hanging="330"/>
        <w:spacing w:after="0" w:line="25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1"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service providers that offer basic messaging products or services with limited functionality free of charge or at significantly reduced entry level prices;</w:t>
      </w:r>
    </w:p>
    <w:p>
      <w:pPr>
        <w:spacing w:after="0" w:line="32" w:lineRule="exact"/>
        <w:rPr>
          <w:rFonts w:ascii="Arial" w:cs="Arial" w:eastAsia="Arial" w:hAnsi="Arial"/>
          <w:sz w:val="16"/>
          <w:szCs w:val="16"/>
          <w:color w:val="auto"/>
        </w:rPr>
      </w:pPr>
    </w:p>
    <w:p>
      <w:pPr>
        <w:ind w:left="460" w:right="60" w:hanging="330"/>
        <w:spacing w:after="0" w:line="265"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B2B solutions; and</w:t>
      </w: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that develop and manage their messaging solutions in-house.</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 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success of our business depends on retention of existing customers and their purchase of additional services, the migration of existing customers to our new platform, and attracting new customers and new consumer users of our consumer services.</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customers typically subscribe for our services for a twelve month term and may have no obligation to renew their subscription after expiration of the twelve 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could also lead customers to terminate our service.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color w:val="auto"/>
        </w:rPr>
        <w:t>We depend on monthly fees and interaction-based fees from our services for substantially all of our revenue. As part of our strategy, we are increasingly offering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Our revenue could decline unless we are able to obtain additional customers or alternate revenue sources.</w:t>
      </w:r>
    </w:p>
    <w:p>
      <w:pPr>
        <w:spacing w:after="0" w:line="8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our business, results of operations and financial condition.</w:t>
      </w:r>
    </w:p>
    <w:p>
      <w:pPr>
        <w:spacing w:after="0" w:line="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scope of U.S. and international privacy laws and regulations is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and legislative proposals and enactments could harm our reputation or otherwise impact the growth of our business.</w:t>
      </w:r>
    </w:p>
    <w:p>
      <w:pPr>
        <w:spacing w:after="0" w:line="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Laws and practices regarding handling and use of personal and other information by companies have come under increased public scrutiny, and governmental entities, consumer agencies and consumer advocacy groups have called for, and in many instances, enacted increased regulation and changes in industry practices. For example, the EU General Data Protection Regulation, which became effective in May 2018, replacing the EU Data Protection Directive, imposes significantly greater compliance burdens on companies that control or process personal data of primarily, users located in the European Union and, for noncompliance, provides for considerable fines up to the higher of 20 million Euros and 4% of global annual revenue. European regulators have issued numerous fines pursuant to the GDPR. One material change is that data processors (as that term is defined by applicable EU data protection law) have direct obligations, including implementing technical and organizational measures, and enhanced notification rules. The GDPR also imposes certain technological requirements that may require us to make changes to our services to enable LivePerson and/or our customers to meet the new legal requirements and may impact how data protection is addressed in our customer and vendor agreements. Ensuring compliance with the GDPR is an ongoing commitment that involves substantial costs, and it is possible that despite our efforts, governmental authorities or third parties will assert that our services or business practices fail to comply. We also must require vendors that process personal data to take on additional privacy and security obligations, and some may refuse, causing us to incur potential disruption and expense related to our business processes. If our policies and practices, or those of our vendors, are, or are perceived to be, insufficient, we could be subject to enforcement actions or investigations by EU Data Protection Authorities or lawsuits by private parties and our business could be negatively impacted.</w:t>
      </w:r>
    </w:p>
    <w:p>
      <w:pPr>
        <w:spacing w:after="0" w:line="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European Union has also released a proposed Regulation on Privacy and Electronic Communications (e-Privacy Regulation) to replace the EU’s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litigation, regulatory investigation and/or governmental orders requiring us to change our data practices, which could damage our reputation and harm our business.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20" w:name="page21"/>
    <w:bookmarkEnd w:id="20"/>
    <w:p>
      <w:pPr>
        <w:jc w:val="both"/>
        <w:ind w:firstLine="648"/>
        <w:spacing w:after="0" w:line="270" w:lineRule="auto"/>
        <w:rPr>
          <w:sz w:val="20"/>
          <w:szCs w:val="20"/>
          <w:color w:val="auto"/>
        </w:rPr>
      </w:pPr>
      <w:r>
        <w:rPr>
          <w:rFonts w:ascii="Arial" w:cs="Arial" w:eastAsia="Arial" w:hAnsi="Arial"/>
          <w:sz w:val="17"/>
          <w:szCs w:val="17"/>
          <w:color w:val="auto"/>
        </w:rPr>
        <w:t>Additionally, as web and mobile commerce continues to evolve, regulation by federal, state and foreign governments or agencies in the areas of data privacy and data security is likely to increase. For instance, the EU-US Safe Harbor program, which provided a valid legal basis for transfers of personal data from Europe to the United States, was invalidated on October 6, 2015, resulting in a significant impact on the transfer of data from the European Union to U.S. companies, including us. In July 2016, the European Union and the United States agreed to a replacement framework called the EU-US Privacy Shield (“EU Privacy Shield”) that provides a mechanism for companies to transfer data from EU member states to the United States and that LivePerson certified to in September 2016. Similarly, a Swiss-U.S. Privacy Shield (“Swiss Privacy Shield”) was announced in January 2017 that replaced the former Swiss-U.S. Safe Harbor. The Privacy Shield frameworks are subject to an annual review that could result in changes to our obligations. It could also be disruptive to our business if customers have concerns regarding the transfer of data from the European Union to the United States using the EU Privacy Shield or Swiss Privacy Shield as a transfer mechanism.</w:t>
      </w:r>
    </w:p>
    <w:p>
      <w:pPr>
        <w:spacing w:after="0" w:line="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EU Privacy Shield, Swiss Privacy Shield, and other frameworks may be challenged by regulators and/or private parties and reviewed by the European courts, which may lead to uncertainty about the legal basis for data transfers outside the EU. For example, there is current litigation pending that could impact companies’ ability to use the “standard contractual clauses” previously approved by the European Commission as a mechanism for data transfers from the EU to the US. Ongoing legal reviews may result in burdensome or inconsistent requirements affecting the location and movement of our customer and internal employee data, as well as the management of that data. Compliance may require changes in services, business practices, or internal systems that result in increased costs, lower revenue, reduced efficiency, or greater difficulty in competing with foreign-based firms. Failure to comply with existing or new rules may result in significant penalties or orders to stop the alleged noncompliant activity.</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there are other legally recognized mechanisms, such as standard Model Contractual Clauses, that we believe allow for the lawful transfer of EU personal data to the United States, these mechanisms have also been subjected to regulatory or judicial scrutiny and may be invalidated or evolve to include new legal requirements that could have an impact on how we move data between and among countries and regions in which we operate, which could affect how we provide our services or adversely impact our financial results.</w:t>
      </w:r>
    </w:p>
    <w:p>
      <w:pPr>
        <w:spacing w:after="0" w:line="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to the changing regulatory landscape in the European Union, in June 2018, the State of California legislature passed the California Consumer Privacy Act of 2018 (“CCPA”), which came into effect in January of 2020. The CCPA gives California residents new data privacy rights and also allows consumers to opt out of certain data sharing with third parties, and provides a new cause of action for data breaches. We may be subject to additional compliance obligations as other states consider and adopt similar legislation.</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government activity, privacy advocacy and other industry groups have established and may continue to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consumers to avoid online sites that collect various forms of data or to resist providing the data necessary to allow our customers to use our services effectively. Even the perception of data security and data privacy concerns, whether or not valid, could inhibit sales and market acceptance of our products and services.</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U.S. and foreign laws, and existing, new and developing regulatory or other legal requirements could subject us to claims or materially impact our business.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and our customers are subject to a number of laws and regulations in the United States and abroad, including laws related to conducting business on the Internet or mobile devices, such as laws regarding data privacy, data protection, information security, cybersecurity, restrictions or technological requirements regarding the collection, use, storage, protection,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 not have a local entity, employees or infrastructure. Foreign data protection, privacy, and other laws and regulations may often be more restrictive than those in the United States. The scope and interpretation of the laws and other obligations that apply to us, including those related to user privacy and data security, are often uncertain and may be conflicting, particularly laws and obligations outside the United States.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21" w:name="page22"/>
    <w:bookmarkEnd w:id="21"/>
    <w:p>
      <w:pPr>
        <w:jc w:val="both"/>
        <w:ind w:firstLine="648"/>
        <w:spacing w:after="0" w:line="276" w:lineRule="auto"/>
        <w:rPr>
          <w:sz w:val="20"/>
          <w:szCs w:val="20"/>
          <w:color w:val="auto"/>
        </w:rPr>
      </w:pPr>
      <w:r>
        <w:rPr>
          <w:rFonts w:ascii="Arial" w:cs="Arial" w:eastAsia="Arial" w:hAnsi="Arial"/>
          <w:sz w:val="17"/>
          <w:szCs w:val="17"/>
          <w:color w:val="auto"/>
        </w:rPr>
        <w:t>Businesses using our products and services may collect data from their users. Various federal, state and foreign government bodies and agencies impose laws regarding collection, use, storage, retention, disposal, transfer or other processing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privacy and data security could significantly increase the cost to us and our customers of regulatory compliance and could negatively impact our business.</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instance, some states in the United States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 various federal, state and foreign government bodies and agencies are highly focused on consumer protection initiatives, particularly in light of the increase in new technologies and services that incorporate or use bots, artificial intelligence and/or machine learning. For example, the new California B.O.T. Act came into effect in July 2019 and requires that companies using bots on platforms with more than 10 million unique monthly visitors from the U.S. use clear and conspicuous disclosure to inform consumers that they are not speaking to a human. Similar bills entitled the “Bot Disclosure and Accountability Act of 2019” were introduced to the U.S. House and Senate in July 2019. Regulation in this area could impact how businesses use our products and services to interact with consumers and how we provide our services to our customers. These new AI tools can also present unique technological and legal challenges, such as the possibility of insufficient data sets, or data sets that contain biased information, which can negatively impact the decisions, predictions or analyses that AI applications produce. Deficiencies such as these could cause us reputational harm and subject us to legal liability, including claims of product liability, breach of warranty or negligence.</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in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may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monitors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2" w:name="page23"/>
    <w:bookmarkEnd w:id="22"/>
    <w:p>
      <w:pPr>
        <w:jc w:val="both"/>
        <w:ind w:firstLine="648"/>
        <w:spacing w:after="0" w:line="287" w:lineRule="auto"/>
        <w:rPr>
          <w:sz w:val="20"/>
          <w:szCs w:val="20"/>
          <w:color w:val="auto"/>
        </w:rPr>
      </w:pPr>
      <w:r>
        <w:rPr>
          <w:rFonts w:ascii="Arial" w:cs="Arial" w:eastAsia="Arial" w:hAnsi="Arial"/>
          <w:sz w:val="16"/>
          <w:szCs w:val="16"/>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 Do-Not-Track signals from Internet browsers, the ability to delete information of minors, and new data breach notification requirements. The CCPA, California's new consumer privacy legislation, came into effect in January 2020. Outside the European Union and the United States, a number of countries have adopted or are considering privacy laws and regulations that may result in significant greater compliance burdens. Existing and proposed laws and regulations regarding cybersecurity and monitoring of online behavioral data, such as the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5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Various governmental bodies and many customers and businesses are increasingly focused on environmental and social issues, which has in the past resulted, and may in the future continue to result, in the adoption of new laws and regulations and changing buying practices. If we fail to keep pace with these developments, our reputation and results of operations could be adversely impacted.</w:t>
      </w:r>
    </w:p>
    <w:p>
      <w:pPr>
        <w:spacing w:after="0" w:line="73"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We might unintentionally violate such laws now or in the future; such laws or their interpretation or application may be modified; and new laws may be enacted in the future. Any such developments could subject us to legal liability exposure, and harm our business, operating results and financial condition.</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may expose us to greater than anticipated income, non-income and transactional tax liabilities, which could harm our financial condition and results of operations.</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There is heightened scrutiny by fiscal authorities in many jurisdictions on the potential taxation of e-commerce businesses. The Organization for Economic Co-operation and Development (OECD) has issued guidelines, referred to as the Base Erosion and Profit Shifting project (BEPS),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e-commerce business,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At this point, there is a lack of consensus among the key members, particularly the United States, with the latest OECD proposal. The United States has expressed that it would generally support a solution along the lines proposed by the OECD only if the solution was in the form of a “safe-harbor” rather than a mandatory requirement. A failure to reach full consensus on an executable plan within the tight timeframe under which the OECD is operating could result in individual jurisdictions legislating digital tax provisions in an uncoordinated and unilateral manner, and further result in greater or even double taxation that companies may not have sufficient means to remedy. For example, a number of jurisdictions, including the UK, France and Italy, have already adopted or have formally proposed legislation to effect the taxation of certain e-commerce business based on differing criteria and metrics. Efforts to alleviate this increased tax burden will increase the cost of structuring and compliance as well as the cost of doing business internationally. Any changes to the taxation of our international activities may increase our worldwide effective tax rate and adversely impact our financial position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3" w:name="page24"/>
    <w:bookmarkEnd w:id="23"/>
    <w:p>
      <w:pPr>
        <w:jc w:val="both"/>
        <w:ind w:firstLine="648"/>
        <w:spacing w:after="0" w:line="291" w:lineRule="auto"/>
        <w:rPr>
          <w:sz w:val="20"/>
          <w:szCs w:val="20"/>
          <w:color w:val="auto"/>
        </w:rPr>
      </w:pPr>
      <w:r>
        <w:rPr>
          <w:rFonts w:ascii="Arial" w:cs="Arial" w:eastAsia="Arial" w:hAnsi="Arial"/>
          <w:sz w:val="16"/>
          <w:szCs w:val="16"/>
          <w:color w:val="auto"/>
        </w:rPr>
        <w:t>Further, the prospective taxation by multiple jurisdictions of e-commerce businesses could subject us to exposure to withholding, sales, VAT and/or other transaction taxes on our past and future transactions in such jurisdictions where we currently or in the future may be required to report taxable transactions. A successful assertion by any jurisdiction that we failed to pay such withholding, sales, VAT or other transaction taxes, or the imposition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Changes in our exposure to withholding, sales, VAT and/or other transaction taxes could have an adverse impact on our financial condition in the future.</w:t>
      </w:r>
    </w:p>
    <w:p>
      <w:pPr>
        <w:spacing w:after="0" w:line="2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an increasing number of states have considered or adopted laws that attempt to impose tax collection obligations on out-of-state companies. In June 2018, the Supreme Court of the United States issued its decision in the matter of South Dakota v. Wayfair, Inc. This decision effectively reversed the 25-year-old “physical presence doctrine” previously established by the Supreme Court in Quill Corp. v. North Dakota, which required a minimum level of physical presence within a state before the state could impose an obligation to register and remit sales tax on revenue derived within that state. This decision may significantly increase the effort, resources and costs associated with the sales tax collection and compliance burden. Since the decision, a number of states have enacted sales tax enabling legislation which has had the effect of significantly expanding the liability of e-commerce companies to register, collect and remit state sales taxes from customers.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security breaches in our services or systems, those of our third party providers, or in the websites of our customers, including those resulting from cyber-attacks, security vulnerabilities, defects or errors, could harm our business.</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products and services involve the storage and transmission of proprietary information and personal data related to our customers and their users, as well as experts and consumers, and theft and security breaches expose us to a risk of loss of such information and data, improper use and disclosure thereof, litigation, regulatory investigation, and potential liability. We experience cyber-attacks of varying degrees on a regular basis. Our security measures may also be breached due to employee or other error, intentional malfeasance and other third party acts, and system errors or vulnerabilities, including vulnerabilities of our third party vendors, or customers, or otherwise. Any such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While we continue to expand our focus on this issue and are taking measures to safeguard our products and services from cybersecurity threats and vulnerabilities in desktop computers, mobile phones, smartphones and handheld devices, cyber-attacks and other security incidents continue to evolve in sophistication and frequency. 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mobile computing and mobile payments, they also increase the risk that cyber-attacks and other security incidents will occur. We engage third parties to review and assist in safeguarding our products and services from such threats. Those parties may identify vulnerabilities, some of which may not be immediately remedied. A significant cyber-attack, or a security incident of any magnitude that is profiled in the media, involving our, our service providers’ or our customers’ systems, could result in material harm to our brand and reputation, our ability to deliver our services or retain customers, and expose us to lawsuits, regulatory investigations, and significant damages, fines or penalties.</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customers may authorize third party access to their customer data located in our cloud environment. Because we do not control the transmissions between customer authorized third parties, or the processing of such data by customer 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Such adverse impact could include a decrease in demand for our services, damage to our reputation and to our customer relationships, legal exposure, and other financial liability or harm to our business.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Our business depends significantly on our ability to retain our key personnel, attract new personnel, and manage attrition.</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and put us at a competitive disadvantage.</w:t>
      </w:r>
    </w:p>
    <w:p>
      <w:pPr>
        <w:spacing w:after="0" w:line="5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technology industry, there is substantial competition for key personnel, including skilled engineers, sales executives and operations personnel. We may not be able to successfully recruit, integrate and retain qualified personnel in the future, which could impact our ability to innovate and deliver new or updated products to our customers, which could harm our business. If our retention and recruitment efforts are ineffective, employee turnover could increase and our ability to provide services to our customers would be materially and adversely affected. Furthermore, the requirement to expense stock options may discourage us from granting the size or type of stock option awards that job candidates may require in order to join our company.</w:t>
      </w:r>
    </w:p>
    <w:p>
      <w:pPr>
        <w:spacing w:after="0" w:line="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may not be able to outsource certain functions. 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impacted due to our exposure to foreign currency exchange rate fluctuations.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conduct business in currencies other than the U.S. dollar in Europe, Australia, Japan and Israel. As we continue to expand our international operations we become more exposed to the effects of fluctuations in currency exchange rates. As a result of the expanding size and scope of our international operations, our currency rate fluctuation risk associated with the exchange rate movement of the U.S. dollar has increased.</w:t>
      </w:r>
    </w:p>
    <w:p>
      <w:pPr>
        <w:spacing w:after="0" w:line="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Since we conduct business in currencies other than the U.S. dollar but report our financial results in U.S. dollars, fluctuations in currency exchange rates could adversely affect our results of operations. For example, during 2019 we experienced a foreign currency exchange impact of approximately 2% percent, or approximately $5.6 million if held in constant currency, to our revenue. Fluctuations in the value of the U.S. dollar relative to other foreign currencies could materially affect our revenue, cost of revenue and operating expenses, and result in foreign currency transaction gains and losses. In January 2015, we began hedging a portion of our foreign currency exchange rate exposure; however, significant fluctuations in exchange rates between the U.S. dollar and foreign currencies may nonetheless adversely affect our net income (loss). As of December 31, 2019, we are no longer party to any foreign currency hedging transactions. We may seek to enter into additional hedging transactions in the future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in the future. To the extent the international component of our revenues grows, our results of operations will become more sensitive to foreign exchange rate fluctuations.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Supporting our existing and growing customer base could strain our personnel resources and infrastructure, and if we are unable to scale our operations and increase productivity, we may not be able to successfully implement our business plan.</w:t>
      </w:r>
    </w:p>
    <w:p>
      <w:pPr>
        <w:spacing w:after="0" w:line="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continue to experience significant growth in our customer base and personnel, which has placed a strain on our management, administrative, operational and financial infrastructure. We anticipate that additional investments in our internal infrastructure, data center capacity, research, customer support and development, and real estate spending will be required to scale our operations and increase productivity, to address the needs of our customers, to further develop and enhance our services, to expand into new geographic areas, and to scale with our overall growth. The additional investments we are making will increase our cost base, which will make it more difficult for us to offset any future revenue shortfalls by reducing expenses in the short term.</w:t>
      </w:r>
    </w:p>
    <w:p>
      <w:pPr>
        <w:spacing w:after="0" w:line="5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regularly upgrade or replace our various software systems. If the implementations of these new applications are delayed, or if we encounter unforeseen problems with our new systems or in migrating away from our existing applications and systems, our operations and our ability to manage our business could be negatively impacted.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color w:val="auto"/>
        </w:rPr>
        <w:t>Our success will depend in part upon the ability of our senior management to manage our projected growth effectively. To do so, we must continue to increase the productivity of our existing employees and to hire, train and manage new employees as needed.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our operations and increase productivity, we may be unable to execute our business plan and the market price of our securities could decline.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conditions and regulatory changes caused by the United Kingdom’s exit from the European Union could negatively impact our business.</w:t>
      </w:r>
    </w:p>
    <w:p>
      <w:pPr>
        <w:spacing w:after="0" w:line="14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31, 2020, the United Kingdom (“U.K.”) withdrew its membership from the European Union (“E.U.”), which is commonly referred to as “Brexit”. While the U.K. has agreed upon the terms of its E.U. departure, the U.K. and E.U. need to continue to negotiate what their future relationship will be during a transition period that is scheduled to end on December 31, 2020. The longer term economic, legal, political and social framework to be put in place between the U.K. and the E.U., remains unclear and may lead to ongoing political, regulatory and economic uncertainty and periods of exacerbated volatility in both the U.K. and in wider European markets for some time. Such uncertainty may have a material adverse effect on our ability to operate in the U.K. and the E.U.</w:t>
      </w:r>
    </w:p>
    <w:p>
      <w:pPr>
        <w:spacing w:after="0" w:line="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the U.K. will continue to follow all of the E.U.'s rules and its trading relationship with the E.U. will remain the same during the transition period, Brexit and the continued uncertainty resulting from the ongoing negotiations concerning the U.K's future relationship with the E.U. has resulted in significant volatility in global stock market and currency exchange rate fluctuations that resulted in strengthening of the U.S. dollar relative to other foreign currencies in which we conduct business and global economic uncertainty. The continuing uncertainty may cause our customers to closely monitor their costs and reduce their spending budgets. This could negatively impact our business, including affecting our relationships with our existing and future customers, suppliers and employees, which could have a negative impact on our business, prospects, results of operations, financial condition and cash flows.</w:t>
      </w:r>
    </w:p>
    <w:p>
      <w:pPr>
        <w:spacing w:after="0" w:line="5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Further volatility in exchange rates resulting from Brexit is expected to continue in the short term as the U.K. continues to negotiate its future relationship with the E.U.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spacing w:after="0" w:line="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effects of Brexit will depend on any future agreements the U.K. makes to retain access to E.U. markets following the transition period that currently ends on December 31, 2020. The measures could potentially disrupt the markets we serve and the tax jurisdictions in which we operate and adversely change tax benefits or liabilities in these or other jurisdictions. They may also impact how we deliver our products and services to customers in the U.K. and in the E.U., which may cause us to lose customers, suppliers and/or employees and could result in increased operating expenses. In addition, Brexit could lead to legal uncertainty and potentially divergent national laws and regulations as the U.K. determines which E.U. laws to replace or replicate, as well as other adverse effects that we are unable to anticipate. Any of these effects of Brexit, among others, could negatively impact our prospects, business, financial condition and results of operations.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41"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Controls.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 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operate on mobile devices, our business could be adversely affected.</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number of people who access the Internet and complete transactions over the Internet through devices other than desktop computers, including smartphones, handheld tablets and mobile phones, has increased dramatically in the past few years and is projected to continue to increase. To address these developments, we continue to extend our products and services to support messaging on mobile phone and tablet applications belonging to our company and our customers. If the mobile solutions we have developed do not meet our customers’ needs or the needs of their website visitors, or are not widely adopted by our customers and consumers, we may fail to retain existing customers and we may have difficulty attracting new customers. Such solutions may also create new risks related to privacy and security, which could subject us to investigations, litigation or reputational harm. If we are unable to rapidly innovate and grow mobile revenue, or if we incur excessive expenses in this effort, our financial performance and ability to continue to grow overall revenue may be negatively affected.</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continually being released, it is difficult to predict the challenges we may encounter in developing versions of our solutions for use on these alternative devices.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Industry-specific regulation is evolving and unfavorable industry-specific laws, regulations or interpretive positions could harm our business.</w:t>
      </w:r>
    </w:p>
    <w:p>
      <w:pPr>
        <w:spacing w:after="0" w:line="14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customers and potential customers do business in a variety of industries, including financial services, the public sector, healthcare and telecommunications. Regulators of various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and we may be unable to conduct business with customers in such industries. In addition, an inability to satisfy the standards of certain third-party certification bodies that our customers may expect, such as the Payment Card Industry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w:t>
      </w:r>
    </w:p>
    <w:p>
      <w:pPr>
        <w:spacing w:after="0" w:line="8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38" w:lineRule="exact"/>
        <w:rPr>
          <w:sz w:val="20"/>
          <w:szCs w:val="20"/>
          <w:color w:val="auto"/>
        </w:rPr>
      </w:pPr>
    </w:p>
    <w:p>
      <w:pPr>
        <w:jc w:val="both"/>
        <w:ind w:firstLine="59"/>
        <w:spacing w:after="0" w:line="277" w:lineRule="auto"/>
        <w:rPr>
          <w:sz w:val="20"/>
          <w:szCs w:val="20"/>
          <w:color w:val="auto"/>
        </w:rPr>
      </w:pPr>
      <w:r>
        <w:rPr>
          <w:rFonts w:ascii="Arial" w:cs="Arial" w:eastAsia="Arial" w:hAnsi="Arial"/>
          <w:sz w:val="18"/>
          <w:szCs w:val="18"/>
          <w:b w:val="1"/>
          <w:bCs w:val="1"/>
          <w:i w:val="1"/>
          <w:iCs w:val="1"/>
          <w:color w:val="auto"/>
        </w:rPr>
        <w:t>Downturns in the global economic environment or in particular industries in which our sales are concentrated may adversely affect our business and results of operations.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United States and other global economies have experienced in the past and could in the future experience economic downturn that affects all sectors of the economy, particularly in the financial services and retail industries, resulting in declines in economic growth and consumer confidence, increases in unemployment rates and uncertainty about economic stability. Further, there is increased uncertainty regarding social, political, immigration and trade policies in the United States, which could impact our global operations and our business.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and will continue to be, dependent on sales to customers in the telecommunications, financial services, retail, automotive, real estate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our operating results, make business decisions and identify risks that may adversely affect our business, sources and uses of cash, financial condition and results of operations.</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Weak economic conditions may also cause our customers to experience difficulty in supporting their current operations and implementing their business plans. Our customers may reduce their spending on our services, may not be able to discharge their payment and other obligations to us, may experience difficulty raising capital, or may elect to scale back the resources they devote to customer service and/or sales and marketing technology, including services such as ours. Economic conditions may also lead consumers and businesses to postpone spending, which may cause our customers to decrease or delay their purchases of our products and services.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integrate past or potential future acquisitions, we may not realize the expected business or financial benefits and our business could adversely impacted.</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business strategy, we have made and will continue to make acquisitions to add complementary businesses, products, technologies, revenue and intellectual property rights. We have made a number of acquisitions in the past, including three in 2018. In October 2018, we acquired AdvantageTec, Inc., a leading provider of texting solutions for service departments of automotive dealerships that helps enable the conversational experience across the entire dealership, including variable and fixed operations. In September 2018, we acquired the employees and technology assets of Conversable, Inc. a SaaS based Artificial Intelligence powered conversational platform. In January 2018, we acquired the employees and technology assets of BotCentral, Inc., a Silicon Valley based startup which has created a number of bot solutions for major brands in banking, insurance, and travel, running on LivePerson's conversational platform.</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Acquisitions and investments involve numerous risks to us, including:</w:t>
      </w:r>
    </w:p>
    <w:p>
      <w:pPr>
        <w:spacing w:after="0" w:line="117" w:lineRule="exact"/>
        <w:rPr>
          <w:sz w:val="20"/>
          <w:szCs w:val="20"/>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of the combination or acquisition;</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products and personnel;</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efforts related to existing operations;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of entering new markets in which we have little or no experience or where competitors may have stronger market positions;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our existing key employees or key employees of the company we acquire;</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maintain relationships with customers and partners of the acquired business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and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tax effects of any such acquisitions.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our operations in the United States, we have operations in Australia, Canada, France, Germany, Israel, Italy, Japan, Latin America, Netherlands, Spain, Singapore and the United Kingdom. We have also continued to invest in global messaging initiatives and in acquisitions. Our ability to continue to expand into international markets and in the online consumer market involves various risks, including the possibility that returns on such investments will not be achieved in the near future, or ever, and the difficulty of competing in markets with which we are unfamiliar.</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international operations and direct-to-consumer services may also fail due to other risks inherent in foreign and/or online consumer operations, including:</w:t>
      </w:r>
    </w:p>
    <w:p>
      <w:pPr>
        <w:spacing w:after="0" w:line="62" w:lineRule="exact"/>
        <w:rPr>
          <w:sz w:val="20"/>
          <w:szCs w:val="20"/>
          <w:color w:val="auto"/>
        </w:rPr>
      </w:pPr>
    </w:p>
    <w:p>
      <w:pPr>
        <w:ind w:left="1100" w:right="460" w:hanging="322"/>
        <w:spacing w:after="0" w:line="258"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varied, unfamiliar, unclear and changing legal and regulatory restrictions, including different legal and regulatory standards applicable to Internet or mobile services, communications, privacy, and data protection;</w:t>
      </w:r>
    </w:p>
    <w:p>
      <w:pPr>
        <w:spacing w:after="0" w:line="1"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intellectual property laws that may not provide sufficient protection for our intellectual property;</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tax consequences or additional tax liabilities;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addressing country-specific business requirements and regulations, for instance, data privacy laws;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strains on financial and other systems to properly administer VAT and other taxes;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consumer preferences and requirements in specific international markets; and</w:t>
      </w:r>
    </w:p>
    <w:p>
      <w:pPr>
        <w:spacing w:after="0" w:line="9" w:lineRule="exact"/>
        <w:rPr>
          <w:rFonts w:ascii="Arial" w:cs="Arial" w:eastAsia="Arial" w:hAnsi="Arial"/>
          <w:sz w:val="18"/>
          <w:szCs w:val="18"/>
          <w:color w:val="auto"/>
        </w:rPr>
      </w:pPr>
    </w:p>
    <w:p>
      <w:pPr>
        <w:jc w:val="both"/>
        <w:ind w:left="1100" w:hanging="322"/>
        <w:spacing w:after="0" w:line="255" w:lineRule="auto"/>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legal, compliance, political, regulatory or systemic restrictions, or other international governmental scrutiny, applicable to United States companies with sales and operations in foreign countries, including, but not limited to, possible compliance issues involving the U.S. Foreign Corrupt Practices Act, the U.K. Bribery Act, and similar laws in other jurisdictions.</w:t>
      </w:r>
    </w:p>
    <w:p>
      <w:pPr>
        <w:spacing w:after="0" w:line="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and any future international expansion plans will require management attention and resources and may be unsuccessful. We may find it impossible or prohibitively expensive to continue expand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may be liable if third parties access or misappropriate confidential or personal data from our systems or services.</w:t>
      </w:r>
    </w:p>
    <w:p>
      <w:pPr>
        <w:spacing w:after="0" w:line="11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dialogue transcripts of the text-based chats, email interactions and other interactions between our customers and their users may include information, such as personal contact and demographic information.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Because the techniques employed by hackers to obtain unauthorized access or to sabotage systems change frequently and are becoming more sophisticated in circumventing security measures and avoiding detection, we may be unable to anticipate all techniques or to implement adequate preventative measures. Any security breach could result in disclosure of our trade secrets or disclosure of confidential customer, supplier or employee data. If third parties were able to penetrate our network security or otherwise misappropriate personal data relating to our customers’ users or the text of customer service inquiries, our competitive position may be harmed and we could be subject to liability. In the event of a security incident, we could be required to comply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United States federal and state laws, international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While we currently maintain insurance coverage that may, cover certain cyber security risks, such insurance coverage is subject to certain exclusions and exceptions and may be insufficient to cover all losses.</w:t>
      </w:r>
    </w:p>
    <w:p>
      <w:pPr>
        <w:spacing w:after="0" w:line="83"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Furthermore, certain software and services that we use to operate our business are hosted and/or operated by third parties or integrated with our systems. If these services were to be interrupted or their security breached, our business operations could be similarly disrupted and we could be exposed to liability and costly investigations or litigation. The need to properly secure, and securely transmit and store, confidential information online has historically been a significant barrier to e-commerce and online communications, and will become increasingly highlighted as a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w:t>
      </w:r>
    </w:p>
    <w:p>
      <w:pPr>
        <w:spacing w:after="0" w:line="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is common for many cloud service providers, we offer service level commitments in certain of our customer contracts, primarily related to uptime of our service. If we are unable to meet the stated service level commitments or suffer periods of downtime that exceed the periods allowed under our customer contracts, whether due to downtime caused by us or our third-party service providers, we may be contractually obligated to provide these customers with service credits and/or pay financial penalties, which could significantly impact our revenue. In addition, even if our contracts provide otherwise, these customers may attempt to terminate their contracts and/or pursue other legal remedies. Recurring or extended service outages could also cause damage to our reputation and result in substantial customer dissatisfaction or loss, which could adversely affect our current and future revenue and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technology systems and third-party content that are beyond our control.</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success of our services depends in part on our customers’ online services as well as the Internet and mobile connectivity of consumers, both of which are outside of our control. As a result, it may be difficult to identify the source of problems if they occur. In the past, we have experienced problems related to connectivity which has resulted in slower than normal response times to user messaging requests and interruptions in service. Our services rely both on the Internet and on our connectivity vendors for data transmission. Therefore, even when connectivity problems are not caused by our services, our customers or their consumers may attribute the problem to us. This could diminish our brand and harm our business, divert the attention of our technical personnel from our product development efforts or cause significant customer relations problems.</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rely in part on third-party service providers and other third parties for various services, including, but not limited, to Internet connectivity, network infrastructure hosting, security and maintenance, and software and hardware from a variety of vendors. These providers may experience problems that result in slower than normal response times and/or interruptions in service. If we are unable to continue utilizing the third-party services that support our web hosting and infrastructure or if our services experience interruptions or delays due to third party providers, our reputation and business could be harmed, and we may be exposed to legal and reputational risk, and significant remediation costs.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30" w:name="page31"/>
    <w:bookmarkEnd w:id="30"/>
    <w:p>
      <w:pPr>
        <w:jc w:val="both"/>
        <w:ind w:firstLine="648"/>
        <w:spacing w:after="0" w:line="254" w:lineRule="auto"/>
        <w:rPr>
          <w:sz w:val="20"/>
          <w:szCs w:val="20"/>
          <w:color w:val="auto"/>
        </w:rPr>
      </w:pPr>
      <w:r>
        <w:rPr>
          <w:rFonts w:ascii="Arial" w:cs="Arial" w:eastAsia="Arial" w:hAnsi="Arial"/>
          <w:sz w:val="18"/>
          <w:szCs w:val="18"/>
          <w:color w:val="auto"/>
        </w:rPr>
        <w:t>We also rely on the security of our third party providers to protect our proprietary information and information of our customers. Information technology system failures, including a breach of our or our third party providers’ data security, could disrupt our ability to function in the normal course of business by potentially causing, among other things, an unintentional disclosure of customer information or loss of information. Additionally, despite our security procedures or those of our third party providers, information systems may be vulnerable to threats such as computer hacking,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spacing w:after="0" w:line="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depend on third parties for hardware and software, and our consumer services depend on third parties for content. Such products and content could contain defects or inaccurate information. Problems arising from our use of such hardware or software or third party content could require us to incur significant costs or divert the attention of our technical or other personnel from our product development efforts or to manage issues related to content. To the extent any such problems require us to replace such hardware or software we may not be able to do so on acceptable terms, if at all.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and services may infringe upon intellectual property rights of third parties and any infringement could require us to incur substantial costs and may distract our management.</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had patent and other infringement lawsuits filed against us claiming that certain of our products and services infringe third party intellectual property rights, and we are subject to the future risk of additional third 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 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and may in the future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business and prospects would suffer if we are unable to protect and enforce our intellectual property rights.</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 patent applications in the United States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United States and in certain locations outside the United States.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United States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cancelled or invalidated if challenged by others based on certain use requirements or other limited grounds. The duration of property rights in trademarks, service marks and tradenames in the United States, whether registered or not, is predicated on our continued use.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possible that:</w:t>
      </w:r>
    </w:p>
    <w:p>
      <w:pPr>
        <w:spacing w:after="0" w:line="117" w:lineRule="exact"/>
        <w:rPr>
          <w:sz w:val="20"/>
          <w:szCs w:val="20"/>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issued patent or patents issued in the future may not be broad enough to protect our intellectual property rights;</w:t>
      </w:r>
    </w:p>
    <w:p>
      <w:pPr>
        <w:spacing w:after="0" w:line="23" w:lineRule="exact"/>
        <w:rPr>
          <w:rFonts w:ascii="Arial" w:cs="Arial" w:eastAsia="Arial" w:hAnsi="Arial"/>
          <w:sz w:val="18"/>
          <w:szCs w:val="18"/>
          <w:color w:val="auto"/>
        </w:rPr>
      </w:pPr>
    </w:p>
    <w:p>
      <w:pPr>
        <w:ind w:left="1100" w:right="20" w:hanging="322"/>
        <w:spacing w:after="0" w:line="250"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issued patent or any patents issued in the future could be successfully challenged by one or more third parties, which could result in our loss of the right to prevent others from exploiting the inventions claimed in the patents;</w:t>
      </w:r>
    </w:p>
    <w:p>
      <w:pPr>
        <w:ind w:left="1100" w:hanging="322"/>
        <w:spacing w:after="0" w:line="250"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and future competitors may independently develop similar technologies, duplicate our services or design around any patents we may have; and</w:t>
      </w:r>
    </w:p>
    <w:p>
      <w:pPr>
        <w:jc w:val="both"/>
        <w:ind w:left="1100" w:hanging="322"/>
        <w:spacing w:after="0" w:line="255"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2" w:name="page33"/>
    <w:bookmarkEnd w:id="32"/>
    <w:p>
      <w:pPr>
        <w:jc w:val="both"/>
        <w:ind w:firstLine="648"/>
        <w:spacing w:after="0" w:line="268" w:lineRule="auto"/>
        <w:rPr>
          <w:sz w:val="20"/>
          <w:szCs w:val="20"/>
          <w:color w:val="auto"/>
        </w:rPr>
      </w:pPr>
      <w:r>
        <w:rPr>
          <w:rFonts w:ascii="Arial" w:cs="Arial" w:eastAsia="Arial" w:hAnsi="Arial"/>
          <w:sz w:val="17"/>
          <w:szCs w:val="17"/>
          <w:color w:val="auto"/>
        </w:rPr>
        <w:t>Further, to the extent that the invention described in any United States patent was made public prior to the filing of the patent application, we may not be able to obtain patent protection in certain foreign countries. We also rely upon copyright, trade secret, trademark and other common law in the United States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United States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United States or where enforcement of laws protecting proprietary rights is not common or effective. The unauthorized reproduction or other misappropriation of our intellectual property rights could enable third parties to benefit from our 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legal liability and/or negative publicity for the services provided to consumers via our technology platforms.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technology platforms enable representatives of our customers as well as individual service providers to communicate with consumers and other persons seeking information or advice on the web or via mobile devices. The law relating to the liability of online platform providers such as us for the activities of users of their online platforms is often challenged in the United States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Claims could be made against online services companies under both United States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Digital Millennium Copyright Act, or DMCA, is intended, among other things, to reduce the liability of online service providers for listing or linking to third party web properties that include materials that infringe copyrights or rights of others. Additionally, portions of The Communications Decency Act, or CDA, are intended to provide statutory protections to online service providers who distribute third party content. A safe harbor for copyright infringement is also available under the DMCA to certain online service providers that provide specific services, if the providers take certain affirmative steps as set forth in the DMCA. Important questions regarding the safe harbor under the DMCA and the CDA have yet to be litigated, and we cannot guarantee that we will meet the safe harbor requirements of the DMCA or of the CDA. If we are not covered by a safe harbor, for any reason, we could be exposed to claims, which could be costly and time-consuming to defend.</w:t>
      </w:r>
    </w:p>
    <w:p>
      <w:pPr>
        <w:spacing w:after="0" w:line="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consumer service allows consumers to provide feedback regarding service providers. Although all such feedback is generated by users and not by us, claims of defamation or other injury could be made against us for content posted on our websites. Our liability for such claims may be higher in jurisdictions outside the United States where laws governing Internet or mobile transactions are unsettled.</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the growth of our business. Any costs incurred as a result of this potential liability could harm our business.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negative publicity and user sentiment generated as a result of fraudulent or deceptive conduct by users of our technology platforms could damage our reputation, reduce our ability to attract new users or retain our current users, and diminish the value of our brand.</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3" w:name="page34"/>
    <w:bookmarkEnd w:id="33"/>
    <w:p>
      <w:pPr>
        <w:jc w:val="both"/>
        <w:ind w:firstLine="648"/>
        <w:spacing w:after="0" w:line="291" w:lineRule="auto"/>
        <w:rPr>
          <w:sz w:val="20"/>
          <w:szCs w:val="20"/>
          <w:color w:val="auto"/>
        </w:rPr>
      </w:pPr>
      <w:r>
        <w:rPr>
          <w:rFonts w:ascii="Arial" w:cs="Arial" w:eastAsia="Arial" w:hAnsi="Arial"/>
          <w:sz w:val="16"/>
          <w:szCs w:val="16"/>
          <w:color w:val="auto"/>
        </w:rPr>
        <w:t>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mobile devices, software sales or export and/or the cloud or Software-as-a-Service industry, and/or the application of existing laws and regulations to the Internet, mobile devices, software sales or export and/or the cloud or Software-as-a-Service industry, could create new legal or regulatory burdens on our business that could have a material adverse effect on our business, results of operations and financial condition. Additionally, as we operate outside the United States, the international regulatory environment relating to the Internet, mobile devices, software sales or export, and/or the Software-as-a-Service industry could have a material adverse effect on our business, results of operations and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Issues in the use of Artificial Intelligence (AI) in our product offerings may result in reputational harm or liability.</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have built, and will continue to build, Artificial Intelligence (AI) into many of our product offerings and we expect this element of our business to grow. We envision a future in which AI operating in our devices, applications and the cloud helps our customers be more productive in their business activities and interactions with consumers. As with many disruptive innovations, AI presents risks and challenges that could affect its adoption, and therefore our business. AI algorithms may be flawed. Datasets may be insufficient or contain biased information. Inappropriate or controversial data practices by us or others could impair the acceptance of AI solutions. These deficiencies could undermine the decisions, predictions, or analysis AI applications produce, subjecting us to competitive harm, legal liability, and brand or reputational harm. Some AI scenarios present ethical issues. If we enable or offer AI solutions that are controversial because of their impact on human rights, privacy, employment, or other social issues, we may experience a material adverse effect on our business, results of operations and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or other defects could disrupt or negatively impact our services, which could harm our business and reputation.</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face risks related to the technological capabilities of our services. We expect the number of interactions between our customers’ operators and consumers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If third-party content is flawed,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These problems, if not remedied, could harm our business.</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services also depend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w:t>
      </w:r>
    </w:p>
    <w:p>
      <w:pPr>
        <w:spacing w:after="0" w:line="73" w:lineRule="exact"/>
        <w:rPr>
          <w:sz w:val="20"/>
          <w:szCs w:val="20"/>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lost sales;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terminations;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market share;</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or loss of market acceptance of our products; and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expenses and diversion of resources to remedy errors.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factors influence our reputation including the perception held by our customers, business partners and other key</w:t>
      </w:r>
    </w:p>
    <w:p>
      <w:pPr>
        <w:spacing w:after="0" w:line="23"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stakeholders. Businesses face increasing scrutiny related to environmental, social and governance activities. We risk damage to our reputation if we fail to act responsibly in a number of areas, such as diversity and inclusion, sustainability and social responsibility. Any harm to our reputation could impact employee engagement and retention, our corporate culture and the</w:t>
      </w:r>
    </w:p>
    <w:p>
      <w:pPr>
        <w:spacing w:after="0" w:line="1" w:lineRule="exact"/>
        <w:rPr>
          <w:sz w:val="20"/>
          <w:szCs w:val="20"/>
          <w:color w:val="auto"/>
        </w:rPr>
      </w:pPr>
    </w:p>
    <w:p>
      <w:pPr>
        <w:ind w:right="2400"/>
        <w:spacing w:after="0" w:line="261" w:lineRule="auto"/>
        <w:rPr>
          <w:sz w:val="20"/>
          <w:szCs w:val="20"/>
          <w:color w:val="auto"/>
        </w:rPr>
      </w:pPr>
      <w:r>
        <w:rPr>
          <w:rFonts w:ascii="Arial" w:cs="Arial" w:eastAsia="Arial" w:hAnsi="Arial"/>
          <w:sz w:val="18"/>
          <w:szCs w:val="18"/>
          <w:color w:val="auto"/>
        </w:rPr>
        <w:t>willingness of customers and our partners to do business with us, which could have a material adverse effect on our business, results of operations and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Our products are complex, and errors, failures or “bugs” may be difficult to correct.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non-payment or late payment of amounts due to us from a significant number of customers may negatively impact our financial condition or make it difficult to forecast our revenues accurately.</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2019, we increased our allowance for doubtful accounts from $2.3 million to approximately $3.1 million. During 2018, we increased our allowance for doubtful accounts from $1.0 million to approximately $2.3 million. We base our allowance for doubtful accounts on specifically identified credit risks of customers, historical trends and other information that we believe to be reasonable. A large proportion of receivables are due from larger corporate customers that typically have longer payment cycles. We adjust our allowance for doubtful accounts when accounts previously reserved have been collected. As a result of increasingly long payment cycles, we have faced increased difficulty in predicting our operating results for any given period, and have experienced significant unanticipated fluctuations in our revenues from period to period. Any failure to achieve anticipated revenues in a period could cause the market price of our securities to decline.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are subject to payment-related risks.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in such a way as to make compliance infeasible.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w:t>
      </w:r>
    </w:p>
    <w:p>
      <w:pPr>
        <w:spacing w:after="0" w:line="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Through our consumer-facing platform, we facilitate online transactions between individual service providers who provide online advice and information to consumers. In connection with these services, we accept payments using a variety of methods, such as credit card, debit card and PayPal. These payments are subject to “chargebacks” when consumers dispute payments they have made to us. Chargebacks can occur whether or not services were properly provided. Susceptibility to chargebacks puts a portion of our revenue at risk. We take measures to manage our risk relative to chargebacks and to recoup properly charged fees, however, if we are unable to successfully manage this risk our business and operating results could be adversely affected. As we offer new payment options to our users, we may be subject to additional regulations, compliance requirements, and fraud.</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our implementation cycles could have an adverse effect on our results of operations.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of our products require some implementation services, including but not limited to, training our customers. As an open platform, we also work with other third parties on implementing a variety of integrations into our platform.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accounting principles generally accepted in the United States, we review our amortizable intangible assets for impairment when events or changes in circumstances indicated that the carrying value may not be recoverable. We review our goodwill for impairment at least annually and when events or changes in circumstances indicate that the carrying value may not 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Based on our annual review for 2019, we determined that it is not more-likely than not that the fair value of the reporting units is less than their carrying amount. However, future assessments may yield a different result, and from time to time, we may be required to record a significant charge to earnings in our consolidated financial statements during the period in which any impairment of our goodwill is determined, resulting in a negative impact on our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inherent limitations on the effectiveness of our controls.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securities could decline.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the past, we have experienced losses, we had an accumulated deficit of $283.6 million as of December 31, 2019 and we may incur losses in the future.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 the past incurred, and we may in the future, incur losses and experience negative cash flow, either or both of which may be significant. We recorded net losses from inception through the year ended December 31, 2003. We recorded net income for the years ended December 31, 2004 through 2007 and 2009 through 2012, while we recorded net losses for the years ended December 31, 2008, and 2013 through 2019. We recorded a net loss of $96.1 million for the year ended December 31, 2019. As of December 31, 2019, our accumulated deficit was approximately $283.6 million. We cannot assure you that we can sustain or increase profitability on a quarterly or annual basis in the future. Failure to maintain profitability may materially and adversely affect the market price of our securities.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With the recent volatility in the capital markets, there is a risk that we could suffer a loss of principal in our cash and cash equivalents and short term investments and suffer a reduction in our interest income or in our return on investments.</w:t>
      </w:r>
    </w:p>
    <w:p>
      <w:pPr>
        <w:spacing w:after="0" w:line="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2019, we had $176.5 million in cash and cash equivalents. We regularly invest excess funds from our cash and cash equivalents in short-term money market funds. We currently hold no mortgaged-backed or auction rate securities. However, some of our investments are subject to general credit, liquidity, market and interest rate risks, which may be exacerbated by any ongoing uncertainty in the United States and global credit markets. In the future, these market risks associated with our investment portfolio may harm the results of our operations, liquidity and financial condition. Although we believe we have chosen a more cautious portfolio designed to preserve our existing cash position, it may not adequately protect the value of our investments. Furthermore, this more cautious portfolio is unlikely to provide us with any significant interest income in the near term.</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Capital needs necessary to execute our business strategy could increase substantially and we may not be able to secure additional financing to execute this strategy.</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require additional funds to support our operations or the expansion of our business, or to pay for acquisitions, we may need to sell additional equity, issue debt or convertible securities or obtain credit facilities through financial institutions. In the past, we have obtained financing principally through the sale of preferred stock, common stock, warrants and convertible notes. If additional funds are raised through the issuance of debt or preferred equity securities, these securities could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license necessary third party software for use in our products and services, or failure to successfully integrate third party software, could cause delays or reductions in our sales, or errors or failures of our service.</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license third party software that we plan to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products and services until we identify, license and integrate or develop equivalent software, and new licenses could require us to pay higher royalties. If we are unable to successfully license and integrate third party technology, we could experience a reduction in functionality and/or errors or failures of our products, which may reduce demand for our products and services.</w:t>
      </w:r>
    </w:p>
    <w:p>
      <w:pPr>
        <w:spacing w:after="0" w:line="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Third-party licenses may expose us to increased risks, including risks associated with the integration of new technology, the impact of new technology integration on our existing technology, open source software disclosure requirements, the diversion of resources from the development of our own proprietary technology, and our inability to generate revenue from new technology sufficient to offset associated acquisition and maintenance costs.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depends, in part, on factors which are partially or entirely outside of our control.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services typically appear under the LivePerson brand or as a LivePerson-branded icon on our customers’ websites. The customer service operators and Experts who respond to the inquiries of our customers’ users are employees or agents of our customers or independent consultants rather than employees of the Company. As a result, we are not able to control the actions of these operators or Experts and the impression that such operator or Expert leaves the user with whom they interact. A user may not know that the operator or Expert is not a LivePerson employee. If a user were to have a negative experience in a LivePerson-powered real-time dialogue, it is possible that this experience could be attributed to us, which could diminish our brand and harm our business. Additionally, we believe the success of our business services is aided by the prominent placement of the chat icon on a customer’s website, over which we also have no control.</w:t>
      </w:r>
    </w:p>
    <w:p>
      <w:pPr>
        <w:spacing w:after="0" w:line="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service over the term of the subscription, declines in business may not be immediately reflected in our operating results.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immediately.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sales cycles can be lengthy, and the timing of sales can be difficult to predict, which may cause our operating results to vary significantly.</w:t>
      </w:r>
    </w:p>
    <w:p>
      <w:pPr>
        <w:spacing w:after="0" w:line="1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expend substantial time, effort, and money educating potential customers them about the value of our offerings. The increasingly complex needs of our customers can contribute to a longer sales cycle.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7" w:name="page38"/>
    <w:bookmarkEnd w:id="37"/>
    <w:p>
      <w:pPr>
        <w:jc w:val="both"/>
        <w:ind w:firstLine="648"/>
        <w:spacing w:after="0" w:line="276" w:lineRule="auto"/>
        <w:rPr>
          <w:sz w:val="20"/>
          <w:szCs w:val="20"/>
          <w:color w:val="auto"/>
        </w:rPr>
      </w:pPr>
      <w:r>
        <w:rPr>
          <w:rFonts w:ascii="Arial" w:cs="Arial" w:eastAsia="Arial" w:hAnsi="Arial"/>
          <w:sz w:val="17"/>
          <w:szCs w:val="17"/>
          <w:color w:val="auto"/>
        </w:rPr>
        <w:t>Additionally, our quarterly sales have historically reflected an uneven pattern in which a disproportionate percentage of a quarter’s total sales occur in the last month, weeks and days of each quarter. These patterns make prediction of revenue especially difficult and uncertain and increase the risk of unanticipated variations in our results of operations. As a result, we are not always able to precisely predict the quarter in which expected sales will occur. In addition, historically a large portion of our revenue has derived from large orders from large clients. Consequently, delays in the closing of sales, especially from large clients, could have a material impact on the timing of revenue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economic and military conditions in Israel could negatively impact our Israeli operations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substantial portion of our product development staff, help desk and online sales support operations are located in Israel. As of December 31, 2019, we had 359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or the interruption or curtailment of trade between Israel and its trading partners could adversely affect our operations and results of operations.</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shifting economic and political conditions in the United States and in other countries may result in changes in how the United States and other countries conduct business and other relations with Israel, which may have an adverse impact on our Israeli operations and a material adverse impact on our business.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securities. In addition, escalation of tensions or violence might require more widespread military reserve service by some of our Israeli employees and might result in a significant downturn in the economic or financial condition of Israel, either of which could have a material adverse effect on our operations in Israel and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principles generally accepted in the United States are subject to interpretation by the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cannot assure our stockholders that any stock repurchase programs will be fully consummated or will enhance long-term stockholder value, and stock repurchases could increase the volatility of the price of our common stock and will diminish our cash reserves.</w:t>
      </w:r>
    </w:p>
    <w:p>
      <w:pPr>
        <w:spacing w:after="0" w:line="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 on a variety of factors including the timing of open trading windows, price, corporate and regulatory requirements, and other market conditions. The program was discontinued at the end of 2018. We may or may not enter into a new stock repurchase program in the future.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8" w:name="page39"/>
    <w:bookmarkEnd w:id="38"/>
    <w:p>
      <w:pPr>
        <w:jc w:val="both"/>
        <w:ind w:firstLine="530"/>
        <w:spacing w:after="0" w:line="255" w:lineRule="auto"/>
        <w:rPr>
          <w:sz w:val="20"/>
          <w:szCs w:val="20"/>
          <w:color w:val="auto"/>
        </w:rPr>
      </w:pPr>
      <w:r>
        <w:rPr>
          <w:rFonts w:ascii="Arial" w:cs="Arial" w:eastAsia="Arial" w:hAnsi="Arial"/>
          <w:sz w:val="18"/>
          <w:szCs w:val="18"/>
          <w:color w:val="auto"/>
        </w:rPr>
        <w:t>Repurchases pursuant to our stock repurchase program could affect our stock price and increase its volatility. The existence of a stock repurchase program could also cause our stock price to be higher than it would be in the absence of such a program and could potentially reduce the market liquidity for our stock. Additionally, repurchases under a stock repurchase program would diminish our cash reserves, which could impact our ability to pursue possible future strategic opportunities and acquisitions and could result in lower overall returns on our cash balances. There can be no assurance that any stock repurchases will enhance stockholder value because the market price of our common stock may decline below the levels at which we repurchased shares of stock.</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systems and operations are vulnerable to damage or interruption from earthquakes, fires, floods, hurricanes, other acts of nature, power losses, telecommunications failures, terrorist attacks, acts of war, human errors, break-ins,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and our largest office is located in Israel, each of which regions has experienced acts of terrorism in the past.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disaster recovery capabilities, there can be no assurance that we will not suffer from business interruption, or unavailability or loss of data, as a result of any such events. As we rely heavily on our servers, computer and communications systems and the internet to conduct our business and provide 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of December 31, 2019, we had federal net operating loss carryforwards (“NOLs”) of approximately $203.5 million which are available to offset future federal taxable income.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Under Section 382 of the Code, our existing NOLs may be subject to limitations arising from previous ownership changes, and if we undergo an ownership change in the future, our ability to utilize NOLs could be further limited by Section 382 of the Code, or as a result of a corresponding provision of state law. Future changes in our stock ownership, some of which may be outside of our control, could result in an ownership change under Section 382 of the Code. Federal NOLs generated in taxable years ending on or before December 31, 2017, are eligible to be carried forward for up to 20 tax years (and carried back up to two tax years) following their incurrence. Under the Tax Cuts and Jobs Act (discussed below), federal NOLs generated in taxable years ending after December 31, 2017, are eligible to be carried forward indefinitely, but generally may only offset up to 80% of federal taxable income earned in a taxable year. As of December 31, 2018, approximately $41.2 million of our approximately $203.5 million of federal NOLs were generated in taxable years ending on or before December 31, 2017. If our ability to utilize federal NOLs were limited by Section 382 of the Code, it could result in NOLs generated on or before December 31, 2017, expiring unused. Our ability to utilize our NOLs is conditioned upon our maintaining profitability in the future and generating U.S. federal taxable income. Since we do not know whether or when we will generate the U.S. federal taxable income necessary to utilize our remaining NOLs, our NOLs generated on or prior to December 31, 2017 could expire unused.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Recently enacted changes to the U.S. tax laws may have a material impact on 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22, 2017, H.R.1 (commonly referred to as the “Tax Cuts and Jobs Act”) was signed into law. The Tax Cuts and Jobs Act makes extensive changes to the federal tax laws and includes provisions that, among other things, reduce the U.S. corporate tax rate, introduce a capital investment deduction, limit the interest deduction, limit the use of NOLs to offset future taxable income, and make extensive changes to the U.S. international tax system, including the taxation of foreign earnings of U.S. multinational corporations. Certain provisions of the Tax Cuts and Jobs Act are likely to undergo revisions or are set to expire on certain specified future dates, unless such provisions are further modified in subsequent legislation. Changes in interpretations of the Tax Cuts and Jobs Act, any legislative action to address questions that arise because of the Tax Cuts and Jobs Act and any changes in accounting standards for income taxes or related interpretations in response to the Tax Cuts and Jobs Act may cause uncertainty with respect to the ultimate impact of the Tax Cuts and Jobs Act on our tax provisions. In addition, it is possible that reactionary legislation or regulation may be instituted by one or more foreign authorities that could ultimately adversely affect us and/or negate or minimize some or all of the favorable impacts that we have or may derive from the Tax Cuts and Jobs Act.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regulation of the Internet or mobile devices may slow our growth, resulting in decreased demand for our services and increased costs of doing business.</w:t>
      </w:r>
    </w:p>
    <w:p>
      <w:pPr>
        <w:spacing w:after="0" w:line="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State, federal and foreign regulators could adopt laws and regulations that impose additional burdens on companies that conduct business online or that adversely affect the growth or use of the Internet or mobile commerce. For example, these laws and regulations could discourage communication by e-mail or other web-based communications, particularly targeted e-mail of the type facilitated by our services, which could reduce demand for our services. Laws or regulations that affect the use of the Internet or mobile devices, including but not limited to laws affecting net neutrality could also decrease demand for our services and increase our costs. Some jurisdictions have adopted regulations prohibiting certain forms of discrimination by Internet access providers; however, substantial uncertainty exists in the United States and elsewhere. For example, in the United States, the Federal Communications Commission repealed net neutrality rules effective June 11, 2018, which could lead internet access providers to restrict, block, degrade or charge for access to our products and services. Further, regulatory focus on data privacy, data security and consumer protection continues to expand on a worldwide basis and is becoming more complex, which will increase the risks to our business on reputational, operational, and compliance bases.</w:t>
      </w:r>
    </w:p>
    <w:p>
      <w:pPr>
        <w:spacing w:after="0" w:line="5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continued growth and development of the market for online services may prompt calls for more stringent consumer protection laws or laws that will inhibit the use of Internet-based or mobile-based communications or the information contained 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may decrease the expansion of the Internet or smartphone usage. A decline in the growth of the Internet or smartphone usage, particularly as it relates to online communication, could decrease demand for our services and increase our costs of doing business, or otherwise harm our business. Any new legislation or regulations, application of laws and regulations from jurisdictions whose laws do not currently apply to our business, or application of existing laws and regulations to the Internet, mobile and other online services could increase our costs and harm our growth.</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social media and other third-party consumer messaging platforms and endpoints, our business, results of operations and financial condition could be adversely affected.</w:t>
      </w:r>
    </w:p>
    <w:p>
      <w:pPr>
        <w:spacing w:after="0" w:line="62" w:lineRule="exact"/>
        <w:rPr>
          <w:sz w:val="20"/>
          <w:szCs w:val="20"/>
          <w:color w:val="auto"/>
        </w:rPr>
      </w:pPr>
    </w:p>
    <w:p>
      <w:pPr>
        <w:ind w:right="20" w:firstLine="243"/>
        <w:spacing w:after="0" w:line="254" w:lineRule="auto"/>
        <w:rPr>
          <w:sz w:val="20"/>
          <w:szCs w:val="20"/>
          <w:color w:val="auto"/>
        </w:rPr>
      </w:pPr>
      <w:r>
        <w:rPr>
          <w:rFonts w:ascii="Arial" w:cs="Arial" w:eastAsia="Arial" w:hAnsi="Arial"/>
          <w:sz w:val="18"/>
          <w:szCs w:val="18"/>
          <w:color w:val="auto"/>
        </w:rPr>
        <w:t>We believe that continued growth for companies in our industry depends, in part, on enabling brands to connect with consumers across consumers’ preferred conversational interfaces and messaging endpoints, such as SMS, Facebook Messenger, WhatsApp, Apple Business Chat, Google Rich Business Messenger, Line and Alexa. In order to grow our business, we have identified and developed, and maintain, strategic relationships with many key technology partners. As part of our growth strategy, we plan to further develop partnerships and specific solution areas with additional technology partners. If we fail to establish these relationships in a timely and cost-effective manner, or at all, or if we lose any or all of our current relationships, then our business, results of operations and financial condition could be adversely affected. Additionally, even if we are successful at developing these relationships, but there are problems or issues with the integrations, or our ability to scale and onboard our customers onto new endpoints, our reputation and ability to grow our business may be adversely affected.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respond to the rapid technological change and changing customer preferences in the online sales, marketing, customer service, and/or online consumer services industries and this may harm our business.</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unable, for technological, legal, financial or other reasons, to adapt in a timely manner to changing market conditions in the online sales, marketing, customer service and/or e-commerce industry or our customers’ or consumers’ requirements or preferences, our business, results of operations and financial condition would be materially and adversely affected. Online business is characterized by rapid technological change. In addition, the market for online sales, marketing, customer service and expert advice solutions is relatively new. Sudden changes in customer and consumer requirements and preferences, frequent new product and service introductions embodying new technologies, and the emergence of new industry and regulatory standards and practices such as but not limited to data privacy and security standards, could render the LivePerson services and our proprietary technology and systems obsolete. The rapid evolution of these products and services will require that we continually improve the performance, features and reliability of our services. Our success will depend, in part, on our ability to:</w:t>
      </w:r>
    </w:p>
    <w:p>
      <w:pPr>
        <w:spacing w:after="0" w:line="71" w:lineRule="exact"/>
        <w:rPr>
          <w:sz w:val="20"/>
          <w:szCs w:val="20"/>
          <w:color w:val="auto"/>
        </w:rPr>
      </w:pPr>
    </w:p>
    <w:p>
      <w:pPr>
        <w:ind w:left="460" w:hanging="33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the features and performance of our services;</w:t>
      </w:r>
    </w:p>
    <w:p>
      <w:pPr>
        <w:spacing w:after="0" w:line="23" w:lineRule="exact"/>
        <w:rPr>
          <w:rFonts w:ascii="Arial" w:cs="Arial" w:eastAsia="Arial" w:hAnsi="Arial"/>
          <w:sz w:val="18"/>
          <w:szCs w:val="18"/>
          <w:color w:val="auto"/>
        </w:rPr>
      </w:pPr>
    </w:p>
    <w:p>
      <w:pPr>
        <w:ind w:left="460" w:hanging="33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offer new services that are valuable to companies doing business online as well as consumers; and</w:t>
      </w:r>
    </w:p>
    <w:p>
      <w:pPr>
        <w:spacing w:after="0" w:line="9" w:lineRule="exact"/>
        <w:rPr>
          <w:rFonts w:ascii="Arial" w:cs="Arial" w:eastAsia="Arial" w:hAnsi="Arial"/>
          <w:sz w:val="18"/>
          <w:szCs w:val="18"/>
          <w:color w:val="auto"/>
        </w:rPr>
      </w:pPr>
    </w:p>
    <w:p>
      <w:pPr>
        <w:ind w:left="460" w:hanging="330"/>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to technological advances and emerging industry and regulatory standards and practices in a cost-effective and timely manner.</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new services, including upgrades to our current services, do not meet our customers’ or consumers’ expectations, we could lose customers and our business may be harmed. Updating our technology may require significant additional capital expenditures and could materially and adversely affect our business, results of operations and financial condition.</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new services require us to grow rapidly, this could place a significant strain on our managerial, operational, technical and financial resources. In order to manage our growth, we could be required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continued viability of the infrastructure of the Internet.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the Internet continues to experience growth in the number of users and frequency of use by consumers resulting in increased bandwidth demands, we cannot assure you that the infrastructure for the Internet will be able to support the demands placed upon it. The Internet has experienced outages and delays as a result of damage to portions of its infrastructure. Outages or delays could adversely affect online sites, email and the level of traffic on the Internet. The Internet is also subject to continued and ongoing cyber-attacks and related conduct, which affect all online businesses. We also depend on Internet service providers that provide our customers and Internet users with access to the LivePerson services. In the past, users have experienced difficulties due to system failures unrelated to our service. In addition, the Internet could lose its viability due to delays in the adoption of new standards and protocols required to handle increased levels of Internet activity. Insufficient availability of telecommunications services to support the Internet also could result in slower response times and negatively impact use of the Internet generally, and our customers’ sites (including their use of LiveEngage) in particular. If the infrastructure of the Internet does not effectively support the growth of the Internet, we may not maintain profitability and our business, results of operations and financial condition will suffer.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529"/>
        </w:rPr>
        <w:t>Risks Related to Our Notes</w:t>
      </w: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12529"/>
        </w:rPr>
        <w:t>Servicing our future debt may require a significant amount of cash, and we may not have sufficient cash flow from our business to pay our indebtedness.</w:t>
      </w:r>
    </w:p>
    <w:p>
      <w:pPr>
        <w:spacing w:after="0" w:line="260"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8"/>
          <w:szCs w:val="18"/>
          <w:color w:val="212529"/>
        </w:rPr>
        <w:t>Our ability to make scheduled payments of the principal of, to pay interest on or to refinance our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1" w:name="page42"/>
    <w:bookmarkEnd w:id="41"/>
    <w:p>
      <w:pPr>
        <w:ind w:right="40"/>
        <w:spacing w:after="0" w:line="308" w:lineRule="auto"/>
        <w:rPr>
          <w:sz w:val="20"/>
          <w:szCs w:val="20"/>
          <w:color w:val="auto"/>
        </w:rPr>
      </w:pPr>
      <w:r>
        <w:rPr>
          <w:rFonts w:ascii="Arial" w:cs="Arial" w:eastAsia="Arial" w:hAnsi="Arial"/>
          <w:sz w:val="17"/>
          <w:szCs w:val="17"/>
          <w:b w:val="1"/>
          <w:bCs w:val="1"/>
          <w:i w:val="1"/>
          <w:iCs w:val="1"/>
          <w:color w:val="212529"/>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212529"/>
        </w:rPr>
        <w:t>Holders of the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are required to make cash payments in respect of the Notes being converted. However, we may not have enough available cash or be able to obtain financing at the time we are required to make repurchases of Notes surrendered therefor or pay cash with respect to Notes being converted. In addition, our ability to repurchase Notes or to pay cash upon conversions of Notes may be limited by law, regulatory authority, or any agreements governing our future indebtedness. Our failure to repurchase Notes at a time when the repurchase is required by the indenture or to pay any cash upon conversions of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grace periods, we may not have sufficient funds to repay the indebtedness and repurchase the Notes or to pay cash upon conversions of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conditional conversion feature of the Notes, if triggered, may adversely affect our financial condition and operating results.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212529"/>
        </w:rPr>
        <w:t>In the event the conditional conversion feature of the Notes is triggered, holders of the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212529"/>
        </w:rPr>
        <w:t>The accounting method for convertible debt securities that may be settled in cash, such as the Notes, could have a material effect on our reported financial results.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529"/>
        </w:rPr>
        <w:t xml:space="preserve">Under Accounting Standards Codification 470-20, </w:t>
      </w:r>
      <w:r>
        <w:rPr>
          <w:rFonts w:ascii="Arial" w:cs="Arial" w:eastAsia="Arial" w:hAnsi="Arial"/>
          <w:sz w:val="18"/>
          <w:szCs w:val="18"/>
          <w:i w:val="1"/>
          <w:iCs w:val="1"/>
          <w:color w:val="212529"/>
        </w:rPr>
        <w:t>Debt with Conversion and Other Options</w:t>
      </w:r>
      <w:r>
        <w:rPr>
          <w:rFonts w:ascii="Arial" w:cs="Arial" w:eastAsia="Arial" w:hAnsi="Arial"/>
          <w:sz w:val="18"/>
          <w:szCs w:val="18"/>
          <w:color w:val="212529"/>
        </w:rPr>
        <w:t>, or ASC 470-20, an entity must separately account for the liability and equity components of the convertible debt instruments (such as the Notes) that may be settled entirely or partially in cash upon conversion in a manner that reflects the issuer’s economic interest cost. The effect of ASC 470-20 on the accounting for the Notes is that the equity component, net of issuance costs, is required to be included in the additional paid-in capital section of stockholders’ equity on our condensed consolidated balance sheet at the issuance date and the value of the equity component is treated as original issue discount for purposes of accounting for the liability component of the Notes. As a result, we are required to record a greater amount of non-cash interest expense in current periods presented as a result of the amortization of the discounted carrying value of the Notes to their face amount over the term of the Notes. We will report larger net losses (or lower net income) in our financial results because ASC 470-20 requires interest to include both the current period’s amortization of the debt discount and the instrument’s non-convertible coupon interest rate, which could adversely affect our reported or future financial results, the trading price of our common stock and the trading price of the Notes.</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12529"/>
        </w:rPr>
        <w:t>In addition, under certain circumstances, convertible debt instruments (such as the Notes) that may be settled entirely or partly in cash may be accounted for utilizing the treasury stock method, the effect of which is that the shares issuable upon conversion of such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 We cannot be sure that the accounting standards in the future will continue to permit the use of the treasury stock method. If we are unable to use the treasury stock method in accounting for the shares issuable upon conversion of the Notes, then our diluted earnings per share would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capped call transactions may affect the value of the Notes and our common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12529"/>
        </w:rPr>
        <w:t>In connection with the transaction in which we issued the Notes, we entered into capped call transactions with certain option counterparties. The capped call transactions are expected generally to reduce the potential dilution to our common stock upon any conversion of Notes and/or offset any cash payments we are required to make in excess of the principal amount of the converted Notes, as the case may be, upon any conversion of Notes, with such reduction and/or offset subject to a cap.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2" w:name="page43"/>
    <w:bookmarkEnd w:id="42"/>
    <w:p>
      <w:pPr>
        <w:jc w:val="both"/>
        <w:ind w:firstLine="648"/>
        <w:spacing w:after="0" w:line="272" w:lineRule="auto"/>
        <w:rPr>
          <w:sz w:val="20"/>
          <w:szCs w:val="20"/>
          <w:color w:val="auto"/>
        </w:rPr>
      </w:pPr>
      <w:r>
        <w:rPr>
          <w:rFonts w:ascii="Arial" w:cs="Arial" w:eastAsia="Arial" w:hAnsi="Arial"/>
          <w:sz w:val="17"/>
          <w:szCs w:val="17"/>
          <w:color w:val="212529"/>
        </w:rPr>
        <w:t>The option counterparties or their respective affiliates are expected to modify their hedge positions by entering into or unwinding various derivatives with respect to our common stock and/or purchasing or selling our common stock, the Notes or other of our securities or instruments (if any), in secondary market transactions prior to the maturity of the Notes (and are likely to do so during any observation period related to a conversion of Notes occurring on or after November 1, 2023 or following any earlier conversion or any repurchase of Notes by us on any fundamental change repurchase date or otherwise). This activity could also cause or avoid an increase or a decrease in the market price of our common stock or the Notes, which could affect a holder’s ability to convert the Notes and, to the extent the activity occurs during any observation period related to a conversion of Notes, it could affect the amount and value of the consideration that a holder will receive upon conversion of such Notes.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212529"/>
        </w:rPr>
        <w:t>The potential effect, if any, of these transactions and activities on the market price of our common stock or the Notes will depend in part on market conditions and cannot be ascertained at this time. Any of these activities could adversely affect the value of our common stock and the value of the Notes (and as a result, the amount and value of the consideration that a holder would receive upon the conversion of any Notes) and, under certain circumstances, a holder’s ability to convert his or her Notes.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212529"/>
        </w:rPr>
        <w:t>We do not make any representation or prediction as to the direction or magnitude of any potential effect that the transactions described above may have on the price of our common stock or the Notes. In addition, we do not make any representation that the option counterparties or their respective affiliates will engage in these transactions or that these transactions, once commenced, will not be discontinued without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are subject to counterparty risk with respect to the capped calls.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212529"/>
        </w:rPr>
        <w:t>The option counterparties to the capped call transactions are financial institutions, and we are subject to the risk that any or all of them may default under the capped calls. Our exposure to the credit risk of the option counterparties is not secured by any collateral. Global economic conditions have in the recent past resulted in, and may again result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depends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has been, and may continue to be, highly volatile, which could reduce the value of your investment and subject us to litigation.</w:t>
      </w:r>
    </w:p>
    <w:p>
      <w:pPr>
        <w:spacing w:after="0" w:line="14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w:t>
      </w:r>
    </w:p>
    <w:p>
      <w:pPr>
        <w:spacing w:after="0" w:line="73" w:lineRule="exact"/>
        <w:rPr>
          <w:sz w:val="20"/>
          <w:szCs w:val="20"/>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our operating results or those of our competitors;</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announcements that are not in line with analyst expectations;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recommendations or financial estimates by securities analysts;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or rumors about mergers or strategic acquisitions by us or by our competitors;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about customer additions and cancellations or failure to complete significant sales;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valuations of companies that investors believe are comparable to us;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9" w:lineRule="exact"/>
        <w:rPr>
          <w:rFonts w:ascii="Arial" w:cs="Arial" w:eastAsia="Arial" w:hAnsi="Arial"/>
          <w:sz w:val="18"/>
          <w:szCs w:val="18"/>
          <w:color w:val="auto"/>
        </w:rPr>
      </w:pPr>
    </w:p>
    <w:p>
      <w:pPr>
        <w:ind w:left="1100" w:right="80" w:hanging="322"/>
        <w:spacing w:after="0" w:line="261"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political and market conditions, such as recessions, political unrest or terrorist attacks, or in the specific locations where we operate, such as the United States, Israel and the United Kingdom.</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extreme price and volume fluctuations in the stock markets generally, and in the markets for technology companies in particular, could cause the market price for our common stock to decline. In the past, companies that have experienced volatility in the market price of their stock have been the subject of securities class action litigation. We may in the future be the target of similar litigation, which could result in substantial costs and distract management’s attention and resources.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common stock is traded on more than one market and this may result in price variations.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common stock is currently traded on the NASDAQ Global Select Market and the Tel Aviv Stock Exchange (“TASE”). Trading in our common stock on these markets takes place in different currencies (U.S. dollars on the NASDAQ and New Israeli Shekels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w:t>
      </w:r>
    </w:p>
    <w:p>
      <w:pPr>
        <w:spacing w:after="0" w:line="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2019, our executive officers, directors and holders of 5% or more of our outstanding common stock and their affiliates in the aggregate beneficially owned approximately 48.1% of our outstanding common stock. As a result, these stockholders, acting together, have the ability to significantly influence all matters requiring approval by our stockholders, including the election of directors and approval of significant corporate transactions. Our executive officers, directors and principal stockholders could also delay or prevent a change in control. The interests of this group of stockholders may not always coincide with the company’s interests or the interests of other stockholders, and they may act in a manner that advances their best interests and not necessarily those of our other stockholders.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substantial amounts of our common stock may negatively affect our stock price.</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we or our stockholders sell substantial amounts of our common stock, including shares issuable upon the exercise of outstanding options and warrants, or upon the conversion of the Notes,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Delaware law could discourage, delay or prevent a takeover that stockholders may consider favorable.</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w:t>
      </w:r>
    </w:p>
    <w:p>
      <w:pPr>
        <w:spacing w:after="0" w:line="16" w:lineRule="exact"/>
        <w:rPr>
          <w:sz w:val="20"/>
          <w:szCs w:val="20"/>
          <w:color w:val="auto"/>
        </w:rPr>
      </w:pPr>
    </w:p>
    <w:p>
      <w:pPr>
        <w:ind w:left="1100" w:right="440" w:hanging="322"/>
        <w:spacing w:after="0" w:line="258"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three-year staggered terms, which prevents stockholders from electing an entirely new board of directors at any annual meeting.</w:t>
      </w:r>
    </w:p>
    <w:p>
      <w:pPr>
        <w:spacing w:after="0" w:line="1"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Vacancies on our board of directors may only be filled by a vote of a majority of directors then in office, even if less than a quorum.</w:t>
      </w:r>
    </w:p>
    <w:p>
      <w:pPr>
        <w:spacing w:after="0" w:line="20" w:lineRule="exact"/>
        <w:rPr>
          <w:rFonts w:ascii="Arial" w:cs="Arial" w:eastAsia="Arial" w:hAnsi="Arial"/>
          <w:sz w:val="17"/>
          <w:szCs w:val="17"/>
          <w:color w:val="auto"/>
        </w:rPr>
      </w:pPr>
    </w:p>
    <w:p>
      <w:pPr>
        <w:ind w:left="1100" w:right="140" w:hanging="322"/>
        <w:spacing w:after="0" w:line="250"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or any other matters. This limits the ability of minority stockholders to elect director candidates.</w:t>
      </w: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stockholders may only act at a duly called annual or special meeting and may not act by written consent.</w:t>
      </w:r>
    </w:p>
    <w:p>
      <w:pPr>
        <w:spacing w:after="0" w:line="9" w:lineRule="exact"/>
        <w:rPr>
          <w:rFonts w:ascii="Arial" w:cs="Arial" w:eastAsia="Arial" w:hAnsi="Arial"/>
          <w:sz w:val="18"/>
          <w:szCs w:val="18"/>
          <w:color w:val="auto"/>
        </w:rPr>
      </w:pPr>
    </w:p>
    <w:p>
      <w:pPr>
        <w:ind w:left="1100" w:right="60" w:hanging="322"/>
        <w:spacing w:after="0" w:line="250"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our board of directors or to propose other matters that can be acted upon at a stockholders’ meeting.</w:t>
      </w:r>
    </w:p>
    <w:p>
      <w:pPr>
        <w:ind w:left="1100" w:hanging="322"/>
        <w:spacing w:after="0" w:line="250"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require super-majority voting by stockholders to amend certain provisions in our amended and restated certificate of incorporation and to amend our amended and restated bylaws.</w:t>
      </w:r>
    </w:p>
    <w:p>
      <w:pPr>
        <w:ind w:left="1100" w:hanging="322"/>
        <w:spacing w:after="0"/>
        <w:tabs>
          <w:tab w:leader="none" w:pos="11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amended and restated bylaws expressly authorize a super-majority of the board of directors to amend our amended and restated bylaws.</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corporate headquarters are located in New York City, where we lease approximately 37,000 square feet of office space under a lease that expires in 2021. We also lease office space of approximately 68,000 square feet in Ra'anana, Israel, for research and development, sales and support under leases that expire in 2020, of approximately 40,000 square feet in Alpharetta, Georgia, for sales and support under a lease that expires in 2024; and approximately 38,000 square feet in Seattle, for research and development that expires in 2020.</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also lease office space for marketing, sales and support of approximately 45,000 square feet in various locations in the United States, Europe, Asia and Australia. In addition, we have data centers in the United States, Europe and Australia pursuant to various lease agreements. We believe that our current facilities properties are in good condition and are adequate to meet our current needs. If required, we believe that we will be able to obtain suitable additional space on commercially reasonable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our favor have invalidated the majority of [24]7 patents that were asserted in the patent cases. Trial for our intellectual property and other claims asserted against [24]7 in the original litigation is currently set for April 27, 2020. Trial for [24]7's patent infringement claims is currently set for March 15, 2021. We believe the claims filed by [24]7 are entirely without merit and intend to defend them vigorously.</w:t>
      </w:r>
    </w:p>
    <w:p>
      <w:pPr>
        <w:spacing w:after="0" w:line="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8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14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right="20" w:firstLine="648"/>
        <w:spacing w:after="0" w:line="277" w:lineRule="auto"/>
        <w:rPr>
          <w:sz w:val="20"/>
          <w:szCs w:val="20"/>
          <w:color w:val="auto"/>
        </w:rPr>
      </w:pPr>
      <w:r>
        <w:rPr>
          <w:rFonts w:ascii="Arial" w:cs="Arial" w:eastAsia="Arial" w:hAnsi="Arial"/>
          <w:sz w:val="18"/>
          <w:szCs w:val="18"/>
          <w:color w:val="auto"/>
        </w:rPr>
        <w:t>The principal United States market on which our common stock is traded is The NASDAQ Global Select Market under the symbol LPSN. Our shares of common stock are also traded on the Tel Aviv Stock Exchange under the symbol LPSN TA.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8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11, 2020, there were approximately 148 holders of record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earnings, if any, to finance the operation and expansion of our business and do not anticipate paying any cash dividends in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the Company's repurchase activity for the three months ended December 31, 2019 is as follows:</w:t>
      </w:r>
    </w:p>
    <w:p>
      <w:pPr>
        <w:spacing w:after="0" w:line="280"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6"/>
              </w:rPr>
              <w:t>Total Number of Shares</w:t>
            </w: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Purchased as Part of</w:t>
            </w:r>
          </w:p>
        </w:tc>
        <w:tc>
          <w:tcPr>
            <w:tcW w:w="160" w:type="dxa"/>
            <w:vAlign w:val="bottom"/>
          </w:tcPr>
          <w:p>
            <w:pPr>
              <w:spacing w:after="0"/>
              <w:rPr>
                <w:sz w:val="17"/>
                <w:szCs w:val="17"/>
                <w:color w:val="auto"/>
              </w:rPr>
            </w:pPr>
          </w:p>
        </w:tc>
        <w:tc>
          <w:tcPr>
            <w:tcW w:w="19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8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2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Publicly Announced Plans</w:t>
            </w: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Purchased Under the Plans</w:t>
            </w:r>
          </w:p>
        </w:tc>
      </w:tr>
      <w:tr>
        <w:trPr>
          <w:trHeight w:val="210"/>
        </w:trPr>
        <w:tc>
          <w:tcPr>
            <w:tcW w:w="2900" w:type="dxa"/>
            <w:vAlign w:val="bottom"/>
            <w:gridSpan w:val="2"/>
          </w:tcPr>
          <w:p>
            <w:pPr>
              <w:ind w:left="1160"/>
              <w:spacing w:after="0"/>
              <w:rPr>
                <w:sz w:val="20"/>
                <w:szCs w:val="20"/>
                <w:color w:val="auto"/>
              </w:rPr>
            </w:pPr>
            <w:r>
              <w:rPr>
                <w:rFonts w:ascii="Arial" w:cs="Arial" w:eastAsia="Arial" w:hAnsi="Arial"/>
                <w:sz w:val="16"/>
                <w:szCs w:val="16"/>
                <w:b w:val="1"/>
                <w:bCs w:val="1"/>
                <w:color w:val="auto"/>
              </w:rPr>
              <w:t>Period</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Purchased</w:t>
            </w:r>
          </w:p>
        </w:tc>
        <w:tc>
          <w:tcPr>
            <w:tcW w:w="40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9"/>
              </w:rPr>
              <w:t>Share</w:t>
            </w: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or Programs</w:t>
            </w:r>
          </w:p>
        </w:tc>
        <w:tc>
          <w:tcPr>
            <w:tcW w:w="160" w:type="dxa"/>
            <w:vAlign w:val="bottom"/>
          </w:tcPr>
          <w:p>
            <w:pPr>
              <w:spacing w:after="0"/>
              <w:rPr>
                <w:sz w:val="18"/>
                <w:szCs w:val="18"/>
                <w:color w:val="auto"/>
              </w:rPr>
            </w:pPr>
          </w:p>
        </w:tc>
        <w:tc>
          <w:tcPr>
            <w:tcW w:w="1940" w:type="dxa"/>
            <w:vAlign w:val="bottom"/>
          </w:tcPr>
          <w:p>
            <w:pPr>
              <w:jc w:val="center"/>
              <w:ind w:right="93"/>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2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10/1/2019 - 10/31/2019</w:t>
            </w:r>
          </w:p>
        </w:tc>
        <w:tc>
          <w:tcPr>
            <w:tcW w:w="120" w:type="dxa"/>
            <w:vAlign w:val="bottom"/>
          </w:tcPr>
          <w:p>
            <w:pPr>
              <w:spacing w:after="0"/>
              <w:rPr>
                <w:sz w:val="23"/>
                <w:szCs w:val="23"/>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11/1/2019 - 11/30/2019</w:t>
            </w:r>
          </w:p>
        </w:tc>
        <w:tc>
          <w:tcPr>
            <w:tcW w:w="120" w:type="dxa"/>
            <w:vAlign w:val="bottom"/>
          </w:tcPr>
          <w:p>
            <w:pPr>
              <w:spacing w:after="0"/>
              <w:rPr>
                <w:sz w:val="23"/>
                <w:szCs w:val="23"/>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0"/>
        </w:trPr>
        <w:tc>
          <w:tcPr>
            <w:tcW w:w="2780" w:type="dxa"/>
            <w:vAlign w:val="bottom"/>
          </w:tcPr>
          <w:p>
            <w:pPr>
              <w:ind w:left="20"/>
              <w:spacing w:after="0"/>
              <w:rPr>
                <w:sz w:val="20"/>
                <w:szCs w:val="20"/>
                <w:color w:val="auto"/>
              </w:rPr>
            </w:pPr>
            <w:r>
              <w:rPr>
                <w:rFonts w:ascii="Arial" w:cs="Arial" w:eastAsia="Arial" w:hAnsi="Arial"/>
                <w:sz w:val="18"/>
                <w:szCs w:val="18"/>
                <w:color w:val="auto"/>
              </w:rPr>
              <w:t>12/1/2019 - 12/31/2019</w:t>
            </w:r>
          </w:p>
        </w:tc>
        <w:tc>
          <w:tcPr>
            <w:tcW w:w="120" w:type="dxa"/>
            <w:vAlign w:val="bottom"/>
          </w:tcPr>
          <w:p>
            <w:pPr>
              <w:spacing w:after="0"/>
              <w:rPr>
                <w:sz w:val="23"/>
                <w:szCs w:val="23"/>
                <w:color w:val="auto"/>
              </w:rPr>
            </w:pPr>
          </w:p>
        </w:tc>
        <w:tc>
          <w:tcPr>
            <w:tcW w:w="2100" w:type="dxa"/>
            <w:vAlign w:val="bottom"/>
          </w:tcPr>
          <w:p>
            <w:pPr>
              <w:jc w:val="right"/>
              <w:ind w:right="33"/>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23"/>
                <w:szCs w:val="23"/>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193,790</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Pr>
          <w:p>
            <w:pPr>
              <w:jc w:val="right"/>
              <w:ind w:right="33"/>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193,790</w:t>
            </w: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53"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graph depicted below compares the annual percentage changes in LivePerson’s cumulative total stockholder return with the cumulative total return of the Standard &amp; Poor’s SmallCap 600 Index and the Standard &amp; Poor’s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48895</wp:posOffset>
            </wp:positionV>
            <wp:extent cx="5257165"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graph covers the period from December 31, 2014 to December 31, 2019.</w:t>
      </w:r>
    </w:p>
    <w:p>
      <w:pPr>
        <w:spacing w:after="0" w:line="117" w:lineRule="exact"/>
        <w:rPr>
          <w:rFonts w:ascii="Arial" w:cs="Arial" w:eastAsia="Arial" w:hAnsi="Arial"/>
          <w:sz w:val="18"/>
          <w:szCs w:val="18"/>
          <w:color w:val="auto"/>
        </w:rPr>
      </w:pPr>
    </w:p>
    <w:p>
      <w:pPr>
        <w:ind w:left="280" w:right="20" w:hanging="272"/>
        <w:spacing w:after="0" w:line="264"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graph assumes that $100 was invested at the market close on December 31, 2014 in LivePerson’s Common Stock, in the Standard &amp; Poor’s SmallCap 600 Index and in the Standard &amp; Poor’s Information Technology Index, and that all dividends were reinvested. No cash dividends have been declared on LivePerson’s Common Stock.</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Securities and Exchange Commission,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 that such information be treated as soliciting material, in each case under those statutes.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6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selected consolidated financial data with respect to our consolidated balance sheets as of December 31, 2019 and 2018 and the related consolidated statements of operations for the years ended December 31, 2019, 2018 and 2017 have been derived from our audited consolidated financial statements which are included herein. The selected financial data with respect to our balance sheets as of December 31, 2017, 2016 and 2015 and the related statements of operations for the years ended December 31, 2016 and 2015 have been derived from our audited financial statements which are not included herein. Due to our acquisitions of AdvantageTec, Conversable, and Bot Central in 2018, we believe that comparisons of our operating results with each other, or with those of prior periods, may not be meaningful. The following selected consolidated financial data should be read in conjunction with the consolidated financial statements and the notes thereto and the information contained in Item 7, “Management’s Discussion and Analysis of Financial Condition and Results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6"/>
          </w:tcPr>
          <w:p>
            <w:pPr>
              <w:jc w:val="center"/>
              <w:ind w:left="751"/>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150"/>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6"/>
                <w:szCs w:val="16"/>
                <w:b w:val="1"/>
                <w:bCs w:val="1"/>
                <w:color w:val="auto"/>
              </w:rPr>
              <w:t>2015</w:t>
            </w:r>
          </w:p>
        </w:tc>
      </w:tr>
      <w:tr>
        <w:trPr>
          <w:trHeight w:val="33"/>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0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2"/>
              </w:rPr>
              <w:t>(In Thousands, Except Share and per Share Data)</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291,609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249,838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218,876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222,779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239,012</w:t>
            </w: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62,479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63,161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70,310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156,814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103,344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90,905</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89,529</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94,728</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56,967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45,873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43,046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37,171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Product development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82,145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55,707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40,034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40,198</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38,974</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3,384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4,873</w:t>
            </w: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378,641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273,541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236,702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242,188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249,440</w:t>
            </w: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(87,032)</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(23,703)</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(19,409)</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(10,428)</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Interest (expense) income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(7,407)</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47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(6,194)</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(24,174)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2,845</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5,934</w:t>
            </w:r>
          </w:p>
        </w:tc>
        <w:tc>
          <w:tcPr>
            <w:tcW w:w="10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15,814</w:t>
            </w:r>
          </w:p>
        </w:tc>
      </w:tr>
      <w:tr>
        <w:trPr>
          <w:trHeight w:val="297"/>
        </w:trPr>
        <w:tc>
          <w:tcPr>
            <w:tcW w:w="470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(96,071)</w:t>
            </w:r>
          </w:p>
        </w:tc>
        <w:tc>
          <w:tcPr>
            <w:tcW w:w="120" w:type="dxa"/>
            <w:vAlign w:val="bottom"/>
            <w:tcBorders>
              <w:bottom w:val="single" w:sz="8" w:color="CCFFC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(25,032)</w:t>
            </w:r>
          </w:p>
        </w:tc>
        <w:tc>
          <w:tcPr>
            <w:tcW w:w="120" w:type="dxa"/>
            <w:vAlign w:val="bottom"/>
            <w:tcBorders>
              <w:bottom w:val="single" w:sz="8" w:color="CCFFC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tcBorders>
              <w:bottom w:val="single" w:sz="8" w:color="CCFFCC"/>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(25,873)</w:t>
            </w:r>
          </w:p>
        </w:tc>
        <w:tc>
          <w:tcPr>
            <w:tcW w:w="100" w:type="dxa"/>
            <w:vAlign w:val="bottom"/>
            <w:tcBorders>
              <w:bottom w:val="single" w:sz="8" w:color="CCFFCC"/>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(26,646)</w:t>
            </w:r>
          </w:p>
        </w:tc>
      </w:tr>
      <w:tr>
        <w:trPr>
          <w:trHeight w:val="284"/>
        </w:trPr>
        <w:tc>
          <w:tcPr>
            <w:tcW w:w="470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0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0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1020" w:type="dxa"/>
            <w:vAlign w:val="bottom"/>
            <w:shd w:val="clear" w:color="auto" w:fill="CCFFCC"/>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per share of common stock:</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(0.47)</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r>
      <w:tr>
        <w:trPr>
          <w:trHeight w:val="284"/>
        </w:trPr>
        <w:tc>
          <w:tcPr>
            <w:tcW w:w="470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0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0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10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1020" w:type="dxa"/>
            <w:vAlign w:val="bottom"/>
            <w:shd w:val="clear" w:color="auto" w:fill="CCFFCC"/>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Weighted-average shares used to compute net loss per share: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47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62,593,026</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auto"/>
            </w:tcBorders>
            <w:shd w:val="clear" w:color="auto" w:fill="CCFFCC"/>
          </w:tcPr>
          <w:p>
            <w:pPr>
              <w:spacing w:after="0"/>
              <w:rPr>
                <w:sz w:val="22"/>
                <w:szCs w:val="22"/>
                <w:color w:val="auto"/>
              </w:rPr>
            </w:pP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59,203,400</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56,358,017</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5"/>
              </w:rPr>
              <w:t>56,063,777</w:t>
            </w: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auto"/>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56,452,408</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FFCC"/>
            </w:tcBorders>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62,593,026</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59,203,400</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56,358,017</w:t>
            </w:r>
          </w:p>
        </w:tc>
        <w:tc>
          <w:tcPr>
            <w:tcW w:w="100" w:type="dxa"/>
            <w:vAlign w:val="bottom"/>
            <w:tcBorders>
              <w:bottom w:val="single" w:sz="8" w:color="CCFFC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56,063,777</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56,452,408</w:t>
            </w:r>
          </w:p>
        </w:tc>
      </w:tr>
      <w:tr>
        <w:trPr>
          <w:trHeight w:val="257"/>
        </w:trPr>
        <w:tc>
          <w:tcPr>
            <w:tcW w:w="47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Other Financial and Operational Data:</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24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spacing w:after="0"/>
              <w:rPr>
                <w:sz w:val="22"/>
                <w:szCs w:val="22"/>
                <w:color w:val="auto"/>
              </w:rPr>
            </w:pPr>
          </w:p>
        </w:tc>
      </w:tr>
      <w:tr>
        <w:trPr>
          <w:trHeight w:val="304"/>
        </w:trPr>
        <w:tc>
          <w:tcPr>
            <w:tcW w:w="4700" w:type="dxa"/>
            <w:vAlign w:val="bottom"/>
            <w:tcBorders>
              <w:bottom w:val="single" w:sz="8" w:color="CCFFCC"/>
            </w:tcBorders>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(13,612)</w:t>
            </w:r>
          </w:p>
        </w:tc>
        <w:tc>
          <w:tcPr>
            <w:tcW w:w="120" w:type="dxa"/>
            <w:vAlign w:val="bottom"/>
            <w:tcBorders>
              <w:bottom w:val="single" w:sz="8" w:color="CCFFCC"/>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19,090</w:t>
            </w:r>
          </w:p>
        </w:tc>
        <w:tc>
          <w:tcPr>
            <w:tcW w:w="120" w:type="dxa"/>
            <w:vAlign w:val="bottom"/>
            <w:tcBorders>
              <w:bottom w:val="single" w:sz="8" w:color="CCFFC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FFCC"/>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19,198</w:t>
            </w:r>
          </w:p>
        </w:tc>
        <w:tc>
          <w:tcPr>
            <w:tcW w:w="100" w:type="dxa"/>
            <w:vAlign w:val="bottom"/>
            <w:tcBorders>
              <w:bottom w:val="single" w:sz="8" w:color="CCFFCC"/>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21,244</w:t>
            </w:r>
          </w:p>
        </w:tc>
      </w:tr>
      <w:tr>
        <w:trPr>
          <w:trHeight w:val="251"/>
        </w:trPr>
        <w:tc>
          <w:tcPr>
            <w:tcW w:w="4700" w:type="dxa"/>
            <w:vAlign w:val="bottom"/>
            <w:tcBorders>
              <w:bottom w:val="single" w:sz="8" w:color="CCFFCC"/>
            </w:tcBorders>
            <w:shd w:val="clear" w:color="auto" w:fill="CCFFCC"/>
          </w:tcPr>
          <w:p>
            <w:pPr>
              <w:ind w:left="40"/>
              <w:spacing w:after="0" w:line="251" w:lineRule="exact"/>
              <w:rPr>
                <w:sz w:val="20"/>
                <w:szCs w:val="20"/>
                <w:color w:val="auto"/>
              </w:rPr>
            </w:pPr>
            <w:r>
              <w:rPr>
                <w:rFonts w:ascii="Arial" w:cs="Arial" w:eastAsia="Arial" w:hAnsi="Arial"/>
                <w:sz w:val="18"/>
                <w:szCs w:val="18"/>
                <w:color w:val="auto"/>
              </w:rPr>
              <w:t xml:space="preserve">Adjusted operating (loss) income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(29,978)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4,902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6,042</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7,503</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9,130</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firstLine="8"/>
        <w:spacing w:after="0" w:line="257" w:lineRule="auto"/>
        <w:tabs>
          <w:tab w:leader="none" w:pos="153" w:val="left"/>
        </w:tabs>
        <w:numPr>
          <w:ilvl w:val="0"/>
          <w:numId w:val="22"/>
        </w:numPr>
        <w:rPr>
          <w:rFonts w:ascii="Arial" w:cs="Arial" w:eastAsia="Arial" w:hAnsi="Arial"/>
          <w:sz w:val="9"/>
          <w:szCs w:val="9"/>
          <w:color w:val="auto"/>
        </w:rPr>
      </w:pPr>
      <w:r>
        <w:rPr>
          <w:rFonts w:ascii="Arial" w:cs="Arial" w:eastAsia="Arial" w:hAnsi="Arial"/>
          <w:sz w:val="14"/>
          <w:szCs w:val="14"/>
          <w:color w:val="auto"/>
        </w:rPr>
        <w:t>We define adjusted EBITDA as net loss before provision for (benefit from) income taxes, other (expense) income, net, depreciation and amortization, stock-based compensation, restructuring costs, acquisition costs and other charges. Please see “Adjusted EBITDA” below for more information and for a reconciliation of adjusted EBITDA to net (loss) income, the most directly comparable financial measure calculated and presented in accordance with U.S. generally accepted accounting principles, or (“GAAP”).</w:t>
      </w:r>
    </w:p>
    <w:p>
      <w:pPr>
        <w:spacing w:after="0" w:line="23" w:lineRule="exact"/>
        <w:rPr>
          <w:rFonts w:ascii="Arial" w:cs="Arial" w:eastAsia="Arial" w:hAnsi="Arial"/>
          <w:sz w:val="9"/>
          <w:szCs w:val="9"/>
          <w:color w:val="auto"/>
        </w:rPr>
      </w:pPr>
    </w:p>
    <w:p>
      <w:pPr>
        <w:jc w:val="both"/>
        <w:ind w:firstLine="8"/>
        <w:spacing w:after="0" w:line="286" w:lineRule="auto"/>
        <w:tabs>
          <w:tab w:leader="none" w:pos="143" w:val="left"/>
        </w:tabs>
        <w:numPr>
          <w:ilvl w:val="0"/>
          <w:numId w:val="22"/>
        </w:numPr>
        <w:rPr>
          <w:rFonts w:ascii="Arial" w:cs="Arial" w:eastAsia="Arial" w:hAnsi="Arial"/>
          <w:sz w:val="8"/>
          <w:szCs w:val="8"/>
          <w:color w:val="auto"/>
        </w:rPr>
      </w:pPr>
      <w:r>
        <w:rPr>
          <w:rFonts w:ascii="Arial" w:cs="Arial" w:eastAsia="Arial" w:hAnsi="Arial"/>
          <w:sz w:val="13"/>
          <w:szCs w:val="13"/>
          <w:color w:val="auto"/>
        </w:rPr>
        <w:t>We define adjusted operating income as income (loss) before provision for income taxes excluding amortization, stock-based compensation, restructuring costs, acquisition costs, contingent earn-out adjustments, other charges and other (expense) income. Please see “Adjusted Operating Income” below for more information and for a reconciliation of adjusted operating income to income (loss) before provision for income taxes, the most directly comparable financial measure calculated and presented in accordance with U.S. generally accepted accounting principles or GAAP.</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Stock-based compensation included in the statements of operations above was as follows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center"/>
              <w:ind w:left="452"/>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2015</w:t>
            </w: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4,218</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996</w:t>
            </w:r>
          </w:p>
        </w:tc>
        <w:tc>
          <w:tcPr>
            <w:tcW w:w="420" w:type="dxa"/>
            <w:vAlign w:val="bottom"/>
            <w:tcBorders>
              <w:bottom w:val="single" w:sz="8" w:color="CCFFCC"/>
            </w:tcBorders>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1,396</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3,088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12,216</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4,921</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3,691</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3,692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17,661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3,638</w:t>
            </w:r>
          </w:p>
        </w:tc>
      </w:tr>
      <w:tr>
        <w:trPr>
          <w:trHeight w:val="27"/>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 stock-based compensation</w:t>
            </w:r>
          </w:p>
        </w:tc>
        <w:tc>
          <w:tcPr>
            <w:tcW w:w="2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44,105</w:t>
            </w:r>
          </w:p>
        </w:tc>
        <w:tc>
          <w:tcPr>
            <w:tcW w:w="12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14,841</w:t>
            </w:r>
          </w:p>
        </w:tc>
        <w:tc>
          <w:tcPr>
            <w:tcW w:w="420" w:type="dxa"/>
            <w:vAlign w:val="bottom"/>
            <w:gridSpan w:val="3"/>
            <w:shd w:val="clear" w:color="auto" w:fill="CCFFCC"/>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8,944</w:t>
            </w: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9,736</w:t>
            </w: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11,814</w:t>
            </w: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67"/>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9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2015</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(In Thousands)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176,523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66,449</w:t>
            </w:r>
          </w:p>
        </w:tc>
        <w:tc>
          <w:tcPr>
            <w:tcW w:w="42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56,115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50,889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48,803</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107,674</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7,873</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13,789</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17,548</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39,122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512,710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290,103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232,799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219,638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226,194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60" w:type="dxa"/>
            <w:vAlign w:val="bottom"/>
            <w:shd w:val="clear" w:color="auto" w:fill="CCFFCC"/>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148,535</w:t>
            </w:r>
          </w:p>
        </w:tc>
        <w:tc>
          <w:tcPr>
            <w:tcW w:w="1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170,729</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140,063</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138,476</w:t>
            </w:r>
          </w:p>
        </w:tc>
        <w:tc>
          <w:tcPr>
            <w:tcW w:w="1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2"/>
              <w:spacing w:after="0"/>
              <w:rPr>
                <w:sz w:val="20"/>
                <w:szCs w:val="20"/>
                <w:color w:val="auto"/>
              </w:rPr>
            </w:pPr>
            <w:r>
              <w:rPr>
                <w:rFonts w:ascii="Arial" w:cs="Arial" w:eastAsia="Arial" w:hAnsi="Arial"/>
                <w:sz w:val="18"/>
                <w:szCs w:val="18"/>
                <w:color w:val="auto"/>
              </w:rPr>
              <w:t>165,305</w:t>
            </w:r>
          </w:p>
        </w:tc>
      </w:tr>
      <w:tr>
        <w:trPr>
          <w:trHeight w:val="27"/>
        </w:trPr>
        <w:tc>
          <w:tcPr>
            <w:tcW w:w="526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Operating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included adjusted EBITDA and adjusted operating income in this Annual Report on Form 10-K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22" w:lineRule="exact"/>
        <w:rPr>
          <w:sz w:val="20"/>
          <w:szCs w:val="20"/>
          <w:color w:val="auto"/>
        </w:rPr>
      </w:pPr>
    </w:p>
    <w:p>
      <w:pPr>
        <w:jc w:val="both"/>
        <w:ind w:left="130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3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7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19"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pre-tax GAAP loss and our other GAAP results. The following table presents a reconciliation of adjusted EBITDA for each of the periods indicated (amounts in thousands):</w:t>
      </w:r>
    </w:p>
    <w:p>
      <w:pPr>
        <w:spacing w:after="0" w:line="209" w:lineRule="exact"/>
        <w:rPr>
          <w:sz w:val="20"/>
          <w:szCs w:val="20"/>
          <w:color w:val="auto"/>
        </w:rPr>
      </w:pPr>
    </w:p>
    <w:p>
      <w:pPr>
        <w:jc w:val="center"/>
        <w:ind w:left="36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37465</wp:posOffset>
            </wp:positionV>
            <wp:extent cx="4596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80" w:lineRule="exact"/>
        <w:rPr>
          <w:sz w:val="20"/>
          <w:szCs w:val="20"/>
          <w:color w:val="auto"/>
        </w:rPr>
      </w:pPr>
    </w:p>
    <w:p>
      <w:pPr>
        <w:ind w:left="4460"/>
        <w:spacing w:after="0"/>
        <w:tabs>
          <w:tab w:leader="none" w:pos="5880" w:val="left"/>
          <w:tab w:leader="none" w:pos="7320" w:val="left"/>
          <w:tab w:leader="none" w:pos="8780" w:val="left"/>
          <w:tab w:leader="none" w:pos="102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37465</wp:posOffset>
            </wp:positionV>
            <wp:extent cx="707517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8034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8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Reconciliation of Adjusted EBITDA:</w:t>
      </w:r>
    </w:p>
    <w:p>
      <w:pPr>
        <w:spacing w:after="0" w:line="6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(96,071)</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2,932</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44,105</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Contingent earn-out adjustments</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2,043</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16,366</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Other litigation and consulting costs</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7,974</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2,845</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Acquisition costs</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86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6,194</w:t>
            </w:r>
          </w:p>
        </w:tc>
      </w:tr>
      <w:tr>
        <w:trPr>
          <w:trHeight w:val="27"/>
        </w:trPr>
        <w:tc>
          <w:tcPr>
            <w:tcW w:w="3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86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w:t>
            </w:r>
          </w:p>
        </w:tc>
      </w:tr>
      <w:tr>
        <w:trPr>
          <w:trHeight w:val="20"/>
        </w:trPr>
        <w:tc>
          <w:tcPr>
            <w:tcW w:w="3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428" w:hanging="428"/>
        <w:spacing w:after="0"/>
        <w:tabs>
          <w:tab w:leader="none" w:pos="4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(25,032)</w:t>
      </w:r>
    </w:p>
    <w:p>
      <w:pPr>
        <w:spacing w:after="0" w:line="86" w:lineRule="exact"/>
        <w:rPr>
          <w:rFonts w:ascii="Arial" w:cs="Arial" w:eastAsia="Arial" w:hAnsi="Arial"/>
          <w:sz w:val="16"/>
          <w:szCs w:val="16"/>
          <w:color w:val="auto"/>
        </w:rPr>
      </w:pPr>
    </w:p>
    <w:p>
      <w:pPr>
        <w:ind w:left="588"/>
        <w:spacing w:after="0"/>
        <w:rPr>
          <w:rFonts w:ascii="Arial" w:cs="Arial" w:eastAsia="Arial" w:hAnsi="Arial"/>
          <w:sz w:val="16"/>
          <w:szCs w:val="16"/>
          <w:color w:val="auto"/>
        </w:rPr>
      </w:pPr>
      <w:r>
        <w:rPr>
          <w:rFonts w:ascii="Arial" w:cs="Arial" w:eastAsia="Arial" w:hAnsi="Arial"/>
          <w:sz w:val="18"/>
          <w:szCs w:val="18"/>
          <w:color w:val="auto"/>
        </w:rPr>
        <w:t>2,813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-139065</wp:posOffset>
            </wp:positionV>
            <wp:extent cx="707517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31750</wp:posOffset>
            </wp:positionV>
            <wp:extent cx="707517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31750</wp:posOffset>
            </wp:positionV>
            <wp:extent cx="707517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14,188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31750</wp:posOffset>
            </wp:positionV>
            <wp:extent cx="707517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858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31750</wp:posOffset>
            </wp:positionV>
            <wp:extent cx="707517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11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57" w:lineRule="exact"/>
        <w:rPr>
          <w:sz w:val="20"/>
          <w:szCs w:val="20"/>
          <w:color w:val="auto"/>
        </w:rPr>
      </w:pPr>
    </w:p>
    <w:p>
      <w:pPr>
        <w:ind w:left="488" w:hanging="488"/>
        <w:spacing w:after="0"/>
        <w:tabs>
          <w:tab w:leader="none" w:pos="4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19,090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11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118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423" w:hanging="423"/>
        <w:spacing w:after="0"/>
        <w:tabs>
          <w:tab w:leader="none" w:pos="423" w:val="left"/>
        </w:tabs>
        <w:numPr>
          <w:ilvl w:val="0"/>
          <w:numId w:val="26"/>
        </w:numPr>
        <w:rPr>
          <w:rFonts w:ascii="Arial" w:cs="Arial" w:eastAsia="Arial" w:hAnsi="Arial"/>
          <w:sz w:val="16"/>
          <w:szCs w:val="16"/>
          <w:color w:val="auto"/>
        </w:rPr>
      </w:pPr>
      <w:r>
        <w:rPr>
          <w:rFonts w:ascii="Arial" w:cs="Arial" w:eastAsia="Arial" w:hAnsi="Arial"/>
          <w:sz w:val="16"/>
          <w:szCs w:val="16"/>
          <w:color w:val="auto"/>
        </w:rPr>
        <w:t>(18,191)</w:t>
      </w:r>
    </w:p>
    <w:p>
      <w:pPr>
        <w:spacing w:after="0" w:line="86"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8"/>
          <w:szCs w:val="18"/>
          <w:color w:val="auto"/>
        </w:rPr>
        <w:t>4,682</w:t>
      </w:r>
    </w:p>
    <w:p>
      <w:pPr>
        <w:spacing w:after="0" w:line="63" w:lineRule="exact"/>
        <w:rPr>
          <w:rFonts w:ascii="Arial" w:cs="Arial" w:eastAsia="Arial" w:hAnsi="Arial"/>
          <w:sz w:val="16"/>
          <w:szCs w:val="16"/>
          <w:color w:val="auto"/>
        </w:rPr>
      </w:pPr>
    </w:p>
    <w:p>
      <w:pPr>
        <w:ind w:left="583"/>
        <w:spacing w:after="0"/>
        <w:rPr>
          <w:rFonts w:ascii="Arial" w:cs="Arial" w:eastAsia="Arial" w:hAnsi="Arial"/>
          <w:sz w:val="16"/>
          <w:szCs w:val="16"/>
          <w:color w:val="auto"/>
        </w:rPr>
      </w:pPr>
      <w:r>
        <w:rPr>
          <w:rFonts w:ascii="Arial" w:cs="Arial" w:eastAsia="Arial" w:hAnsi="Arial"/>
          <w:sz w:val="18"/>
          <w:szCs w:val="18"/>
          <w:color w:val="auto"/>
        </w:rPr>
        <w:t>8,944</w:t>
      </w:r>
    </w:p>
    <w:p>
      <w:pPr>
        <w:spacing w:after="0" w:line="63" w:lineRule="exact"/>
        <w:rPr>
          <w:rFonts w:ascii="Arial" w:cs="Arial" w:eastAsia="Arial" w:hAnsi="Arial"/>
          <w:sz w:val="16"/>
          <w:szCs w:val="16"/>
          <w:color w:val="auto"/>
        </w:rPr>
      </w:pPr>
    </w:p>
    <w:p>
      <w:pPr>
        <w:ind w:left="80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2,594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12,358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7,648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118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57" w:lineRule="exact"/>
        <w:rPr>
          <w:sz w:val="20"/>
          <w:szCs w:val="20"/>
          <w:color w:val="auto"/>
        </w:rPr>
      </w:pPr>
    </w:p>
    <w:p>
      <w:pPr>
        <w:ind w:left="483" w:hanging="483"/>
        <w:spacing w:after="0"/>
        <w:tabs>
          <w:tab w:leader="none" w:pos="4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18,400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11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11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(7)</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440" w:hanging="438"/>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(25,873)</w:t>
      </w:r>
    </w:p>
    <w:p>
      <w:pPr>
        <w:spacing w:after="0" w:line="86"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6,673</w:t>
      </w:r>
    </w:p>
    <w:p>
      <w:pPr>
        <w:spacing w:after="0" w:line="63"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9,736</w:t>
      </w:r>
    </w:p>
    <w:p>
      <w:pPr>
        <w:spacing w:after="0" w:line="63"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2,369</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12,011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7,818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5,934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711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57" w:lineRule="exact"/>
        <w:rPr>
          <w:sz w:val="20"/>
          <w:szCs w:val="20"/>
          <w:color w:val="auto"/>
        </w:rPr>
      </w:pPr>
    </w:p>
    <w:p>
      <w:pPr>
        <w:ind w:left="500" w:hanging="498"/>
        <w:spacing w:after="0"/>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19,198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39370</wp:posOffset>
            </wp:positionV>
            <wp:extent cx="7118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56515</wp:posOffset>
            </wp:positionV>
            <wp:extent cx="711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(8)</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440" w:hanging="433"/>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(26,444)</w:t>
      </w:r>
    </w:p>
    <w:p>
      <w:pPr>
        <w:spacing w:after="0" w:line="6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8,040</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11,814</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(3,680)</w:t>
      </w:r>
    </w:p>
    <w:p>
      <w:pPr>
        <w:spacing w:after="0" w:line="63"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 xml:space="preserve">3,384  </w:t>
      </w:r>
      <w:r>
        <w:rPr>
          <w:rFonts w:ascii="Arial" w:cs="Arial" w:eastAsia="Arial" w:hAnsi="Arial"/>
          <w:sz w:val="10"/>
          <w:szCs w:val="10"/>
          <w:color w:val="auto"/>
        </w:rPr>
        <w:t>(9)</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12,114</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15,814</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9175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57" w:lineRule="exact"/>
        <w:rPr>
          <w:sz w:val="20"/>
          <w:szCs w:val="20"/>
          <w:color w:val="auto"/>
        </w:rPr>
      </w:pPr>
    </w:p>
    <w:p>
      <w:pPr>
        <w:ind w:left="500" w:hanging="493"/>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21,244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9175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48895</wp:posOffset>
            </wp:positionV>
            <wp:extent cx="9175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9">
            <w:col w:w="5180" w:space="20"/>
            <w:col w:w="140" w:space="192"/>
            <w:col w:w="1048" w:space="80"/>
            <w:col w:w="120" w:space="197"/>
            <w:col w:w="1043" w:space="80"/>
            <w:col w:w="120" w:space="200"/>
            <w:col w:w="1040" w:space="80"/>
            <w:col w:w="120" w:space="200"/>
            <w:col w:w="1560"/>
          </w:cols>
          <w:pgMar w:left="240" w:top="341" w:right="239" w:bottom="1440" w:gutter="0" w:footer="0" w:header="0"/>
          <w:type w:val="continuous"/>
        </w:sectPr>
      </w:pPr>
    </w:p>
    <w:p>
      <w:pPr>
        <w:ind w:firstLine="648"/>
        <w:spacing w:after="0" w:line="277" w:lineRule="auto"/>
        <w:rPr>
          <w:sz w:val="20"/>
          <w:szCs w:val="20"/>
          <w:color w:val="auto"/>
        </w:rPr>
      </w:pPr>
      <w:r>
        <w:rPr>
          <w:rFonts w:ascii="Arial" w:cs="Arial" w:eastAsia="Arial" w:hAnsi="Arial"/>
          <w:sz w:val="18"/>
          <w:szCs w:val="18"/>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22" w:lineRule="exact"/>
        <w:rPr>
          <w:sz w:val="20"/>
          <w:szCs w:val="20"/>
          <w:color w:val="auto"/>
        </w:rPr>
      </w:pPr>
    </w:p>
    <w:p>
      <w:pPr>
        <w:ind w:left="1300" w:hanging="320"/>
        <w:spacing w:after="0" w:line="306"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spacing w:after="0" w:line="1" w:lineRule="exact"/>
        <w:rPr>
          <w:rFonts w:ascii="Arial" w:cs="Arial" w:eastAsia="Arial" w:hAnsi="Arial"/>
          <w:sz w:val="17"/>
          <w:szCs w:val="17"/>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acquisition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restructuring costs;</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other non-recurring costs;</w:t>
      </w:r>
    </w:p>
    <w:p>
      <w:pPr>
        <w:spacing w:after="0" w:line="76"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operating income differently, which reduces its usefulness as a comparative measure.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type w:val="continuous"/>
        </w:sectPr>
      </w:pPr>
    </w:p>
    <w:bookmarkStart w:id="50" w:name="page51"/>
    <w:bookmarkEnd w:id="50"/>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operating income (loss) alongside other financial performance measures, including various pre-tax GAAP loss and our other GAAP results. The following table presents a reconciliation of adjusted operating income (loss) for each of the periods indicated (amounts in thousands):</w:t>
      </w:r>
    </w:p>
    <w:p>
      <w:pPr>
        <w:spacing w:after="0" w:line="209" w:lineRule="exact"/>
        <w:rPr>
          <w:sz w:val="20"/>
          <w:szCs w:val="20"/>
          <w:color w:val="auto"/>
        </w:rPr>
      </w:pPr>
    </w:p>
    <w:p>
      <w:pPr>
        <w:jc w:val="center"/>
        <w:ind w:left="37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37465</wp:posOffset>
            </wp:positionV>
            <wp:extent cx="4493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80" w:lineRule="exact"/>
        <w:rPr>
          <w:sz w:val="20"/>
          <w:szCs w:val="20"/>
          <w:color w:val="auto"/>
        </w:rPr>
      </w:pPr>
    </w:p>
    <w:p>
      <w:pPr>
        <w:ind w:left="4440"/>
        <w:spacing w:after="0"/>
        <w:tabs>
          <w:tab w:leader="none" w:pos="5920" w:val="left"/>
          <w:tab w:leader="none" w:pos="7380" w:val="left"/>
          <w:tab w:leader="none" w:pos="8860" w:val="left"/>
          <w:tab w:leader="none" w:pos="103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Adjusted Operating Income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(Loss)</w:t>
      </w:r>
    </w:p>
    <w:p>
      <w:pPr>
        <w:sectPr>
          <w:pgSz w:w="11900" w:h="16838" w:orient="portrait"/>
          <w:cols w:equalWidth="0" w:num="1">
            <w:col w:w="11420"/>
          </w:cols>
          <w:pgMar w:left="240" w:top="341" w:right="239" w:bottom="1440" w:gutter="0" w:footer="0" w:header="0"/>
        </w:sectPr>
      </w:pP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(93,226)</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2,932</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44,105</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Restructuring costs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2,043</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Other litigation and consulting costs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7,974</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Contingent earn-out adjustments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Acquisition costs</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6,194</w:t>
            </w:r>
          </w:p>
        </w:tc>
      </w:tr>
      <w:tr>
        <w:trPr>
          <w:trHeight w:val="27"/>
        </w:trPr>
        <w:tc>
          <w:tcPr>
            <w:tcW w:w="3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Adjusted operating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(29,978)</w:t>
            </w:r>
          </w:p>
        </w:tc>
      </w:tr>
      <w:tr>
        <w:trPr>
          <w:trHeight w:val="20"/>
        </w:trPr>
        <w:tc>
          <w:tcPr>
            <w:tcW w:w="3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441" w:hanging="441"/>
        <w:spacing w:after="0"/>
        <w:tabs>
          <w:tab w:leader="none" w:pos="441" w:val="left"/>
        </w:tabs>
        <w:numPr>
          <w:ilvl w:val="0"/>
          <w:numId w:val="33"/>
        </w:numPr>
        <w:rPr>
          <w:rFonts w:ascii="Arial" w:cs="Arial" w:eastAsia="Arial" w:hAnsi="Arial"/>
          <w:sz w:val="16"/>
          <w:szCs w:val="16"/>
          <w:color w:val="auto"/>
        </w:rPr>
      </w:pPr>
      <w:r>
        <w:rPr>
          <w:rFonts w:ascii="Arial" w:cs="Arial" w:eastAsia="Arial" w:hAnsi="Arial"/>
          <w:sz w:val="16"/>
          <w:szCs w:val="16"/>
          <w:color w:val="auto"/>
        </w:rPr>
        <w:t>(24,174)</w:t>
      </w:r>
    </w:p>
    <w:p>
      <w:pPr>
        <w:spacing w:after="0" w:line="86" w:lineRule="exact"/>
        <w:rPr>
          <w:rFonts w:ascii="Arial" w:cs="Arial" w:eastAsia="Arial" w:hAnsi="Arial"/>
          <w:sz w:val="16"/>
          <w:szCs w:val="16"/>
          <w:color w:val="auto"/>
        </w:rPr>
      </w:pPr>
    </w:p>
    <w:p>
      <w:pPr>
        <w:ind w:left="601"/>
        <w:spacing w:after="0"/>
        <w:rPr>
          <w:rFonts w:ascii="Arial" w:cs="Arial" w:eastAsia="Arial" w:hAnsi="Arial"/>
          <w:sz w:val="16"/>
          <w:szCs w:val="16"/>
          <w:color w:val="auto"/>
        </w:rPr>
      </w:pPr>
      <w:r>
        <w:rPr>
          <w:rFonts w:ascii="Arial" w:cs="Arial" w:eastAsia="Arial" w:hAnsi="Arial"/>
          <w:sz w:val="18"/>
          <w:szCs w:val="18"/>
          <w:color w:val="auto"/>
        </w:rPr>
        <w:t>2,813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-139065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4,468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31750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57" w:lineRule="exact"/>
        <w:rPr>
          <w:sz w:val="20"/>
          <w:szCs w:val="20"/>
          <w:color w:val="auto"/>
        </w:rPr>
      </w:pPr>
    </w:p>
    <w:p>
      <w:pPr>
        <w:ind w:left="601" w:hanging="601"/>
        <w:spacing w:after="0"/>
        <w:tabs>
          <w:tab w:leader="none" w:pos="601" w:val="left"/>
        </w:tabs>
        <w:numPr>
          <w:ilvl w:val="0"/>
          <w:numId w:val="34"/>
        </w:numPr>
        <w:rPr>
          <w:rFonts w:ascii="Arial" w:cs="Arial" w:eastAsia="Arial" w:hAnsi="Arial"/>
          <w:sz w:val="18"/>
          <w:szCs w:val="18"/>
          <w:color w:val="auto"/>
        </w:rPr>
      </w:pPr>
      <w:r>
        <w:rPr>
          <w:rFonts w:ascii="Arial" w:cs="Arial" w:eastAsia="Arial" w:hAnsi="Arial"/>
          <w:sz w:val="18"/>
          <w:szCs w:val="18"/>
          <w:color w:val="auto"/>
        </w:rPr>
        <w:t>4,902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449" w:hanging="449"/>
        <w:spacing w:after="0"/>
        <w:tabs>
          <w:tab w:leader="none" w:pos="4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(17,690)</w:t>
      </w:r>
    </w:p>
    <w:p>
      <w:pPr>
        <w:spacing w:after="0" w:line="86"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8"/>
          <w:szCs w:val="18"/>
          <w:color w:val="auto"/>
        </w:rPr>
        <w:t>4,682</w:t>
      </w:r>
    </w:p>
    <w:p>
      <w:pPr>
        <w:spacing w:after="0" w:line="63"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8"/>
          <w:szCs w:val="18"/>
          <w:color w:val="auto"/>
        </w:rPr>
        <w:t>8,944</w:t>
      </w:r>
    </w:p>
    <w:p>
      <w:pPr>
        <w:spacing w:after="0" w:line="63"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8"/>
          <w:szCs w:val="18"/>
          <w:color w:val="auto"/>
        </w:rPr>
        <w:t>2,594</w:t>
      </w:r>
    </w:p>
    <w:p>
      <w:pPr>
        <w:spacing w:after="0" w:line="63" w:lineRule="exact"/>
        <w:rPr>
          <w:rFonts w:ascii="Arial" w:cs="Arial" w:eastAsia="Arial" w:hAnsi="Arial"/>
          <w:sz w:val="16"/>
          <w:szCs w:val="16"/>
          <w:color w:val="auto"/>
        </w:rPr>
      </w:pPr>
    </w:p>
    <w:p>
      <w:pPr>
        <w:ind w:left="589"/>
        <w:spacing w:after="0"/>
        <w:rPr>
          <w:rFonts w:ascii="Arial" w:cs="Arial" w:eastAsia="Arial" w:hAnsi="Arial"/>
          <w:sz w:val="16"/>
          <w:szCs w:val="16"/>
          <w:color w:val="auto"/>
        </w:rPr>
      </w:pPr>
      <w:r>
        <w:rPr>
          <w:rFonts w:ascii="Arial" w:cs="Arial" w:eastAsia="Arial" w:hAnsi="Arial"/>
          <w:sz w:val="18"/>
          <w:szCs w:val="18"/>
          <w:color w:val="auto"/>
        </w:rPr>
        <w:t>7,648</w:t>
      </w:r>
    </w:p>
    <w:p>
      <w:pPr>
        <w:spacing w:after="0" w:line="63" w:lineRule="exact"/>
        <w:rPr>
          <w:rFonts w:ascii="Arial" w:cs="Arial" w:eastAsia="Arial" w:hAnsi="Arial"/>
          <w:sz w:val="16"/>
          <w:szCs w:val="16"/>
          <w:color w:val="auto"/>
        </w:rPr>
      </w:pPr>
    </w:p>
    <w:p>
      <w:pPr>
        <w:ind w:left="82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82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669"/>
        <w:spacing w:after="0"/>
        <w:rPr>
          <w:rFonts w:ascii="Arial" w:cs="Arial" w:eastAsia="Arial" w:hAnsi="Arial"/>
          <w:sz w:val="16"/>
          <w:szCs w:val="16"/>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7200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68" w:lineRule="exact"/>
        <w:rPr>
          <w:sz w:val="20"/>
          <w:szCs w:val="20"/>
          <w:color w:val="auto"/>
        </w:rPr>
      </w:pPr>
    </w:p>
    <w:p>
      <w:pPr>
        <w:ind w:left="589" w:hanging="589"/>
        <w:spacing w:after="0"/>
        <w:tabs>
          <w:tab w:leader="none" w:pos="5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6,042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437" w:hanging="437"/>
        <w:spacing w:after="0"/>
        <w:tabs>
          <w:tab w:leader="none" w:pos="4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(19,939)</w:t>
      </w:r>
    </w:p>
    <w:p>
      <w:pPr>
        <w:spacing w:after="0" w:line="86"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8"/>
          <w:szCs w:val="18"/>
          <w:color w:val="auto"/>
        </w:rPr>
        <w:t>6,673</w:t>
      </w:r>
    </w:p>
    <w:p>
      <w:pPr>
        <w:spacing w:after="0" w:line="63"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8"/>
          <w:szCs w:val="18"/>
          <w:color w:val="auto"/>
        </w:rPr>
        <w:t>9,736</w:t>
      </w:r>
    </w:p>
    <w:p>
      <w:pPr>
        <w:spacing w:after="0" w:line="63"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8"/>
          <w:szCs w:val="18"/>
          <w:color w:val="auto"/>
        </w:rPr>
        <w:t>2,369</w:t>
      </w:r>
    </w:p>
    <w:p>
      <w:pPr>
        <w:spacing w:after="0" w:line="63" w:lineRule="exact"/>
        <w:rPr>
          <w:rFonts w:ascii="Arial" w:cs="Arial" w:eastAsia="Arial" w:hAnsi="Arial"/>
          <w:sz w:val="16"/>
          <w:szCs w:val="16"/>
          <w:color w:val="auto"/>
        </w:rPr>
      </w:pPr>
    </w:p>
    <w:p>
      <w:pPr>
        <w:ind w:left="597"/>
        <w:spacing w:after="0"/>
        <w:rPr>
          <w:rFonts w:ascii="Arial" w:cs="Arial" w:eastAsia="Arial" w:hAnsi="Arial"/>
          <w:sz w:val="16"/>
          <w:szCs w:val="16"/>
          <w:color w:val="auto"/>
        </w:rPr>
      </w:pPr>
      <w:r>
        <w:rPr>
          <w:rFonts w:ascii="Arial" w:cs="Arial" w:eastAsia="Arial" w:hAnsi="Arial"/>
          <w:sz w:val="18"/>
          <w:szCs w:val="18"/>
          <w:color w:val="auto"/>
        </w:rPr>
        <w:t>8,134</w:t>
      </w:r>
    </w:p>
    <w:p>
      <w:pPr>
        <w:spacing w:after="0" w:line="63" w:lineRule="exact"/>
        <w:rPr>
          <w:rFonts w:ascii="Arial" w:cs="Arial" w:eastAsia="Arial" w:hAnsi="Arial"/>
          <w:sz w:val="16"/>
          <w:szCs w:val="16"/>
          <w:color w:val="auto"/>
        </w:rPr>
      </w:pPr>
    </w:p>
    <w:p>
      <w:pPr>
        <w:ind w:left="817"/>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817"/>
        <w:spacing w:after="0"/>
        <w:rPr>
          <w:rFonts w:ascii="Arial" w:cs="Arial" w:eastAsia="Arial" w:hAnsi="Arial"/>
          <w:sz w:val="16"/>
          <w:szCs w:val="16"/>
          <w:color w:val="auto"/>
        </w:rPr>
      </w:pPr>
      <w:r>
        <w:rPr>
          <w:rFonts w:ascii="Arial" w:cs="Arial" w:eastAsia="Arial" w:hAnsi="Arial"/>
          <w:sz w:val="18"/>
          <w:szCs w:val="18"/>
          <w:color w:val="auto"/>
        </w:rPr>
        <w:t>—</w:t>
      </w:r>
    </w:p>
    <w:p>
      <w:pPr>
        <w:spacing w:after="0" w:line="63" w:lineRule="exact"/>
        <w:rPr>
          <w:rFonts w:ascii="Arial" w:cs="Arial" w:eastAsia="Arial" w:hAnsi="Arial"/>
          <w:sz w:val="16"/>
          <w:szCs w:val="16"/>
          <w:color w:val="auto"/>
        </w:rPr>
      </w:pPr>
    </w:p>
    <w:p>
      <w:pPr>
        <w:ind w:left="737"/>
        <w:spacing w:after="0"/>
        <w:rPr>
          <w:rFonts w:ascii="Arial" w:cs="Arial" w:eastAsia="Arial" w:hAnsi="Arial"/>
          <w:sz w:val="16"/>
          <w:szCs w:val="16"/>
          <w:color w:val="auto"/>
        </w:rPr>
      </w:pPr>
      <w:r>
        <w:rPr>
          <w:rFonts w:ascii="Arial" w:cs="Arial" w:eastAsia="Arial" w:hAnsi="Arial"/>
          <w:sz w:val="18"/>
          <w:szCs w:val="18"/>
          <w:color w:val="auto"/>
        </w:rPr>
        <w:t>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57" w:lineRule="exact"/>
        <w:rPr>
          <w:sz w:val="20"/>
          <w:szCs w:val="20"/>
          <w:color w:val="auto"/>
        </w:rPr>
      </w:pPr>
    </w:p>
    <w:p>
      <w:pPr>
        <w:ind w:left="597" w:hanging="597"/>
        <w:spacing w:after="0"/>
        <w:tabs>
          <w:tab w:leader="none" w:pos="597" w:val="left"/>
        </w:tabs>
        <w:numPr>
          <w:ilvl w:val="0"/>
          <w:numId w:val="38"/>
        </w:numPr>
        <w:rPr>
          <w:rFonts w:ascii="Arial" w:cs="Arial" w:eastAsia="Arial" w:hAnsi="Arial"/>
          <w:sz w:val="18"/>
          <w:szCs w:val="18"/>
          <w:color w:val="auto"/>
        </w:rPr>
      </w:pPr>
      <w:r>
        <w:rPr>
          <w:rFonts w:ascii="Arial" w:cs="Arial" w:eastAsia="Arial" w:hAnsi="Arial"/>
          <w:sz w:val="18"/>
          <w:szCs w:val="18"/>
          <w:color w:val="auto"/>
        </w:rPr>
        <w:t>7,503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783" w:hanging="445"/>
        <w:spacing w:after="0"/>
        <w:tabs>
          <w:tab w:leader="none" w:pos="7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(10,630)</w:t>
      </w:r>
    </w:p>
    <w:p>
      <w:pPr>
        <w:spacing w:after="0" w:line="63" w:lineRule="exact"/>
        <w:rPr>
          <w:rFonts w:ascii="Arial" w:cs="Arial" w:eastAsia="Arial" w:hAnsi="Arial"/>
          <w:sz w:val="18"/>
          <w:szCs w:val="18"/>
          <w:color w:val="auto"/>
        </w:rPr>
      </w:pPr>
    </w:p>
    <w:p>
      <w:pPr>
        <w:ind w:left="923"/>
        <w:spacing w:after="0"/>
        <w:rPr>
          <w:rFonts w:ascii="Arial" w:cs="Arial" w:eastAsia="Arial" w:hAnsi="Arial"/>
          <w:sz w:val="18"/>
          <w:szCs w:val="18"/>
          <w:color w:val="auto"/>
        </w:rPr>
      </w:pPr>
      <w:r>
        <w:rPr>
          <w:rFonts w:ascii="Arial" w:cs="Arial" w:eastAsia="Arial" w:hAnsi="Arial"/>
          <w:sz w:val="18"/>
          <w:szCs w:val="18"/>
          <w:color w:val="auto"/>
        </w:rPr>
        <w:t>8,040</w:t>
      </w:r>
    </w:p>
    <w:p>
      <w:pPr>
        <w:spacing w:after="0" w:line="63" w:lineRule="exact"/>
        <w:rPr>
          <w:sz w:val="20"/>
          <w:szCs w:val="20"/>
          <w:color w:val="auto"/>
        </w:rPr>
      </w:pPr>
    </w:p>
    <w:p>
      <w:pPr>
        <w:ind w:left="843"/>
        <w:spacing w:after="0"/>
        <w:rPr>
          <w:sz w:val="20"/>
          <w:szCs w:val="20"/>
          <w:color w:val="auto"/>
        </w:rPr>
      </w:pPr>
      <w:r>
        <w:rPr>
          <w:rFonts w:ascii="Arial" w:cs="Arial" w:eastAsia="Arial" w:hAnsi="Arial"/>
          <w:sz w:val="18"/>
          <w:szCs w:val="18"/>
          <w:color w:val="auto"/>
        </w:rPr>
        <w:t>11,814</w:t>
      </w:r>
    </w:p>
    <w:p>
      <w:pPr>
        <w:spacing w:after="0" w:line="63" w:lineRule="exact"/>
        <w:rPr>
          <w:sz w:val="20"/>
          <w:szCs w:val="20"/>
          <w:color w:val="auto"/>
        </w:rPr>
      </w:pPr>
    </w:p>
    <w:p>
      <w:pPr>
        <w:ind w:left="923" w:hanging="923"/>
        <w:spacing w:after="0"/>
        <w:tabs>
          <w:tab w:leader="none" w:pos="923" w:val="left"/>
        </w:tabs>
        <w:numPr>
          <w:ilvl w:val="0"/>
          <w:numId w:val="40"/>
        </w:numPr>
        <w:rPr>
          <w:rFonts w:ascii="Arial" w:cs="Arial" w:eastAsia="Arial" w:hAnsi="Arial"/>
          <w:sz w:val="11"/>
          <w:szCs w:val="11"/>
          <w:color w:val="auto"/>
        </w:rPr>
      </w:pPr>
      <w:r>
        <w:rPr>
          <w:rFonts w:ascii="Arial" w:cs="Arial" w:eastAsia="Arial" w:hAnsi="Arial"/>
          <w:sz w:val="18"/>
          <w:szCs w:val="18"/>
          <w:color w:val="auto"/>
        </w:rPr>
        <w:t xml:space="preserve">3,384  </w:t>
      </w:r>
      <w:r>
        <w:rPr>
          <w:rFonts w:ascii="Arial" w:cs="Arial" w:eastAsia="Arial" w:hAnsi="Arial"/>
          <w:sz w:val="10"/>
          <w:szCs w:val="10"/>
          <w:color w:val="auto"/>
        </w:rPr>
        <w:t>(9)</w:t>
      </w:r>
    </w:p>
    <w:p>
      <w:pPr>
        <w:spacing w:after="0" w:line="63" w:lineRule="exact"/>
        <w:rPr>
          <w:sz w:val="20"/>
          <w:szCs w:val="20"/>
          <w:color w:val="auto"/>
        </w:rPr>
      </w:pPr>
    </w:p>
    <w:p>
      <w:pPr>
        <w:ind w:left="1163" w:hanging="1163"/>
        <w:spacing w:after="0"/>
        <w:tabs>
          <w:tab w:leader="none" w:pos="1163" w:val="left"/>
        </w:tabs>
        <w:numPr>
          <w:ilvl w:val="0"/>
          <w:numId w:val="41"/>
        </w:numPr>
        <w:rPr>
          <w:rFonts w:ascii="Arial" w:cs="Arial" w:eastAsia="Arial" w:hAnsi="Arial"/>
          <w:sz w:val="11"/>
          <w:szCs w:val="11"/>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(3,680)</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31750</wp:posOffset>
            </wp:positionV>
            <wp:extent cx="7200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57" w:lineRule="exact"/>
        <w:rPr>
          <w:sz w:val="20"/>
          <w:szCs w:val="20"/>
          <w:color w:val="auto"/>
        </w:rPr>
      </w:pPr>
    </w:p>
    <w:p>
      <w:pPr>
        <w:ind w:left="923" w:hanging="585"/>
        <w:spacing w:after="0"/>
        <w:tabs>
          <w:tab w:leader="none" w:pos="9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9,130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31750</wp:posOffset>
            </wp:positionV>
            <wp:extent cx="7200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48895</wp:posOffset>
            </wp:positionV>
            <wp:extent cx="7200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8">
            <w:col w:w="5180" w:space="20"/>
            <w:col w:w="140" w:space="219"/>
            <w:col w:w="1061" w:space="80"/>
            <w:col w:w="120" w:space="211"/>
            <w:col w:w="1069" w:space="60"/>
            <w:col w:w="140" w:space="203"/>
            <w:col w:w="1057" w:space="77"/>
            <w:col w:w="1783"/>
          </w:cols>
          <w:pgMar w:left="240" w:top="341" w:right="239" w:bottom="1440" w:gutter="0" w:footer="0" w:header="0"/>
          <w:type w:val="continuous"/>
        </w:sectPr>
      </w:pPr>
    </w:p>
    <w:p>
      <w:pPr>
        <w:spacing w:after="0" w:line="11" w:lineRule="exact"/>
        <w:rPr>
          <w:sz w:val="20"/>
          <w:szCs w:val="20"/>
          <w:color w:val="auto"/>
        </w:rPr>
      </w:pPr>
    </w:p>
    <w:p>
      <w:pPr>
        <w:ind w:right="460" w:firstLine="8"/>
        <w:spacing w:after="0" w:line="250" w:lineRule="auto"/>
        <w:tabs>
          <w:tab w:leader="none" w:pos="127" w:val="left"/>
        </w:tabs>
        <w:numPr>
          <w:ilvl w:val="0"/>
          <w:numId w:val="43"/>
        </w:numPr>
        <w:rPr>
          <w:rFonts w:ascii="Arial" w:cs="Arial" w:eastAsia="Arial" w:hAnsi="Arial"/>
          <w:sz w:val="9"/>
          <w:szCs w:val="9"/>
          <w:b w:val="1"/>
          <w:bCs w:val="1"/>
          <w:color w:val="auto"/>
        </w:rPr>
      </w:pPr>
      <w:r>
        <w:rPr>
          <w:rFonts w:ascii="Arial" w:cs="Arial" w:eastAsia="Arial" w:hAnsi="Arial"/>
          <w:sz w:val="14"/>
          <w:szCs w:val="14"/>
          <w:color w:val="auto"/>
        </w:rPr>
        <w:t>These costs include severance and associated costs of $2.0 million for the year ended December 31, 2019. As detailed in Note 14 of the Notes to the Consolidated Financial Statements, the Company’s restructuring costs relate to resource reallocation for the Company’s platform transformation.</w:t>
      </w:r>
    </w:p>
    <w:p>
      <w:pPr>
        <w:ind w:left="140" w:hanging="132"/>
        <w:spacing w:after="0"/>
        <w:tabs>
          <w:tab w:leader="none" w:pos="140" w:val="left"/>
        </w:tabs>
        <w:numPr>
          <w:ilvl w:val="0"/>
          <w:numId w:val="43"/>
        </w:numPr>
        <w:rPr>
          <w:rFonts w:ascii="Arial" w:cs="Arial" w:eastAsia="Arial" w:hAnsi="Arial"/>
          <w:sz w:val="8"/>
          <w:szCs w:val="8"/>
          <w:b w:val="1"/>
          <w:bCs w:val="1"/>
          <w:color w:val="auto"/>
        </w:rPr>
      </w:pPr>
      <w:r>
        <w:rPr>
          <w:rFonts w:ascii="Arial" w:cs="Arial" w:eastAsia="Arial" w:hAnsi="Arial"/>
          <w:sz w:val="13"/>
          <w:szCs w:val="13"/>
          <w:color w:val="auto"/>
        </w:rPr>
        <w:t>Includes severance costs of $4.5 million for the year ended December 31, 2018. Please refer to footnote (1) above for additional information related to the nature of these restructuring costs.</w:t>
      </w:r>
    </w:p>
    <w:p>
      <w:pPr>
        <w:spacing w:after="0" w:line="12" w:lineRule="exact"/>
        <w:rPr>
          <w:rFonts w:ascii="Arial" w:cs="Arial" w:eastAsia="Arial" w:hAnsi="Arial"/>
          <w:sz w:val="8"/>
          <w:szCs w:val="8"/>
          <w:b w:val="1"/>
          <w:bCs w:val="1"/>
          <w:color w:val="auto"/>
        </w:rPr>
      </w:pPr>
    </w:p>
    <w:p>
      <w:pPr>
        <w:ind w:right="680" w:firstLine="8"/>
        <w:spacing w:after="0" w:line="241" w:lineRule="auto"/>
        <w:tabs>
          <w:tab w:leader="none" w:pos="127" w:val="left"/>
        </w:tabs>
        <w:numPr>
          <w:ilvl w:val="0"/>
          <w:numId w:val="43"/>
        </w:numPr>
        <w:rPr>
          <w:rFonts w:ascii="Arial" w:cs="Arial" w:eastAsia="Arial" w:hAnsi="Arial"/>
          <w:sz w:val="9"/>
          <w:szCs w:val="9"/>
          <w:b w:val="1"/>
          <w:bCs w:val="1"/>
          <w:color w:val="auto"/>
        </w:rPr>
      </w:pPr>
      <w:r>
        <w:rPr>
          <w:rFonts w:ascii="Arial" w:cs="Arial" w:eastAsia="Arial" w:hAnsi="Arial"/>
          <w:sz w:val="14"/>
          <w:szCs w:val="14"/>
          <w:color w:val="auto"/>
        </w:rPr>
        <w:t>Includes wind down costs of legacy platform of $1.9 million and severance costs of $0.7 million for the year ended December 31, 2017. Please refer to footnote (1) above for additional information related to the nature of these restructuring costs.</w:t>
      </w:r>
    </w:p>
    <w:p>
      <w:pPr>
        <w:ind w:right="180" w:firstLine="8"/>
        <w:spacing w:after="0" w:line="241" w:lineRule="auto"/>
        <w:tabs>
          <w:tab w:leader="none" w:pos="127" w:val="left"/>
        </w:tabs>
        <w:numPr>
          <w:ilvl w:val="0"/>
          <w:numId w:val="43"/>
        </w:numPr>
        <w:rPr>
          <w:rFonts w:ascii="Arial" w:cs="Arial" w:eastAsia="Arial" w:hAnsi="Arial"/>
          <w:sz w:val="9"/>
          <w:szCs w:val="9"/>
          <w:b w:val="1"/>
          <w:bCs w:val="1"/>
          <w:color w:val="auto"/>
        </w:rPr>
      </w:pPr>
      <w:r>
        <w:rPr>
          <w:rFonts w:ascii="Arial" w:cs="Arial" w:eastAsia="Arial" w:hAnsi="Arial"/>
          <w:sz w:val="14"/>
          <w:szCs w:val="14"/>
          <w:color w:val="auto"/>
        </w:rPr>
        <w:t>Includes severance costs of $1.6 million, wind down costs of legacy platform of $1.2 million and a benefit of $0.4 million of cash collected on previously written off bad debt for the year ended December 31, 2016. Please refer to footnote (1) above for additional information related to the nature of these restructuring costs.</w:t>
      </w:r>
    </w:p>
    <w:p>
      <w:pPr>
        <w:ind w:right="80" w:firstLine="8"/>
        <w:spacing w:after="0" w:line="241" w:lineRule="auto"/>
        <w:tabs>
          <w:tab w:leader="none" w:pos="141" w:val="left"/>
        </w:tabs>
        <w:numPr>
          <w:ilvl w:val="0"/>
          <w:numId w:val="43"/>
        </w:numPr>
        <w:rPr>
          <w:rFonts w:ascii="Arial" w:cs="Arial" w:eastAsia="Arial" w:hAnsi="Arial"/>
          <w:sz w:val="9"/>
          <w:szCs w:val="9"/>
          <w:b w:val="1"/>
          <w:bCs w:val="1"/>
          <w:color w:val="auto"/>
        </w:rPr>
      </w:pPr>
      <w:r>
        <w:rPr>
          <w:rFonts w:ascii="Arial" w:cs="Arial" w:eastAsia="Arial" w:hAnsi="Arial"/>
          <w:sz w:val="14"/>
          <w:szCs w:val="14"/>
          <w:color w:val="auto"/>
        </w:rPr>
        <w:t>Includes other litigation costs of $4.4 million, consulting costs of $3.2 million, and fair value earn-out adjustment of $0.3 million for the year ended December 31, 2019. As detailed in Note 13 of the Notes to the consolidated Financial Statements, the Company's other litigation costs relate to the Company’s intellectual property lawsuit against [24]7 Customer, Inc.</w:t>
      </w:r>
    </w:p>
    <w:p>
      <w:pPr>
        <w:ind w:right="180" w:firstLine="8"/>
        <w:spacing w:after="0" w:line="241" w:lineRule="auto"/>
        <w:tabs>
          <w:tab w:leader="none" w:pos="127" w:val="left"/>
        </w:tabs>
        <w:numPr>
          <w:ilvl w:val="0"/>
          <w:numId w:val="43"/>
        </w:numPr>
        <w:rPr>
          <w:rFonts w:ascii="Arial" w:cs="Arial" w:eastAsia="Arial" w:hAnsi="Arial"/>
          <w:sz w:val="9"/>
          <w:szCs w:val="9"/>
          <w:b w:val="1"/>
          <w:bCs w:val="1"/>
          <w:color w:val="auto"/>
        </w:rPr>
      </w:pPr>
      <w:r>
        <w:rPr>
          <w:rFonts w:ascii="Arial" w:cs="Arial" w:eastAsia="Arial" w:hAnsi="Arial"/>
          <w:sz w:val="14"/>
          <w:szCs w:val="14"/>
          <w:color w:val="auto"/>
        </w:rPr>
        <w:t>Includes litigation costs of $4.1 million, consulting costs of $1.3 million, executive recruitment costs of $0.3 million, and executive relocation costs of $0.2 million for the year ended December 31, 2018. Please refer to footnote (5) above for additional information related to the nature of these other litigation costs.</w:t>
      </w:r>
    </w:p>
    <w:p>
      <w:pPr>
        <w:ind w:right="240" w:firstLine="8"/>
        <w:spacing w:after="0" w:line="241" w:lineRule="auto"/>
        <w:tabs>
          <w:tab w:leader="none" w:pos="127" w:val="left"/>
        </w:tabs>
        <w:numPr>
          <w:ilvl w:val="0"/>
          <w:numId w:val="43"/>
        </w:numPr>
        <w:rPr>
          <w:rFonts w:ascii="Arial" w:cs="Arial" w:eastAsia="Arial" w:hAnsi="Arial"/>
          <w:sz w:val="9"/>
          <w:szCs w:val="9"/>
          <w:b w:val="1"/>
          <w:bCs w:val="1"/>
          <w:color w:val="auto"/>
        </w:rPr>
      </w:pPr>
      <w:r>
        <w:rPr>
          <w:rFonts w:ascii="Arial" w:cs="Arial" w:eastAsia="Arial" w:hAnsi="Arial"/>
          <w:sz w:val="14"/>
          <w:szCs w:val="14"/>
          <w:color w:val="auto"/>
        </w:rPr>
        <w:t>Includes litigation costs of $6.2 million, executive one-time compensation payment of $1.0 million, and executive separation cost of $0.5 million for the year ended December 31, 2017. Please refer to footnote (5) above for additional information related to the nature of these other litigation costs.</w:t>
      </w:r>
    </w:p>
    <w:p>
      <w:pPr>
        <w:ind w:right="260" w:firstLine="8"/>
        <w:spacing w:after="0" w:line="241" w:lineRule="auto"/>
        <w:tabs>
          <w:tab w:leader="none" w:pos="127" w:val="left"/>
        </w:tabs>
        <w:numPr>
          <w:ilvl w:val="0"/>
          <w:numId w:val="43"/>
        </w:numPr>
        <w:rPr>
          <w:rFonts w:ascii="Arial" w:cs="Arial" w:eastAsia="Arial" w:hAnsi="Arial"/>
          <w:sz w:val="9"/>
          <w:szCs w:val="9"/>
          <w:b w:val="1"/>
          <w:bCs w:val="1"/>
          <w:color w:val="auto"/>
        </w:rPr>
      </w:pPr>
      <w:r>
        <w:rPr>
          <w:rFonts w:ascii="Arial" w:cs="Arial" w:eastAsia="Arial" w:hAnsi="Arial"/>
          <w:sz w:val="14"/>
          <w:szCs w:val="14"/>
          <w:color w:val="auto"/>
        </w:rPr>
        <w:t>Includes litigation costs of $4.7 million, write off of technology licenses of $2.6 million, severance costs of $0.5 million, and write off of office facility depreciation of $0.3 million for the year ended December 31, 2016. Please refer to footnote (5) above for additional information related to the nature of these other litigation costs.</w:t>
      </w:r>
    </w:p>
    <w:p>
      <w:pPr>
        <w:ind w:right="160" w:firstLine="8"/>
        <w:spacing w:after="0" w:line="255" w:lineRule="auto"/>
        <w:tabs>
          <w:tab w:leader="none" w:pos="127" w:val="left"/>
        </w:tabs>
        <w:numPr>
          <w:ilvl w:val="0"/>
          <w:numId w:val="43"/>
        </w:numPr>
        <w:rPr>
          <w:rFonts w:ascii="Arial" w:cs="Arial" w:eastAsia="Arial" w:hAnsi="Arial"/>
          <w:sz w:val="9"/>
          <w:szCs w:val="9"/>
          <w:b w:val="1"/>
          <w:bCs w:val="1"/>
          <w:color w:val="auto"/>
        </w:rPr>
      </w:pPr>
      <w:r>
        <w:rPr>
          <w:rFonts w:ascii="Arial" w:cs="Arial" w:eastAsia="Arial" w:hAnsi="Arial"/>
          <w:sz w:val="14"/>
          <w:szCs w:val="14"/>
          <w:color w:val="auto"/>
        </w:rPr>
        <w:t>Includes approximately $1.7 million of termination costs associated with a large customer contract that ended in 2015 and $1.7 million of severance and other associated costs for the year ended December 31, 2015. Please refer to footnote (1) above for additional information related to the nature of these restructuring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i w:val="1"/>
          <w:iCs w:val="1"/>
          <w:color w:val="auto"/>
        </w:rPr>
        <w:t>General</w:t>
      </w: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firstLine="759"/>
        <w:spacing w:after="0" w:line="268" w:lineRule="auto"/>
        <w:rPr>
          <w:sz w:val="20"/>
          <w:szCs w:val="20"/>
          <w:color w:val="auto"/>
        </w:rPr>
      </w:pPr>
      <w:r>
        <w:rPr>
          <w:rFonts w:ascii="Arial" w:cs="Arial" w:eastAsia="Arial" w:hAnsi="Arial"/>
          <w:sz w:val="17"/>
          <w:szCs w:val="17"/>
          <w:color w:val="auto"/>
        </w:rPr>
        <w:t>LivePerson, Inc. (“LivePerson”, the “Company”, “we” or “our”) makes life easier for people and brands everywhere through messaging powered by AI and humans. During the past decade, the consumer has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These AI and human-assisted conversational experiences constitute the Conversational Space.</w:t>
      </w:r>
    </w:p>
    <w:p>
      <w:pPr>
        <w:spacing w:after="0" w:line="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LiveEngage, our enterprise-class cloud-based platform, enables businesses to become conversational by securely deploying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forcing them to navigate interactive voice response systems (IVRs) and wait on hold. Similarly, LiveEngage can ingest traditional emails and convert them into messaging conversations, or embed messaging conversations directly into web advertisements, rather than redirect consumers to static website landing pages.</w:t>
      </w:r>
    </w:p>
    <w:p>
      <w:pPr>
        <w:spacing w:after="0" w:line="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social, email,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LiveEngage.</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LiveEngage offers brands a comprehensive approach to scaling automations across their millions of customer conversations.</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80" w:lineRule="exact"/>
        <w:rPr>
          <w:sz w:val="20"/>
          <w:szCs w:val="20"/>
          <w:color w:val="auto"/>
        </w:rPr>
      </w:pPr>
    </w:p>
    <w:p>
      <w:pPr>
        <w:ind w:left="1280" w:right="20" w:hanging="327"/>
        <w:spacing w:after="0" w:line="291" w:lineRule="auto"/>
        <w:tabs>
          <w:tab w:leader="none" w:pos="12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ind w:left="1280" w:hanging="32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9" w:lineRule="exact"/>
        <w:rPr>
          <w:rFonts w:ascii="Arial" w:cs="Arial" w:eastAsia="Arial" w:hAnsi="Arial"/>
          <w:sz w:val="18"/>
          <w:szCs w:val="18"/>
          <w:color w:val="auto"/>
        </w:rPr>
      </w:pPr>
    </w:p>
    <w:p>
      <w:pPr>
        <w:ind w:left="1280" w:right="20" w:hanging="327"/>
        <w:spacing w:after="0" w:line="250"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increases of up to 20 percentage points, and enhancing retention and loyalty;</w:t>
      </w:r>
    </w:p>
    <w:p>
      <w:pPr>
        <w:ind w:left="1280" w:hanging="327"/>
        <w:spacing w:after="0" w:line="250"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ind w:left="1280" w:hanging="32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9" w:lineRule="exact"/>
        <w:rPr>
          <w:rFonts w:ascii="Arial" w:cs="Arial" w:eastAsia="Arial" w:hAnsi="Arial"/>
          <w:sz w:val="18"/>
          <w:szCs w:val="18"/>
          <w:color w:val="auto"/>
        </w:rPr>
      </w:pPr>
    </w:p>
    <w:p>
      <w:pPr>
        <w:ind w:left="1280" w:hanging="327"/>
        <w:spacing w:after="0" w:line="250"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maintain a valued connection with consumers via mobile devices, either through native applications, websites, text messages, or third-party messaging platforms;</w:t>
      </w:r>
    </w:p>
    <w:p>
      <w:pPr>
        <w:ind w:left="1280" w:hanging="32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leverage spending that drives visitor traffic by increasing visitor conversions;</w:t>
      </w:r>
    </w:p>
    <w:p>
      <w:pPr>
        <w:spacing w:after="0" w:line="9" w:lineRule="exact"/>
        <w:rPr>
          <w:rFonts w:ascii="Arial" w:cs="Arial" w:eastAsia="Arial" w:hAnsi="Arial"/>
          <w:sz w:val="18"/>
          <w:szCs w:val="18"/>
          <w:color w:val="auto"/>
        </w:rPr>
      </w:pPr>
    </w:p>
    <w:p>
      <w:pPr>
        <w:ind w:left="1280" w:hanging="327"/>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refine and improve performance by understanding which initiatives deliver the highest rate of return; and</w:t>
      </w:r>
    </w:p>
    <w:p>
      <w:pPr>
        <w:spacing w:after="0" w:line="9" w:lineRule="exact"/>
        <w:rPr>
          <w:rFonts w:ascii="Arial" w:cs="Arial" w:eastAsia="Arial" w:hAnsi="Arial"/>
          <w:sz w:val="18"/>
          <w:szCs w:val="18"/>
          <w:color w:val="auto"/>
        </w:rPr>
      </w:pPr>
    </w:p>
    <w:p>
      <w:pPr>
        <w:ind w:left="1280" w:right="20" w:hanging="327"/>
        <w:spacing w:after="0" w:line="261"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lead generation by providing a single platform that engages consumers through advertisements and listings on branded and third-party websites.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85" w:right="239" w:bottom="1440" w:gutter="0" w:footer="0" w:header="0"/>
        </w:sectPr>
      </w:pPr>
    </w:p>
    <w:bookmarkStart w:id="52" w:name="page53"/>
    <w:bookmarkEnd w:id="52"/>
    <w:p>
      <w:pPr>
        <w:jc w:val="both"/>
        <w:ind w:left="340" w:firstLine="1296"/>
        <w:spacing w:after="0" w:line="302" w:lineRule="auto"/>
        <w:rPr>
          <w:sz w:val="20"/>
          <w:szCs w:val="20"/>
          <w:color w:val="auto"/>
        </w:rPr>
      </w:pPr>
      <w:r>
        <w:rPr>
          <w:rFonts w:ascii="Arial" w:cs="Arial" w:eastAsia="Arial" w:hAnsi="Arial"/>
          <w:sz w:val="16"/>
          <w:szCs w:val="16"/>
          <w:color w:val="auto"/>
        </w:rPr>
        <w:t>As a “cloud computing” or software-as-a-service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key component of our industry awareness marketing strategy has been to hold multiple global customer summits each year that target executives from enterprise customers and prospects, and feature a key theme within the Conversational Space, such as Apple Business Chat, Google Rich Business 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achieve similar outcomes. We have found this strategy to drive strong results for LivePerson, as we have seen a greater than 40% conversion rate on opportunities that were created or advanced as part of the customer summits. By year end 2019, we had brought approximately 300 customers live on messaging and increased adoption within our enterprise customers to nearly 55%. In addition, nearly 60% of messaging conversations had automation attached. We will continue to focus on building awareness for the Conversational Space and driving adoption of messaging and AI across our customer base.</w:t>
      </w:r>
    </w:p>
    <w:p>
      <w:pPr>
        <w:spacing w:after="0" w:line="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7"/>
          <w:szCs w:val="17"/>
          <w:color w:val="auto"/>
        </w:rPr>
        <w:t>Our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to 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order to drive broad messaging adoption, it is imperative that LiveEngage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plan overage alerts into two-way conversations. Finally, we connected to Facebook and WhatsApp digital advertisements, enabling consumers to initiate messaging conversations for marketing and customer care directly within the advertisement.</w:t>
      </w:r>
    </w:p>
    <w:p>
      <w:pPr>
        <w:spacing w:after="0" w:line="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channel and use case added opens the door to hundreds of millions of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this strategy has influenced LivePerson’s enterprise and mid-market revenue retention rate, (the trailing-twelve-month change in total revenue from existing customers after upsells, downsells and attrition) which was within our target range of 105% to 115% for 2019. The benefit can also be seen in LivePerson’s average revenue per user (ARPU) for our enterprise and mid-market customers, which increased approximately 20% in 2019 to $345,000 from approximately $285,000 in 2018. In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06" w:right="2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fact, in 2019, the ARPU for Enterprise customers on messaging was more than 5 times higher than those on just chat. We believe these ARPU trends are a clear indication of how LivePerson’s strategy to drive messaging adoption has successfully influenced our revenue growth by taking share from legacy communication channels. We plan to continue adding new messaging endpoints and use cases, and to drive higher adoption of existing ones within our customer base.</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Attract the industry’s best AI, machine learning and conversational talent. </w:t>
      </w:r>
      <w:r>
        <w:rPr>
          <w:rFonts w:ascii="Arial" w:cs="Arial" w:eastAsia="Arial" w:hAnsi="Arial"/>
          <w:sz w:val="17"/>
          <w:szCs w:val="17"/>
          <w:color w:val="auto"/>
        </w:rPr>
        <w:t>We believe that AI and machine learning are critical to successfully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scaling in the Conversational Space, and that in order to develop the industry’s leading technology, we need to attract the industry's best talent. In 2018, LivePerson recruited Alex Spinelli, key architect of the Alexa Operating System at Amazon.com, as our Global CTO. Under Mr. Spinelli’s leadership, LivePerson opened an Advanced Technology Center in Seattle, Washington, where the Company now has more than 125 of the industry’s brightest data scientists, machine learning engineers and automation engineers, many from firms such as Nike, Amazon.com, Microsoft and Target, that are working exclusively on applying AI to Conversational. LivePerson also expanded its Mannheim, Germany development center, and added key development talent through the acquisitions of BotCentral in Mountain View, California and Conversable in Austin, Texas.</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Bring to market best-in-class AI and machine learning technologies designed for the Conversational Space. </w:t>
      </w:r>
      <w:r>
        <w:rPr>
          <w:rFonts w:ascii="Arial" w:cs="Arial" w:eastAsia="Arial" w:hAnsi="Arial"/>
          <w:sz w:val="18"/>
          <w:szCs w:val="18"/>
          <w:color w:val="auto"/>
        </w:rPr>
        <w:t>We believe that in the last decade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vendors introduced AI and bot offerings that created frustrating experiences for consumers and businesses alike, which in turn has eroded trust in automation. Many of these solutions have proven difficult to build and scale, and have been limited by stand alone implementations that lacked the measurement, reporting and human oversight of conversational platforms such as LiveEngage.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117" w:lineRule="exact"/>
        <w:rPr>
          <w:sz w:val="20"/>
          <w:szCs w:val="20"/>
          <w:color w:val="auto"/>
        </w:rPr>
      </w:pPr>
    </w:p>
    <w:p>
      <w:pPr>
        <w:ind w:left="1040" w:hanging="316"/>
        <w:spacing w:after="0" w:line="291"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ind w:left="1040" w:hanging="316"/>
        <w:spacing w:after="0" w:line="25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jc w:val="both"/>
        <w:ind w:left="1040" w:hanging="316"/>
        <w:spacing w:after="0" w:line="25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leverage a data moat of hundreds of millions of conversations to feed the machine learning that rapidly and accurately detects consumer sentiment and intents in real-time. Use intent understanding for advanced routing, next-best actions, and to fully contain conversations with automation</w:t>
      </w:r>
    </w:p>
    <w:p>
      <w:pPr>
        <w:spacing w:after="0" w:line="1" w:lineRule="exact"/>
        <w:rPr>
          <w:rFonts w:ascii="Arial" w:cs="Arial" w:eastAsia="Arial" w:hAnsi="Arial"/>
          <w:sz w:val="18"/>
          <w:szCs w:val="18"/>
          <w:color w:val="auto"/>
        </w:rPr>
      </w:pPr>
    </w:p>
    <w:p>
      <w:pPr>
        <w:ind w:left="1040" w:hanging="316"/>
        <w:spacing w:after="0" w:line="25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ind w:left="1040" w:hanging="316"/>
        <w:spacing w:after="0" w:line="25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ind w:left="1040" w:hanging="316"/>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9" w:lineRule="exact"/>
        <w:rPr>
          <w:rFonts w:ascii="Arial" w:cs="Arial" w:eastAsia="Arial" w:hAnsi="Arial"/>
          <w:sz w:val="18"/>
          <w:szCs w:val="18"/>
          <w:color w:val="auto"/>
        </w:rPr>
      </w:pPr>
    </w:p>
    <w:p>
      <w:pPr>
        <w:ind w:left="1040" w:hanging="316"/>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third-party AI NLU integration, so customers aren’t boxed into one vendor</w:t>
      </w:r>
    </w:p>
    <w:p>
      <w:pPr>
        <w:spacing w:after="0" w:line="9" w:lineRule="exact"/>
        <w:rPr>
          <w:rFonts w:ascii="Arial" w:cs="Arial" w:eastAsia="Arial" w:hAnsi="Arial"/>
          <w:sz w:val="18"/>
          <w:szCs w:val="18"/>
          <w:color w:val="auto"/>
        </w:rPr>
      </w:pPr>
    </w:p>
    <w:p>
      <w:pPr>
        <w:ind w:left="1040" w:hanging="316"/>
        <w:spacing w:after="0" w:line="261"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enhance the Conversational AI engine and related products,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8"/>
          <w:szCs w:val="18"/>
          <w:color w:val="auto"/>
        </w:rPr>
        <w:t>We believe that most contact center technology vendors incorrectly view messaging as a feature. They are content with building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integrations to a messaging endpoint and offering messaging as just another product in their suite. LivePerson holds the perspective that messaging and AI are the foundation for transforming conversational experiences, disrupting how agents operate and how brands engage with consumers across service, sales, marketing, social and brick and mortar.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990"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We believe that LivePerson is uniquely positioned to deliver this transformation due to its technology and expertise:</w:t>
      </w:r>
    </w:p>
    <w:p>
      <w:pPr>
        <w:spacing w:after="0" w:line="117" w:lineRule="exact"/>
        <w:rPr>
          <w:sz w:val="20"/>
          <w:szCs w:val="20"/>
          <w:color w:val="auto"/>
        </w:rPr>
      </w:pPr>
    </w:p>
    <w:p>
      <w:pPr>
        <w:jc w:val="both"/>
        <w:ind w:left="1040" w:hanging="316"/>
        <w:spacing w:after="0" w:line="253"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LiveEngage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LiveEngage is an open platform with pre-built, enterprise-grade integrations into back-end systems as well as the ability to work across natural language understanding (NLU) providers.</w:t>
      </w:r>
    </w:p>
    <w:p>
      <w:pPr>
        <w:spacing w:after="0" w:line="1" w:lineRule="exact"/>
        <w:rPr>
          <w:rFonts w:ascii="Arial" w:cs="Arial" w:eastAsia="Arial" w:hAnsi="Arial"/>
          <w:sz w:val="18"/>
          <w:szCs w:val="18"/>
          <w:color w:val="auto"/>
        </w:rPr>
      </w:pPr>
    </w:p>
    <w:p>
      <w:pPr>
        <w:ind w:left="1040" w:hanging="316"/>
        <w:spacing w:after="0" w:line="250"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ind w:left="1040" w:hanging="316"/>
        <w:spacing w:after="0" w:line="250"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jc w:val="both"/>
        <w:ind w:left="1040" w:hanging="316"/>
        <w:spacing w:after="0" w:line="253"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81" w:lineRule="exact"/>
        <w:rPr>
          <w:sz w:val="20"/>
          <w:szCs w:val="20"/>
          <w:color w:val="auto"/>
        </w:rPr>
      </w:pPr>
    </w:p>
    <w:p>
      <w:pPr>
        <w:jc w:val="both"/>
        <w:ind w:firstLine="221"/>
        <w:spacing w:after="0" w:line="276" w:lineRule="auto"/>
        <w:rPr>
          <w:sz w:val="20"/>
          <w:szCs w:val="20"/>
          <w:color w:val="auto"/>
        </w:rPr>
      </w:pPr>
      <w:r>
        <w:rPr>
          <w:rFonts w:ascii="Arial" w:cs="Arial" w:eastAsia="Arial" w:hAnsi="Arial"/>
          <w:sz w:val="17"/>
          <w:szCs w:val="17"/>
          <w:b w:val="1"/>
          <w:bCs w:val="1"/>
          <w:i w:val="1"/>
          <w:iCs w:val="1"/>
          <w:color w:val="auto"/>
        </w:rPr>
        <w:t xml:space="preserve">Strengthen our position in both existing and new industries. </w:t>
      </w:r>
      <w:r>
        <w:rPr>
          <w:rFonts w:ascii="Arial" w:cs="Arial" w:eastAsia="Arial" w:hAnsi="Arial"/>
          <w:sz w:val="17"/>
          <w:szCs w:val="17"/>
          <w:color w:val="auto"/>
        </w:rPr>
        <w:t>We plan to continue to develop our market position by increasing our customer base,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expanding within our installed base. We will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 wins in the airline, foodservice and healthcare industries. We are increasingly structuring our field organization to emphasize our domain expertise and strengthen customer relationships across target industries.</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expanding our international revenue contribution, which increased to 41% of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 2019 and 2018, from 37% in 2017. We are generating positive results from our recent investments in the Asia Pacific region, and recently opened an office in Latin America.</w:t>
      </w:r>
    </w:p>
    <w:p>
      <w:pPr>
        <w:spacing w:after="0" w:line="73" w:lineRule="exact"/>
        <w:rPr>
          <w:sz w:val="20"/>
          <w:szCs w:val="20"/>
          <w:color w:val="auto"/>
        </w:rPr>
      </w:pPr>
    </w:p>
    <w:p>
      <w:pPr>
        <w:jc w:val="both"/>
        <w:ind w:firstLine="279"/>
        <w:spacing w:after="0" w:line="255" w:lineRule="auto"/>
        <w:rPr>
          <w:sz w:val="20"/>
          <w:szCs w:val="20"/>
          <w:color w:val="auto"/>
        </w:rPr>
      </w:pPr>
      <w:r>
        <w:rPr>
          <w:rFonts w:ascii="Arial" w:cs="Arial" w:eastAsia="Arial" w:hAnsi="Arial"/>
          <w:sz w:val="18"/>
          <w:szCs w:val="18"/>
          <w:b w:val="1"/>
          <w:bCs w:val="1"/>
          <w:i w:val="1"/>
          <w:iCs w:val="1"/>
          <w:color w:val="auto"/>
        </w:rPr>
        <w:t xml:space="preserve">Leverage our open architecture to support partners and developers. </w:t>
      </w:r>
      <w:r>
        <w:rPr>
          <w:rFonts w:ascii="Arial" w:cs="Arial" w:eastAsia="Arial" w:hAnsi="Arial"/>
          <w:sz w:val="18"/>
          <w:szCs w:val="18"/>
          <w:color w:val="auto"/>
        </w:rPr>
        <w:t>In addition to developing our own applications, we continue to cultivate a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eco-system capable of offering additional applications and services to our customers. We integrate into approximately a dozen third-party messaging endpoints including SMS, Facebook Messenger, Apple Business Chat, Google Rich Business Messenger, Line, WhatsApp, Alexa, Google Home, WeChat, Google Ad Lingo and Twitter, multiple IVR vendors and dozens of branded apps. LiveEngage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integration capability that allows brands to more easily and rapidly customize conversations flows within LiveEngage through functions-as-a-service technology. .</w:t>
      </w:r>
    </w:p>
    <w:p>
      <w:pPr>
        <w:spacing w:after="0" w:line="6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our market reach and accelerating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LivePerson increased the number of partners focused on SMBs to more than 300 at year-end 2019,</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90"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from over 150 at year-end 2018, and approximately 40 at the end of 2017. Approximately one quarter of all opportunities were influenced by partners in 2019, and we are focused on driving that contribution toward 40% longer term.</w:t>
      </w:r>
    </w:p>
    <w:p>
      <w:pPr>
        <w:spacing w:after="0" w:line="62" w:lineRule="exact"/>
        <w:rPr>
          <w:sz w:val="20"/>
          <w:szCs w:val="20"/>
          <w:color w:val="auto"/>
        </w:rPr>
      </w:pPr>
    </w:p>
    <w:p>
      <w:pPr>
        <w:jc w:val="both"/>
        <w:ind w:firstLine="603"/>
        <w:spacing w:after="0" w:line="297"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50" w:lineRule="exact"/>
        <w:rPr>
          <w:sz w:val="20"/>
          <w:szCs w:val="20"/>
          <w:color w:val="auto"/>
        </w:rPr>
      </w:pPr>
    </w:p>
    <w:p>
      <w:pPr>
        <w:jc w:val="both"/>
        <w:ind w:firstLine="536"/>
        <w:spacing w:after="0" w:line="259" w:lineRule="auto"/>
        <w:rPr>
          <w:sz w:val="20"/>
          <w:szCs w:val="20"/>
          <w:color w:val="auto"/>
        </w:rPr>
      </w:pPr>
      <w:r>
        <w:rPr>
          <w:rFonts w:ascii="Arial" w:cs="Arial" w:eastAsia="Arial" w:hAnsi="Arial"/>
          <w:sz w:val="18"/>
          <w:szCs w:val="18"/>
          <w:b w:val="1"/>
          <w:bCs w:val="1"/>
          <w:i w:val="1"/>
          <w:iCs w:val="1"/>
          <w:color w:val="auto"/>
        </w:rPr>
        <w:t xml:space="preserve">Evaluate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overview of the three and twelve months ended December 31, 2019 compared to the comparable periods in 2018 are as follows:</w:t>
      </w:r>
    </w:p>
    <w:p>
      <w:pPr>
        <w:spacing w:after="0" w:line="129" w:lineRule="exact"/>
        <w:rPr>
          <w:sz w:val="20"/>
          <w:szCs w:val="20"/>
          <w:color w:val="auto"/>
        </w:rPr>
      </w:pPr>
    </w:p>
    <w:p>
      <w:pPr>
        <w:ind w:left="460" w:hanging="330"/>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increased 20% and 17% to $79.1 million and $291.6 million in the three and twelve months ended December 31, 2019, respectively, from $65.7 million and $249.8 million in the comparable periods in 2018.</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from our Business segment increased 20% and 16% to $72.8 million and $267.1 million in the three and twelve months ended December 31, 2019, respectively, from $60.7 million and $230.3 million in the comparable periods in 2018.</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Gross profit margin decreased to 72% in the three months ended December 31, 2019 from 74% in the comparable period in 2018. Gross profit margin decreased to 73% in the twelve months ended December 31, 2019 from 75% in the comparable period in 2018.</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 and expenses increased 42% and 38% to $103.6 million and $378.6 million in the three and twelve months ended December 31, 2019, respectively, from $73.0 million and $273.5 million in the comparable periods in 2018.</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loss increased to $27.3 million and $96.1 million in the three and twelve months ended December 31, 2019, respectively, from net loss of $6.5 million and $25.0 million for the three and twelve months ended December 31, 2018, respectively.</w:t>
      </w:r>
    </w:p>
    <w:p>
      <w:pPr>
        <w:spacing w:after="0" w:line="62"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Trailing-twelve-month average revenue per enterprise and mid-market customer was approximately $345,000 in 2019, as compared to approximately $285,000 in 2018.</w:t>
      </w:r>
    </w:p>
    <w:p>
      <w:pPr>
        <w:spacing w:after="0" w:line="62" w:lineRule="exact"/>
        <w:rPr>
          <w:rFonts w:ascii="Arial" w:cs="Arial" w:eastAsia="Arial" w:hAnsi="Arial"/>
          <w:sz w:val="18"/>
          <w:szCs w:val="18"/>
          <w:color w:val="auto"/>
        </w:rPr>
      </w:pPr>
    </w:p>
    <w:p>
      <w:pPr>
        <w:ind w:left="460" w:right="20" w:hanging="330"/>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Revenue retention rate for enterprise and mid-market customers on LiveEngage was within our target range of 105% to 115% in 2019, and at approximately 110% for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360" w:hanging="204"/>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00" w:lineRule="exact"/>
        <w:rPr>
          <w:sz w:val="20"/>
          <w:szCs w:val="20"/>
          <w:color w:val="auto"/>
        </w:rPr>
      </w:pPr>
    </w:p>
    <w:p>
      <w:pPr>
        <w:spacing w:after="0" w:line="241" w:lineRule="exact"/>
        <w:rPr>
          <w:sz w:val="20"/>
          <w:szCs w:val="20"/>
          <w:color w:val="auto"/>
        </w:rPr>
      </w:pPr>
    </w:p>
    <w:p>
      <w:pPr>
        <w:ind w:right="2840"/>
        <w:spacing w:after="0" w:line="277" w:lineRule="auto"/>
        <w:rPr>
          <w:sz w:val="20"/>
          <w:szCs w:val="20"/>
          <w:color w:val="auto"/>
        </w:rPr>
      </w:pPr>
      <w:r>
        <w:rPr>
          <w:rFonts w:ascii="Arial" w:cs="Arial" w:eastAsia="Arial" w:hAnsi="Arial"/>
          <w:sz w:val="18"/>
          <w:szCs w:val="18"/>
          <w:color w:val="auto"/>
        </w:rPr>
        <w:t>For more information about our revenue recognition policies, please see “-- Critical Accounting Policies and Estimates -- Revenue Recognition.”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989"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attributable to our monthly hosted Business services accounted for 77% of total revenue for the year ended December 31, 2019, 79% of total revenue for the year ended December 31, 2018 and 82% of total revenue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Revenue attributable to professional services accounted for 14% of total revenue for the year ended December 31, 2019 and 13% of total revenue for the year ended December 31, 2018 and 10% of total revenue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our Consumer segment accounted for approximately 8% of total revenue for the years ended December 31, 2019, 2018 and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record deferred revenues when cash payments are received or due in advance of our performance. The increase of $34.0 million in the deferred revenue balance for the year ended December 31, 2019 is primarily driven by cash payments received or due in advance of satisfying our performance obligations, partially offset by $42.4 million of revenues recognized that were included in the deferred revenue balance as of December 31, 2018.</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63" w:lineRule="exact"/>
        <w:rPr>
          <w:sz w:val="20"/>
          <w:szCs w:val="20"/>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23"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32" w:lineRule="exact"/>
        <w:rPr>
          <w:rFonts w:ascii="Arial" w:cs="Arial" w:eastAsia="Arial" w:hAnsi="Arial"/>
          <w:sz w:val="16"/>
          <w:szCs w:val="16"/>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the consumer and SMB services; and</w:t>
      </w:r>
    </w:p>
    <w:p>
      <w:pPr>
        <w:spacing w:after="0" w:line="9"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global customer summits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litigation,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7" w:right="239" w:bottom="1440" w:gutter="0" w:footer="0" w:header="0"/>
        </w:sectPr>
      </w:pPr>
    </w:p>
    <w:bookmarkStart w:id="57" w:name="page58"/>
    <w:bookmarkEnd w:id="57"/>
    <w:p>
      <w:pPr>
        <w:jc w:val="both"/>
        <w:ind w:firstLine="648"/>
        <w:spacing w:after="0" w:line="257" w:lineRule="auto"/>
        <w:rPr>
          <w:sz w:val="20"/>
          <w:szCs w:val="20"/>
          <w:color w:val="auto"/>
        </w:rPr>
      </w:pPr>
      <w:r>
        <w:rPr>
          <w:rFonts w:ascii="Arial" w:cs="Arial" w:eastAsia="Arial" w:hAnsi="Arial"/>
          <w:sz w:val="18"/>
          <w:szCs w:val="18"/>
          <w:color w:val="auto"/>
        </w:rPr>
        <w:t>During 2019, we increased our allowance for doubtful accounts from $2.3 million to approximately $3.1 million. During 2018, we increased our allowance for doubtful accounts from approximately $1.3 million to approximately 2.3 million. We perform a detailed assessment of the collectability of our accounts receivable. In estimating the allowance for doubtful accounts, management considers, among other factors, the aging of the accounts receivable, historical write-offs and the creditworthiness of each customer. A large proportion of receivables are due from larger corporate customers that typically have longer payment cycles.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for the years ended December 31, 2019, 2018 and 2017 consist of (amounts in thousands):</w:t>
      </w:r>
    </w:p>
    <w:p>
      <w:pPr>
        <w:spacing w:after="0" w:line="185" w:lineRule="exact"/>
        <w:rPr>
          <w:sz w:val="20"/>
          <w:szCs w:val="20"/>
          <w:color w:val="auto"/>
        </w:rPr>
      </w:pPr>
    </w:p>
    <w:p>
      <w:pPr>
        <w:ind w:left="7900"/>
        <w:spacing w:after="0"/>
        <w:tabs>
          <w:tab w:leader="none" w:pos="9240" w:val="left"/>
          <w:tab w:leader="none" w:pos="106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440" w:val="left"/>
          <w:tab w:leader="none" w:pos="8060" w:val="left"/>
          <w:tab w:leader="none" w:pos="8800" w:val="left"/>
          <w:tab w:leader="none" w:pos="9440" w:val="left"/>
          <w:tab w:leader="none" w:pos="10180" w:val="left"/>
          <w:tab w:leader="none" w:pos="10880" w:val="left"/>
        </w:tabs>
        <w:rPr>
          <w:sz w:val="20"/>
          <w:szCs w:val="20"/>
          <w:color w:val="auto"/>
        </w:rPr>
      </w:pPr>
      <w:r>
        <w:rPr>
          <w:rFonts w:ascii="Arial" w:cs="Arial" w:eastAsia="Arial" w:hAnsi="Arial"/>
          <w:sz w:val="18"/>
          <w:szCs w:val="18"/>
          <w:color w:val="auto"/>
        </w:rPr>
        <w:t>Stock-based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44,105</w:t>
        <w:tab/>
        <w:t>$</w:t>
      </w:r>
      <w:r>
        <w:rPr>
          <w:sz w:val="20"/>
          <w:szCs w:val="20"/>
          <w:color w:val="auto"/>
        </w:rPr>
        <w:tab/>
      </w:r>
      <w:r>
        <w:rPr>
          <w:rFonts w:ascii="Arial" w:cs="Arial" w:eastAsia="Arial" w:hAnsi="Arial"/>
          <w:sz w:val="18"/>
          <w:szCs w:val="18"/>
          <w:color w:val="auto"/>
        </w:rPr>
        <w:t>14,841</w:t>
        <w:tab/>
        <w:t>$</w:t>
      </w:r>
      <w:r>
        <w:rPr>
          <w:sz w:val="20"/>
          <w:szCs w:val="20"/>
          <w:color w:val="auto"/>
        </w:rPr>
        <w:tab/>
      </w:r>
      <w:r>
        <w:rPr>
          <w:rFonts w:ascii="Arial" w:cs="Arial" w:eastAsia="Arial" w:hAnsi="Arial"/>
          <w:sz w:val="16"/>
          <w:szCs w:val="16"/>
          <w:color w:val="auto"/>
        </w:rPr>
        <w:t>8,944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48895</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130"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37465</wp:posOffset>
            </wp:positionV>
            <wp:extent cx="26155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gridSpan w:val="2"/>
          </w:tcPr>
          <w:p>
            <w:pPr>
              <w:ind w:left="7440"/>
              <w:spacing w:after="0"/>
              <w:rPr>
                <w:sz w:val="20"/>
                <w:szCs w:val="20"/>
                <w:color w:val="auto"/>
              </w:rPr>
            </w:pPr>
            <w:r>
              <w:rPr>
                <w:rFonts w:ascii="Arial" w:cs="Arial" w:eastAsia="Arial" w:hAnsi="Arial"/>
                <w:sz w:val="16"/>
                <w:szCs w:val="16"/>
                <w:b w:val="1"/>
                <w:bCs w:val="1"/>
                <w:color w:val="auto"/>
                <w:w w:val="89"/>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41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60" w:type="dxa"/>
            <w:vAlign w:val="bottom"/>
            <w:gridSpan w:val="5"/>
          </w:tcPr>
          <w:p>
            <w:pPr>
              <w:ind w:left="300"/>
              <w:spacing w:after="0"/>
              <w:rPr>
                <w:sz w:val="20"/>
                <w:szCs w:val="20"/>
                <w:color w:val="auto"/>
              </w:rPr>
            </w:pPr>
            <w:r>
              <w:rPr>
                <w:rFonts w:ascii="Arial" w:cs="Arial" w:eastAsia="Arial" w:hAnsi="Arial"/>
                <w:sz w:val="16"/>
                <w:szCs w:val="16"/>
                <w:b w:val="1"/>
                <w:bCs w:val="1"/>
                <w:color w:val="auto"/>
                <w:w w:val="94"/>
              </w:rPr>
              <w:t>(as a percentage of revenue)</w:t>
            </w:r>
          </w:p>
        </w:tc>
        <w:tc>
          <w:tcPr>
            <w:tcW w:w="94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780" w:type="dxa"/>
            <w:vAlign w:val="bottom"/>
            <w:gridSpan w:val="2"/>
            <w:shd w:val="clear" w:color="auto" w:fill="CCFFCC"/>
          </w:tcPr>
          <w:p>
            <w:pPr>
              <w:ind w:left="40"/>
              <w:spacing w:after="0"/>
              <w:rPr>
                <w:sz w:val="20"/>
                <w:szCs w:val="20"/>
                <w:color w:val="auto"/>
              </w:rPr>
            </w:pPr>
            <w:r>
              <w:rPr>
                <w:rFonts w:ascii="Arial" w:cs="Arial" w:eastAsia="Arial" w:hAnsi="Arial"/>
                <w:sz w:val="16"/>
                <w:szCs w:val="16"/>
                <w:b w:val="1"/>
                <w:bCs w:val="1"/>
                <w:color w:val="auto"/>
              </w:rPr>
              <w:t xml:space="preserve">Consolidated Statements of Operations Data: </w:t>
            </w:r>
            <w:r>
              <w:rPr>
                <w:rFonts w:ascii="Arial" w:cs="Arial" w:eastAsia="Arial" w:hAnsi="Arial"/>
                <w:sz w:val="21"/>
                <w:szCs w:val="21"/>
                <w:b w:val="1"/>
                <w:bCs w:val="1"/>
                <w:color w:val="auto"/>
                <w:vertAlign w:val="superscript"/>
              </w:rPr>
              <w:t>(1)</w:t>
            </w:r>
          </w:p>
        </w:tc>
        <w:tc>
          <w:tcPr>
            <w:tcW w:w="4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3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940" w:type="dxa"/>
            <w:vAlign w:val="bottom"/>
            <w:shd w:val="clear" w:color="auto" w:fill="CCFFCC"/>
          </w:tcPr>
          <w:p>
            <w:pPr>
              <w:spacing w:after="0"/>
              <w:rPr>
                <w:sz w:val="23"/>
                <w:szCs w:val="23"/>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Revenue</w:t>
            </w: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100 %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33"/>
        </w:trPr>
        <w:tc>
          <w:tcPr>
            <w:tcW w:w="69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Costs and expenses:</w:t>
            </w:r>
          </w:p>
        </w:tc>
        <w:tc>
          <w:tcPr>
            <w:tcW w:w="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spacing w:after="0"/>
              <w:rPr>
                <w:sz w:val="21"/>
                <w:szCs w:val="21"/>
                <w:color w:val="auto"/>
              </w:rPr>
            </w:pPr>
          </w:p>
        </w:tc>
      </w:tr>
      <w:tr>
        <w:trPr>
          <w:trHeight w:val="237"/>
        </w:trPr>
        <w:tc>
          <w:tcPr>
            <w:tcW w:w="7780" w:type="dxa"/>
            <w:vAlign w:val="bottom"/>
            <w:gridSpan w:val="2"/>
          </w:tcPr>
          <w:p>
            <w:pPr>
              <w:ind w:left="200"/>
              <w:spacing w:after="0"/>
              <w:rPr>
                <w:sz w:val="20"/>
                <w:szCs w:val="20"/>
                <w:color w:val="auto"/>
              </w:rPr>
            </w:pPr>
            <w:r>
              <w:rPr>
                <w:rFonts w:ascii="Arial" w:cs="Arial" w:eastAsia="Arial" w:hAnsi="Arial"/>
                <w:sz w:val="16"/>
                <w:szCs w:val="16"/>
                <w:color w:val="auto"/>
              </w:rPr>
              <w:t>Cost of revenue</w:t>
            </w:r>
          </w:p>
        </w:tc>
        <w:tc>
          <w:tcPr>
            <w:tcW w:w="48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33"/>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8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rPr>
              <w:t>Sales and marketing</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42 %</w:t>
            </w:r>
          </w:p>
        </w:tc>
      </w:tr>
      <w:tr>
        <w:trPr>
          <w:trHeight w:val="237"/>
        </w:trPr>
        <w:tc>
          <w:tcPr>
            <w:tcW w:w="7780" w:type="dxa"/>
            <w:vAlign w:val="bottom"/>
            <w:gridSpan w:val="2"/>
          </w:tcPr>
          <w:p>
            <w:pPr>
              <w:ind w:left="200"/>
              <w:spacing w:after="0"/>
              <w:rPr>
                <w:sz w:val="20"/>
                <w:szCs w:val="20"/>
                <w:color w:val="auto"/>
              </w:rPr>
            </w:pPr>
            <w:r>
              <w:rPr>
                <w:rFonts w:ascii="Arial" w:cs="Arial" w:eastAsia="Arial" w:hAnsi="Arial"/>
                <w:sz w:val="16"/>
                <w:szCs w:val="16"/>
                <w:color w:val="auto"/>
              </w:rPr>
              <w:t>General and administrative</w:t>
            </w:r>
          </w:p>
        </w:tc>
        <w:tc>
          <w:tcPr>
            <w:tcW w:w="48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8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6"/>
                <w:szCs w:val="16"/>
                <w:color w:val="auto"/>
              </w:rPr>
              <w:t>Product development</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18 %</w:t>
            </w:r>
          </w:p>
        </w:tc>
      </w:tr>
      <w:tr>
        <w:trPr>
          <w:trHeight w:val="243"/>
        </w:trPr>
        <w:tc>
          <w:tcPr>
            <w:tcW w:w="7780" w:type="dxa"/>
            <w:vAlign w:val="bottom"/>
            <w:gridSpan w:val="2"/>
          </w:tcPr>
          <w:p>
            <w:pPr>
              <w:ind w:left="200"/>
              <w:spacing w:after="0"/>
              <w:rPr>
                <w:sz w:val="20"/>
                <w:szCs w:val="20"/>
                <w:color w:val="auto"/>
              </w:rPr>
            </w:pPr>
            <w:r>
              <w:rPr>
                <w:rFonts w:ascii="Arial" w:cs="Arial" w:eastAsia="Arial" w:hAnsi="Arial"/>
                <w:sz w:val="16"/>
                <w:szCs w:val="16"/>
                <w:color w:val="auto"/>
              </w:rPr>
              <w:t>Restructuring costs</w:t>
            </w:r>
          </w:p>
        </w:tc>
        <w:tc>
          <w:tcPr>
            <w:tcW w:w="4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
        </w:trPr>
        <w:tc>
          <w:tcPr>
            <w:tcW w:w="6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9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Amortization of purchased intangibles</w:t>
            </w:r>
          </w:p>
        </w:tc>
        <w:tc>
          <w:tcPr>
            <w:tcW w:w="82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6960" w:type="dxa"/>
            <w:vAlign w:val="bottom"/>
          </w:tcPr>
          <w:p>
            <w:pPr>
              <w:ind w:left="360"/>
              <w:spacing w:after="0"/>
              <w:rPr>
                <w:sz w:val="20"/>
                <w:szCs w:val="20"/>
                <w:color w:val="auto"/>
              </w:rPr>
            </w:pPr>
            <w:r>
              <w:rPr>
                <w:rFonts w:ascii="Arial" w:cs="Arial" w:eastAsia="Arial" w:hAnsi="Arial"/>
                <w:sz w:val="16"/>
                <w:szCs w:val="16"/>
                <w:color w:val="auto"/>
              </w:rPr>
              <w:t>Total costs and expenses</w:t>
            </w:r>
          </w:p>
        </w:tc>
        <w:tc>
          <w:tcPr>
            <w:tcW w:w="8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130 %</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109 %</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108 %</w:t>
            </w:r>
          </w:p>
        </w:tc>
      </w:tr>
      <w:tr>
        <w:trPr>
          <w:trHeight w:val="33"/>
        </w:trPr>
        <w:tc>
          <w:tcPr>
            <w:tcW w:w="69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Loss from operations</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Total Other (expense) income, net</w:t>
            </w: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9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Loss before provision for income taxes</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48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1780" w:type="dxa"/>
            <w:vAlign w:val="bottom"/>
            <w:gridSpan w:val="3"/>
          </w:tcPr>
          <w:p>
            <w:pPr>
              <w:ind w:left="9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69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78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FFCC"/>
          </w:tcPr>
          <w:p>
            <w:pPr>
              <w:spacing w:after="0"/>
              <w:rPr>
                <w:sz w:val="21"/>
                <w:szCs w:val="21"/>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696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3199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281"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Certain items may not total due to rounding.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1"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rPr>
              <w:t>% Change</w:t>
            </w:r>
          </w:p>
        </w:tc>
        <w:tc>
          <w:tcPr>
            <w:tcW w:w="28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2"/>
              <w:spacing w:after="0"/>
              <w:rPr>
                <w:sz w:val="20"/>
                <w:szCs w:val="20"/>
                <w:color w:val="auto"/>
              </w:rPr>
            </w:pPr>
            <w:r>
              <w:rPr>
                <w:rFonts w:ascii="Arial" w:cs="Arial" w:eastAsia="Arial" w:hAnsi="Arial"/>
                <w:sz w:val="16"/>
                <w:szCs w:val="16"/>
                <w:b w:val="1"/>
                <w:bCs w:val="1"/>
                <w:color w:val="auto"/>
                <w:w w:val="84"/>
              </w:rPr>
              <w:t>2017</w:t>
            </w:r>
          </w:p>
        </w:tc>
        <w:tc>
          <w:tcPr>
            <w:tcW w:w="120" w:type="dxa"/>
            <w:vAlign w:val="bottom"/>
          </w:tcPr>
          <w:p>
            <w:pPr>
              <w:spacing w:after="0"/>
              <w:rPr>
                <w:sz w:val="20"/>
                <w:szCs w:val="20"/>
                <w:color w:val="auto"/>
              </w:rPr>
            </w:pPr>
          </w:p>
        </w:tc>
        <w:tc>
          <w:tcPr>
            <w:tcW w:w="132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r>
      <w:tr>
        <w:trPr>
          <w:trHeight w:val="244"/>
        </w:trPr>
        <w:tc>
          <w:tcPr>
            <w:tcW w:w="32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 by Segment:</w:t>
            </w:r>
          </w:p>
        </w:tc>
        <w:tc>
          <w:tcPr>
            <w:tcW w:w="2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spacing w:after="0"/>
              <w:rPr>
                <w:sz w:val="21"/>
                <w:szCs w:val="2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Business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267,129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230,285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230,285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201,426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2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24,480</w:t>
            </w:r>
          </w:p>
        </w:tc>
        <w:tc>
          <w:tcPr>
            <w:tcW w:w="10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19,553</w:t>
            </w:r>
          </w:p>
        </w:tc>
        <w:tc>
          <w:tcPr>
            <w:tcW w:w="12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19,553</w:t>
            </w:r>
          </w:p>
        </w:tc>
        <w:tc>
          <w:tcPr>
            <w:tcW w:w="12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17,450</w:t>
            </w:r>
          </w:p>
        </w:tc>
        <w:tc>
          <w:tcPr>
            <w:tcW w:w="12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324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291,609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249,838</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249,838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218,876</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business revenue growth has traditionally been driven by a mix of revenue from new customers as well as expansion from existing customers. Business Revenue increased by 16% to $267.1 million for the year ended December 31, 2019, from $230.3 million for the year ended December 31, 2018. This increase is primarily attributable to revenue from existing customers of approximately $13.3 million, net of cancellations, revenue from professional services provided to clients in the amount of $8.1 million, revenue from new customers of approximately $15.8 million, and partially offset by a decrease in revenue that is variable based on interactions and usage of approximately $0.2 million.</w:t>
      </w:r>
    </w:p>
    <w:p>
      <w:pPr>
        <w:spacing w:after="0" w:line="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revenue increased by 14% to $230.3 million for the year ended December 31, 2018, from $201.4 million for the year ended December 31, 2017. The increase is primarily attributable to revenue from existing customers of approximately $11.8 million, net of cancellations, revenue from professional services of approximately $10.3 million, revenue from new customers of approximately $5.9 million and revenue that is variable based on interactions and usage in the amount of $0.8 million.</w:t>
      </w:r>
    </w:p>
    <w:p>
      <w:pPr>
        <w:spacing w:after="0" w:line="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overall increase in business revenue in 2019 is attributed to the ramping of 2018 sales hires in North America, a renewed focused on SMB sales growth, increasing adoption of our AI and bots, new use cases beyond customer care, and broader deployment of messaging endpoints. The overall increase in business revenue in 2018 is primarily attributable to the Company's renewed selling focus after completing the migration to LiveEngage in 2017.</w:t>
      </w:r>
    </w:p>
    <w:p>
      <w:pPr>
        <w:spacing w:after="0" w:line="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Consumer revenue increased by 25% to $24.5 million for the year ended December 31, 2019, from $19.6 million for the year ended December 31, 2018. This increase is primarily attributable to an increase in chat minutes and price per minute. Consumer revenue increased by 12% to $19.6 million for the year ended December 31, 2018, from $17.5 million for the year ended December 31, 2017. This increase is primarily attributable to an increase in chat minutes and price per minute.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Cost of revenue consists of compensation costs relating to employees who provide customer service to our customers, compensation costs relating to our network support staff, the cost of supporting our server and network infrastructure, and allocated occupancy costs and related overhead.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3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r>
      <w:tr>
        <w:trPr>
          <w:trHeight w:val="244"/>
        </w:trPr>
        <w:tc>
          <w:tcPr>
            <w:tcW w:w="3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Cost of revenue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74,460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58,420</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58,420</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54,600</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32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257</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228</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228</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205</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32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27% to $74.5 million for the year ended December 31, 2019, from $58.4 million for the year ended December 31, 2018. This increase in expense is primarily attributable to an increase in business services and outsourced subcontracted labor of approximately $7.2 million, in salary and related employee expenses of approximately $4.4 million, in expenses for backup server facilities of approximately $4.0 million and in depreciation expense of approximately $0.5 million.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7% to $58.4 million for the year ended December 31, 2018, from $54.6 million for the year ended December 31, 2017. This increase in expense is primarily attributable to an increase in business services and outsourced subcontracted labor of approximately $2.8 million, in salary and related employee expenses of approximately $2.6 million, and in depreciation expense of approximately $0.4 million. This was partially offset by a decrease in amortization of approximately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65"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$1.7 million and in primary and backup server facilities and allocated overhead cost related to costs of supporting our server and network infrastructure of approximately $0.3 million.</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r>
      <w:tr>
        <w:trPr>
          <w:trHeight w:val="244"/>
        </w:trPr>
        <w:tc>
          <w:tcPr>
            <w:tcW w:w="3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Cost of revenue - Consumer</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4,418</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4,059</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4,059</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3,605</w:t>
            </w:r>
          </w:p>
        </w:tc>
        <w:tc>
          <w:tcPr>
            <w:tcW w:w="14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8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18</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2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revenue increased by 9% to $4.4 million for the year ended December 31, 2019, from $4.1 million for the year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is primarily related to an increase in credit card processing fees of approximately $0.3 million.</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increased by 13% to $4.1 million for the year ended December 31, 2018, from $3.6 million for the year ended December 31, 2017. This is primarily related to an increase in depreciation expense of approximately $0.2 million, credit card processing fees of approximately $0.2 million, and salary, outsourced labor, and related employee expenses of approximately $0.1 million. This increase is partially offset by a decrease in expenses for backup server facilities of approximately $0.1 million.</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1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32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r>
      <w:tr>
        <w:trPr>
          <w:trHeight w:val="244"/>
        </w:trPr>
        <w:tc>
          <w:tcPr>
            <w:tcW w:w="3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 - Business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140,880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94,339</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94,339</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82,420</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32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449</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352</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291</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32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Sales and marketing expenses increased by 49% to $140.9 million for the year ended December 31, 2019 from $94.3 million for the year ended December 31, 2018. This is primarily related to an increase in salary, recruitment, and related employee expenses of approximately $29.5 million, as the Company doubled the number of quota carriers to approximately 100 at year-end 2019 from 50 at year-end 2018. Business services and outsourced labor increased approximately $6.5 million, and marketing events, advertising, public relations, and trade show exhibit expenses increased approximately $5.4 million, Other costs consisted of increases in facilities and allocated overhead of $5.1 million, and in depreciation expense of $0.1 million.</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14% to $94.3 million for the year ended December 31, 2018 from $82.4 million for the year ended December 31, 2017. This is primarily related to an increase in salary, recruitment, and related employee expenses of approximately $5.5 million, in business services and outsourced labor of approximately $3.8 million, in marketing events, advertising, public relations, and trade show exhibit expenses of approximately $2.2 million, and in facilities and allocated overhead of $0.4 million.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41"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and trade show exhibit expenses and allocated occupancy costs and related overhead.</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right"/>
              <w:ind w:right="31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5"/>
              </w:rPr>
              <w:t>Year Ended December 31,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6"/>
                <w:szCs w:val="16"/>
                <w:b w:val="1"/>
                <w:bCs w:val="1"/>
                <w:color w:val="auto"/>
              </w:rPr>
              <w:t>% Change</w:t>
            </w:r>
          </w:p>
        </w:tc>
        <w:tc>
          <w:tcPr>
            <w:tcW w:w="22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0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65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18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40" w:type="dxa"/>
            <w:vAlign w:val="bottom"/>
            <w:tcBorders>
              <w:bottom w:val="single" w:sz="8" w:color="CCFFCC"/>
            </w:tcBorders>
          </w:tcPr>
          <w:p>
            <w:pPr>
              <w:spacing w:after="0"/>
              <w:rPr>
                <w:sz w:val="2"/>
                <w:szCs w:val="2"/>
                <w:color w:val="auto"/>
              </w:rPr>
            </w:pPr>
          </w:p>
        </w:tc>
      </w:tr>
      <w:tr>
        <w:trPr>
          <w:trHeight w:val="244"/>
        </w:trPr>
        <w:tc>
          <w:tcPr>
            <w:tcW w:w="31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Sales and Marketing - Consumer</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15,934</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9,005</w:t>
            </w:r>
          </w:p>
        </w:tc>
        <w:tc>
          <w:tcPr>
            <w:tcW w:w="13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9,005</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8,485</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18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Headcount (at period end)</w:t>
            </w:r>
          </w:p>
        </w:tc>
        <w:tc>
          <w:tcPr>
            <w:tcW w:w="26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112"/>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18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9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4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and marketing expenses increased by 77% to $15.9 million for the year ended December 31, 2019, from $9.0 million for the year ended December 31, 2018. This increase is primarily attributable to an increase in advertising and online expenses of approximately $6.7 million and an increase in compensation and related costs for additional and existing sales and marketing personnel of approximately $0.2 million.</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and marketing expenses increased by 6% to $9.0 million for the year ended December 31, 2018, from $8.5 million for the year ended December 31, 2017. This increase is primarily attributable to an increase in advertising and online expenses of approximately $0.3 million and an increase in compensation and related costs for additional and existing sales and marketing personnel of approximately $0.2 million.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human resources and administrative personnel, professional fees and other general corporate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34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r>
      <w:tr>
        <w:trPr>
          <w:trHeight w:val="244"/>
        </w:trPr>
        <w:tc>
          <w:tcPr>
            <w:tcW w:w="3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34"/>
              <w:spacing w:after="0"/>
              <w:rPr>
                <w:sz w:val="20"/>
                <w:szCs w:val="20"/>
                <w:color w:val="auto"/>
              </w:rPr>
            </w:pPr>
            <w:r>
              <w:rPr>
                <w:rFonts w:ascii="Arial" w:cs="Arial" w:eastAsia="Arial" w:hAnsi="Arial"/>
                <w:sz w:val="18"/>
                <w:szCs w:val="18"/>
                <w:color w:val="auto"/>
              </w:rPr>
              <w:t>56,967</w:t>
            </w:r>
          </w:p>
        </w:tc>
        <w:tc>
          <w:tcPr>
            <w:tcW w:w="38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45,873</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45,873</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43,124</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3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jc w:val="right"/>
              <w:ind w:right="134"/>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CFFCC"/>
          </w:tcPr>
          <w:p>
            <w:pPr>
              <w:spacing w:after="0"/>
              <w:rPr>
                <w:sz w:val="21"/>
                <w:szCs w:val="21"/>
                <w:color w:val="auto"/>
              </w:rPr>
            </w:pPr>
          </w:p>
        </w:tc>
        <w:tc>
          <w:tcPr>
            <w:tcW w:w="98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128</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113</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34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1040" w:type="dxa"/>
            <w:vAlign w:val="bottom"/>
            <w:shd w:val="clear" w:color="auto" w:fill="CCFFCC"/>
          </w:tcPr>
          <w:p>
            <w:pPr>
              <w:spacing w:after="0"/>
              <w:rPr>
                <w:sz w:val="2"/>
                <w:szCs w:val="2"/>
                <w:color w:val="auto"/>
              </w:rPr>
            </w:pPr>
          </w:p>
        </w:tc>
        <w:tc>
          <w:tcPr>
            <w:tcW w:w="380" w:type="dxa"/>
            <w:vAlign w:val="bottom"/>
            <w:shd w:val="clear" w:color="auto" w:fill="CCFFCC"/>
          </w:tcPr>
          <w:p>
            <w:pPr>
              <w:spacing w:after="0"/>
              <w:rPr>
                <w:sz w:val="2"/>
                <w:szCs w:val="2"/>
                <w:color w:val="auto"/>
              </w:rPr>
            </w:pPr>
          </w:p>
        </w:tc>
        <w:tc>
          <w:tcPr>
            <w:tcW w:w="9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increased by 24% to $57.0 million for the year ended December 31, 2019 from $45.9 million for the year ended December 31, 2018. This is primarily related to an increase in salaries and employee related expenses of approximately $9.2 million and in business services and outsourced labor of approximately $3.8 million. This was partially offset by a decrease in allocated occupancy costs, related overhead, information technology, and other general corporate expenses of approximately $1.9 million.</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General and administrative expenses increased by 6% to $45.9 million for the year ended December 31, 2018 from $43.1 million for the year ended December 31, 2017. This is primarily related to an increase in salaries and employee related expenses of approximately $4.5 million and in business services and outsourced labor of approximately $0.8 million. This was partially offset by a decrease in allocated occupancy costs, related overhead, information technology, and other general corporate expenses of approximately $1.2 million, a net decrease in other costs of approximately $1.1 million, and a decrease of amortization and depreciation expense of approximately $0.2 million. Other costs consisted of a decrease in litigation of approximately $2.0 million and one-time executive compensation paid in 2017 of approximately $1.0 million. This was partially offset by consulting fees relating to cost efficiency analysis of $1.2 million and acquisition costs of approximately $0.6 million.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as well as allocated occupancy costs and related overhead and outsourced labor and expenses for testing new versions of our software.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4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9"/>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w w:val="96"/>
              </w:rPr>
              <w:t>Year Ended December 31,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10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572"/>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34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80" w:type="dxa"/>
            <w:vAlign w:val="bottom"/>
            <w:tcBorders>
              <w:bottom w:val="single" w:sz="8" w:color="CCFFCC"/>
            </w:tcBorders>
          </w:tcPr>
          <w:p>
            <w:pPr>
              <w:spacing w:after="0"/>
              <w:rPr>
                <w:sz w:val="2"/>
                <w:szCs w:val="2"/>
                <w:color w:val="auto"/>
              </w:rPr>
            </w:pPr>
          </w:p>
        </w:tc>
      </w:tr>
      <w:tr>
        <w:trPr>
          <w:trHeight w:val="244"/>
        </w:trPr>
        <w:tc>
          <w:tcPr>
            <w:tcW w:w="3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Product development</w:t>
            </w:r>
          </w:p>
        </w:tc>
        <w:tc>
          <w:tcPr>
            <w:tcW w:w="28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82,145</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55,707</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FFCC"/>
            </w:tcBorders>
            <w:shd w:val="clear" w:color="auto" w:fill="CCFFCC"/>
          </w:tcPr>
          <w:p>
            <w:pPr>
              <w:jc w:val="right"/>
              <w:ind w:right="154"/>
              <w:spacing w:after="0"/>
              <w:rPr>
                <w:sz w:val="20"/>
                <w:szCs w:val="20"/>
                <w:color w:val="auto"/>
              </w:rPr>
            </w:pPr>
            <w:r>
              <w:rPr>
                <w:rFonts w:ascii="Arial" w:cs="Arial" w:eastAsia="Arial" w:hAnsi="Arial"/>
                <w:sz w:val="18"/>
                <w:szCs w:val="18"/>
                <w:color w:val="auto"/>
              </w:rPr>
              <w:t>55,707</w:t>
            </w:r>
          </w:p>
        </w:tc>
        <w:tc>
          <w:tcPr>
            <w:tcW w:w="34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FFCC"/>
            </w:tcBorders>
            <w:shd w:val="clear" w:color="auto" w:fill="CCFFCC"/>
          </w:tcPr>
          <w:p>
            <w:pPr>
              <w:jc w:val="right"/>
              <w:ind w:right="92"/>
              <w:spacing w:after="0"/>
              <w:rPr>
                <w:sz w:val="20"/>
                <w:szCs w:val="20"/>
                <w:color w:val="auto"/>
              </w:rPr>
            </w:pPr>
            <w:r>
              <w:rPr>
                <w:rFonts w:ascii="Arial" w:cs="Arial" w:eastAsia="Arial" w:hAnsi="Arial"/>
                <w:sz w:val="18"/>
                <w:szCs w:val="18"/>
                <w:color w:val="auto"/>
              </w:rPr>
              <w:t>40,034</w:t>
            </w:r>
          </w:p>
        </w:tc>
        <w:tc>
          <w:tcPr>
            <w:tcW w:w="14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340" w:type="dxa"/>
            <w:vAlign w:val="bottom"/>
            <w:shd w:val="clear" w:color="auto" w:fill="CCFFCC"/>
          </w:tcPr>
          <w:p>
            <w:pPr>
              <w:ind w:left="40"/>
              <w:spacing w:after="0"/>
              <w:rPr>
                <w:sz w:val="20"/>
                <w:szCs w:val="20"/>
                <w:color w:val="auto"/>
              </w:rPr>
            </w:pPr>
            <w:r>
              <w:rPr>
                <w:rFonts w:ascii="Arial" w:cs="Arial" w:eastAsia="Arial" w:hAnsi="Arial"/>
                <w:sz w:val="18"/>
                <w:szCs w:val="18"/>
                <w:color w:val="auto"/>
              </w:rPr>
              <w:t>Headcount (at period end)</w:t>
            </w:r>
          </w:p>
        </w:tc>
        <w:tc>
          <w:tcPr>
            <w:tcW w:w="280" w:type="dxa"/>
            <w:vAlign w:val="bottom"/>
            <w:shd w:val="clear" w:color="auto" w:fill="CCFFCC"/>
          </w:tcPr>
          <w:p>
            <w:pPr>
              <w:spacing w:after="0"/>
              <w:rPr>
                <w:sz w:val="21"/>
                <w:szCs w:val="21"/>
                <w:color w:val="auto"/>
              </w:rPr>
            </w:pPr>
          </w:p>
        </w:tc>
        <w:tc>
          <w:tcPr>
            <w:tcW w:w="106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451</w:t>
            </w: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369</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54"/>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FFCC"/>
          </w:tcPr>
          <w:p>
            <w:pPr>
              <w:spacing w:after="0"/>
              <w:rPr>
                <w:sz w:val="21"/>
                <w:szCs w:val="21"/>
                <w:color w:val="auto"/>
              </w:rPr>
            </w:pPr>
          </w:p>
        </w:tc>
        <w:tc>
          <w:tcPr>
            <w:tcW w:w="900" w:type="dxa"/>
            <w:vAlign w:val="bottom"/>
            <w:shd w:val="clear" w:color="auto" w:fill="CCFFCC"/>
          </w:tcPr>
          <w:p>
            <w:pPr>
              <w:jc w:val="right"/>
              <w:ind w:right="92"/>
              <w:spacing w:after="0"/>
              <w:rPr>
                <w:sz w:val="20"/>
                <w:szCs w:val="20"/>
                <w:color w:val="auto"/>
              </w:rPr>
            </w:pPr>
            <w:r>
              <w:rPr>
                <w:rFonts w:ascii="Arial" w:cs="Arial" w:eastAsia="Arial" w:hAnsi="Arial"/>
                <w:sz w:val="18"/>
                <w:szCs w:val="18"/>
                <w:color w:val="auto"/>
              </w:rPr>
              <w:t>342</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334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8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Product development costs increased by 47% to $82.1 million for the year ended December 31, 2019 from $55.7 million for the year ended December 31, 2018. This is primarily related to an increase in compensation, recruitment, and related costs of approximately $15.3 million, as the Company built out its Seattle Advanced Technology Center, ending 2019 with more than 125 data scientists, machine learnings engineers and automation engineers focused on Conversational AI. Business services and outsourced labor increased approximately $5.0 million, primarily tied to supporting demand for technical services. Facility, allocated occupancy costs and overhead related to costs of supporting our server and network infrastructure increased approximately $4.3 million, depreciation expenses increased approximately $1.5 million, and marketing related costs increased $0.3 million.</w:t>
      </w:r>
    </w:p>
    <w:p>
      <w:pPr>
        <w:spacing w:after="0" w:line="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Product development costs increased by 39% to $55.7 million for the year ended December 31, 2018 from $40.0 million for the year ended December 31, 2017. This is primarily related to an increase in compensation, recruitment, and related costs of approximately $10.2 million, an increase in facility, allocated occupancy costs and overhead related to costs of supporting our server and network infrastructure of approximately $3.4 million, in depreciation expenses of approximately $1.4 million, and in business services and outsourced labor of approximately $0.7 million.</w:t>
      </w:r>
    </w:p>
    <w:p>
      <w:pPr>
        <w:spacing w:after="0" w:line="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continue to invest in new product development efforts to expand the capability of LiveEngage. During July 2018, we opened an office in Seattle, for research and development in order to promote continued globalization of our technology operations, drive improvements in quality assurance of existing products and creation of new add-on features to LiveEngage. We recognize that every brand is unique and employs an individualized and complex approach to managing their users. In accordance with ASC 350-40, ‘‘Internal- Use Software’’, as new projects are initiated that provide functionality to LiveEngage platform, the associated development and employee costs will be capitalized. Upon completion, the project costs will be depreciated over five years. During the year ended December 31, 2019 and 2018, $29.1 million and $11.7 million was capitalized, respectively.</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9"/>
              </w:rPr>
              <w:t>Year Ended December 31,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455"/>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3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r>
      <w:tr>
        <w:trPr>
          <w:trHeight w:val="244"/>
        </w:trPr>
        <w:tc>
          <w:tcPr>
            <w:tcW w:w="3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Restructuring Costs</w:t>
            </w: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35"/>
              <w:spacing w:after="0"/>
              <w:rPr>
                <w:sz w:val="20"/>
                <w:szCs w:val="20"/>
                <w:color w:val="auto"/>
              </w:rPr>
            </w:pPr>
            <w:r>
              <w:rPr>
                <w:rFonts w:ascii="Arial" w:cs="Arial" w:eastAsia="Arial" w:hAnsi="Arial"/>
                <w:sz w:val="18"/>
                <w:szCs w:val="18"/>
                <w:color w:val="auto"/>
              </w:rPr>
              <w:t>2,043</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rPr>
              <w:t>4,468</w:t>
            </w:r>
          </w:p>
        </w:tc>
        <w:tc>
          <w:tcPr>
            <w:tcW w:w="1720" w:type="dxa"/>
            <w:vAlign w:val="bottom"/>
            <w:tcBorders>
              <w:bottom w:val="single" w:sz="8" w:color="CCFFCC"/>
            </w:tcBorders>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(54)%  $</w:t>
            </w:r>
          </w:p>
        </w:tc>
        <w:tc>
          <w:tcPr>
            <w:tcW w:w="106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4,468</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3"/>
              <w:spacing w:after="0"/>
              <w:rPr>
                <w:sz w:val="20"/>
                <w:szCs w:val="20"/>
                <w:color w:val="auto"/>
              </w:rPr>
            </w:pPr>
            <w:r>
              <w:rPr>
                <w:rFonts w:ascii="Arial" w:cs="Arial" w:eastAsia="Arial" w:hAnsi="Arial"/>
                <w:sz w:val="18"/>
                <w:szCs w:val="18"/>
                <w:color w:val="auto"/>
              </w:rPr>
              <w:t>2,594</w:t>
            </w: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Restructuring costs decreased by 54% to $2.0 million for the year ended December 31, 2019, from $4.5 million for the year ended December 31, 2018. This variance is attributable to a decrease in severance and other associated costs of approximately $2.5 million. Severance costs are associated with re-prioritizing and reallocating resources to focus on areas showing high growth potential.</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Restructuring costs increased by 72% to $4.5 million for the year ended December 31, 2018, from $2.6 million for the year ended December 31, 2017. This variance is attributable to an increase in severance and other associated costs of approximately $3.8 million. This was offset partially by wind down costs of approximately $1.9 million related to shutting down the legacy platform in 2017. In 2018, restructuring related primarily to the reorganization of the GPT group in order to promote continued globalization of our technology operations, drive improvements in quality assurance of existing products and creation of new add-on features to LiveEngage.</w:t>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w w:val="98"/>
              </w:rPr>
              <w:t>Year Ended December 31,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8"/>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55"/>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 Change</w:t>
            </w: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2"/>
              <w:spacing w:after="0"/>
              <w:rPr>
                <w:sz w:val="20"/>
                <w:szCs w:val="20"/>
                <w:color w:val="auto"/>
              </w:rPr>
            </w:pPr>
            <w:r>
              <w:rPr>
                <w:rFonts w:ascii="Arial" w:cs="Arial" w:eastAsia="Arial" w:hAnsi="Arial"/>
                <w:sz w:val="16"/>
                <w:szCs w:val="16"/>
                <w:b w:val="1"/>
                <w:bCs w:val="1"/>
                <w:color w:val="auto"/>
              </w:rPr>
              <w:t>($ in thousands)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33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1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r>
      <w:tr>
        <w:trPr>
          <w:trHeight w:val="244"/>
        </w:trPr>
        <w:tc>
          <w:tcPr>
            <w:tcW w:w="3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Amortization of purchased intangibles</w:t>
            </w:r>
          </w:p>
        </w:tc>
        <w:tc>
          <w:tcPr>
            <w:tcW w:w="30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1,794</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112"/>
              <w:spacing w:after="0"/>
              <w:rPr>
                <w:sz w:val="20"/>
                <w:szCs w:val="20"/>
                <w:color w:val="auto"/>
              </w:rPr>
            </w:pPr>
            <w:r>
              <w:rPr>
                <w:rFonts w:ascii="Arial" w:cs="Arial" w:eastAsia="Arial" w:hAnsi="Arial"/>
                <w:sz w:val="18"/>
                <w:szCs w:val="18"/>
                <w:color w:val="auto"/>
              </w:rPr>
              <w:t>1,670</w:t>
            </w:r>
          </w:p>
        </w:tc>
        <w:tc>
          <w:tcPr>
            <w:tcW w:w="1680" w:type="dxa"/>
            <w:vAlign w:val="bottom"/>
            <w:tcBorders>
              <w:bottom w:val="single" w:sz="8" w:color="CCFFCC"/>
            </w:tcBorders>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7%  $</w:t>
            </w:r>
          </w:p>
        </w:tc>
        <w:tc>
          <w:tcPr>
            <w:tcW w:w="1040" w:type="dxa"/>
            <w:vAlign w:val="bottom"/>
            <w:tcBorders>
              <w:bottom w:val="single" w:sz="8" w:color="CCFFCC"/>
            </w:tcBorders>
            <w:shd w:val="clear" w:color="auto" w:fill="CCFFCC"/>
          </w:tcPr>
          <w:p>
            <w:pPr>
              <w:jc w:val="right"/>
              <w:ind w:right="155"/>
              <w:spacing w:after="0"/>
              <w:rPr>
                <w:sz w:val="20"/>
                <w:szCs w:val="20"/>
                <w:color w:val="auto"/>
              </w:rPr>
            </w:pPr>
            <w:r>
              <w:rPr>
                <w:rFonts w:ascii="Arial" w:cs="Arial" w:eastAsia="Arial" w:hAnsi="Arial"/>
                <w:sz w:val="18"/>
                <w:szCs w:val="18"/>
                <w:color w:val="auto"/>
              </w:rPr>
              <w:t>1,670</w:t>
            </w:r>
          </w:p>
        </w:tc>
        <w:tc>
          <w:tcPr>
            <w:tcW w:w="360" w:type="dxa"/>
            <w:vAlign w:val="bottom"/>
            <w:tcBorders>
              <w:bottom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FFCC"/>
            </w:tcBorders>
            <w:shd w:val="clear" w:color="auto" w:fill="CCFFCC"/>
          </w:tcPr>
          <w:p>
            <w:pPr>
              <w:jc w:val="right"/>
              <w:ind w:right="93"/>
              <w:spacing w:after="0"/>
              <w:rPr>
                <w:sz w:val="20"/>
                <w:szCs w:val="20"/>
                <w:color w:val="auto"/>
              </w:rPr>
            </w:pPr>
            <w:r>
              <w:rPr>
                <w:rFonts w:ascii="Arial" w:cs="Arial" w:eastAsia="Arial" w:hAnsi="Arial"/>
                <w:sz w:val="18"/>
                <w:szCs w:val="18"/>
                <w:color w:val="auto"/>
              </w:rPr>
              <w:t>1,840</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Percentage of total revenue</w:t>
            </w:r>
          </w:p>
        </w:tc>
        <w:tc>
          <w:tcPr>
            <w:tcW w:w="3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67"/>
        </w:trPr>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17" w:right="239" w:bottom="1440" w:gutter="0" w:footer="0" w:header="0"/>
        </w:sectPr>
      </w:pPr>
    </w:p>
    <w:bookmarkStart w:id="62" w:name="page63"/>
    <w:bookmarkEnd w:id="62"/>
    <w:p>
      <w:pPr>
        <w:jc w:val="both"/>
        <w:ind w:firstLine="648"/>
        <w:spacing w:after="0" w:line="259" w:lineRule="auto"/>
        <w:rPr>
          <w:sz w:val="20"/>
          <w:szCs w:val="20"/>
          <w:color w:val="auto"/>
        </w:rPr>
      </w:pPr>
      <w:r>
        <w:rPr>
          <w:rFonts w:ascii="Arial" w:cs="Arial" w:eastAsia="Arial" w:hAnsi="Arial"/>
          <w:sz w:val="18"/>
          <w:szCs w:val="18"/>
          <w:color w:val="auto"/>
        </w:rPr>
        <w:t>Amortization expense for purchased intangibles increased by 7% to $1.8 million for the year ended December 31, 2019, from $1.7 million for the year ended December 31, 2018 and decreased by 9% to $1.7 million for the year ended December 31, 2018, from $1.8 million for the year ended December 31, 2017. The year over year variance is primarily attributable to the full amortization of capitalized technology and customer relationships related to the past acquisitions of AdvantageTec, Inc. and Conversable, Inc. in 2018.</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primarily consists of interest income on cash and cash equivalents, investment income and financial (expense) income which is a result of currency rate fluctuations associated with exchange rate movement of the U.S. dollar against the New Israeli Shekel, Pound Sterling, Japanese Yen, AUS dollar and the Euro.</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Year Ended December 31,</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Year Ended December 31,</w:t>
            </w:r>
          </w:p>
        </w:tc>
        <w:tc>
          <w:tcPr>
            <w:tcW w:w="126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26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8"/>
              </w:rPr>
              <w:t>($ in thousands)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 in thousands)</w:t>
            </w:r>
          </w:p>
        </w:tc>
        <w:tc>
          <w:tcPr>
            <w:tcW w:w="126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342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9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9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FFCC"/>
            </w:tcBorders>
            <w:shd w:val="clear" w:color="auto" w:fill="CCFFCC"/>
          </w:tcPr>
          <w:p>
            <w:pPr>
              <w:jc w:val="right"/>
              <w:ind w:right="34"/>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(548)%</w:t>
            </w: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Other (expense) income,net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 income increased by $5.7 million to an expense of $6.2 million for the year ended December 31, 2019 from an expense of $0.5 million for the year ended December 31, 2018. This was primarily attributable to an increase in interest expense attributable to the 0.750% Convertible Senior Notes due 2024 (the ‘‘Notes’’) partially offset by interest income on cash and cash equivalents and financial income which is attributable to currency rate fluctuations.</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(expense) income increased by $0.3 million to an expense of $0.5 million for the year ended December 31, 2018 from an income of $0.1 million for the year ended December 31, 2017. This was primarily attributable to a decrease in other financial income and finance hedging income.</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3"/>
          </w:tcPr>
          <w:p>
            <w:pPr>
              <w:jc w:val="center"/>
              <w:ind w:right="74"/>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1"/>
              </w:rPr>
              <w:t>Year Ended December 31,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7"/>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5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 Change</w:t>
            </w:r>
          </w:p>
        </w:tc>
        <w:tc>
          <w:tcPr>
            <w:tcW w:w="940" w:type="dxa"/>
            <w:vAlign w:val="bottom"/>
          </w:tcPr>
          <w:p>
            <w:pPr>
              <w:jc w:val="right"/>
              <w:ind w:right="337"/>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88"/>
              </w:rPr>
              <w:t>($ in thousands)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0"/>
              </w:rPr>
              <w:t>($ in thousands)</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39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r>
      <w:tr>
        <w:trPr>
          <w:trHeight w:val="237"/>
        </w:trPr>
        <w:tc>
          <w:tcPr>
            <w:tcW w:w="3920" w:type="dxa"/>
            <w:vAlign w:val="bottom"/>
            <w:shd w:val="clear" w:color="auto" w:fill="CCFFCC"/>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2,845</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858</w:t>
            </w:r>
          </w:p>
        </w:tc>
        <w:tc>
          <w:tcPr>
            <w:tcW w:w="164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232%  $</w:t>
            </w:r>
          </w:p>
        </w:tc>
        <w:tc>
          <w:tcPr>
            <w:tcW w:w="94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858</w:t>
            </w:r>
          </w:p>
        </w:tc>
        <w:tc>
          <w:tcPr>
            <w:tcW w:w="3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501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392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2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Income tax expense increased by 232% to $2.8 million for the year ended December 31, 2019, from $0.9 million for the year ended December 31, 2018. Our consolidated effective tax rate was impacted by the statutory income tax rates applicable to each of the jurisdictions in which we operate. During 2018, we recognized a benefit of $2.0 million related to a settlement with the Israeli Tax Authority. As a result of the settlement, we recognized a benefit as the recorded liability was less than the final settlement. A benefit was also recorded for U.S. federal tax refunds that were recognized due to increased foreign tax credits and increased federal NOLs from foreign tax deductions. The increase in tax expense was primarily due to these factors.</w:t>
      </w:r>
    </w:p>
    <w:p>
      <w:pPr>
        <w:spacing w:after="0" w:line="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Income tax expense increased by 71% to $0.9 million for the year ended December 31, 2018, from $0.5 million for the year ended December 31, 2017. Our consolidated effective tax rate was impacted by the statutory income tax rates applicable to each of the jurisdictions in which we operate. As a result of the Tax Cuts and Jobs Act the federal corporate income tax rate decreased from a maximum of 35% to a flat rate of 21%. In addition, federal NOLs incurred after December 31, 2017 will have an indefinite carryforward period and will be available to offset 80% of federal taxable income in future years. During the first quarter of 2018 we recognized a benefit of $2.0 million related to a settlement with the Israeli Tax Authority. As a result of the settlement we recognized a benefit as the recorded liability was less than the final settlement. A benefit was also recorded for U.S. federal tax refunds that were recognized due to increased foreign tax credits and increased federal NOLs from foreign tax deductions. The increase in tax expense was primarily due to these factors.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had a net loss of $96.1 million for the year ended December 31, 2019 compared to a net loss of $25.0 million for the year ended December 31, 2018. Revenue increased approximately $41.8 million, operating expenses increased by approximately $105.1 million, the provision for income taxes increased approximately $2.0 million, and other (expense) income net increased by $5.7 million, contributing to a net increase in net loss of approximately $71.0 million.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63" w:name="page64"/>
    <w:bookmarkEnd w:id="63"/>
    <w:p>
      <w:pPr>
        <w:jc w:val="both"/>
        <w:ind w:firstLine="648"/>
        <w:spacing w:after="0" w:line="259" w:lineRule="auto"/>
        <w:rPr>
          <w:sz w:val="20"/>
          <w:szCs w:val="20"/>
          <w:color w:val="auto"/>
        </w:rPr>
      </w:pPr>
      <w:r>
        <w:rPr>
          <w:rFonts w:ascii="Arial" w:cs="Arial" w:eastAsia="Arial" w:hAnsi="Arial"/>
          <w:sz w:val="18"/>
          <w:szCs w:val="18"/>
          <w:color w:val="auto"/>
        </w:rPr>
        <w:t>We had a net loss of $25.0 million for the year ended December 31, 2018 compared to a net loss of $18.2 million for the year ended December 31, 2017. Revenue increased approximately $31.0 million, operating expenses increased by approximately $36.8 million, the provision for (benefit from) income taxes increased approximately $0.4 million, and other (expense)income, net decreased by approximately $0.6 million, contributing to a net increase in net loss of approximately $6.8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Data</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for the periods indicated, the Company’s financial information for the eight most recent quarters ended December 31, 2019. In the Company’s opinion, this unaudited information has been prepared on a basis consistent with the annual consolidated financial statements and includes all adjustments, consisting only of normal recurring adjustments, necessary for a fair presentation of the unaudited information for the periods presented. This information should be read in conjunction with the consolidated financial statements, including the related notes,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252730</wp:posOffset>
            </wp:positionV>
            <wp:extent cx="4707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 30,</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w w:val="95"/>
              </w:rPr>
              <w:t>March 31,</w:t>
            </w:r>
          </w:p>
        </w:tc>
      </w:t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r>
      <w:tr>
        <w:trPr>
          <w:trHeight w:val="248"/>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11"/>
          </w:tcPr>
          <w:p>
            <w:pPr>
              <w:ind w:left="460"/>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2"/>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b w:val="1"/>
                <w:bCs w:val="1"/>
                <w:color w:val="auto"/>
              </w:rPr>
              <w:t>Consolidated Statements of Operations Data:</w:t>
            </w:r>
          </w:p>
        </w:tc>
        <w:tc>
          <w:tcPr>
            <w:tcW w:w="12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79,073</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75,175</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70,959</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66,402</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65,724</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64,213</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61,660</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58,241</w:t>
            </w:r>
          </w:p>
        </w:tc>
      </w:tr>
      <w:tr>
        <w:trPr>
          <w:trHeight w:val="284"/>
        </w:trPr>
        <w:tc>
          <w:tcPr>
            <w:tcW w:w="40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Cost of revenue</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22,060</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20,120</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18,049</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18,649</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16,800</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15,689</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16,036</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13,954</w:t>
            </w:r>
          </w:p>
        </w:tc>
      </w:tr>
      <w:tr>
        <w:trPr>
          <w:trHeight w:val="262"/>
        </w:trPr>
        <w:tc>
          <w:tcPr>
            <w:tcW w:w="4000" w:type="dxa"/>
            <w:vAlign w:val="bottom"/>
          </w:tcPr>
          <w:p>
            <w:pPr>
              <w:ind w:left="180"/>
              <w:spacing w:after="0"/>
              <w:rPr>
                <w:sz w:val="20"/>
                <w:szCs w:val="20"/>
                <w:color w:val="auto"/>
              </w:rPr>
            </w:pPr>
            <w:r>
              <w:rPr>
                <w:rFonts w:ascii="Arial" w:cs="Arial" w:eastAsia="Arial" w:hAnsi="Arial"/>
                <w:sz w:val="13"/>
                <w:szCs w:val="13"/>
                <w:color w:val="auto"/>
              </w:rPr>
              <w:t>Sales and marketing</w:t>
            </w:r>
          </w:p>
        </w:tc>
        <w:tc>
          <w:tcPr>
            <w:tcW w:w="12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42,661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41,774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39,343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33,036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27,073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26,748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25,392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24,131</w:t>
            </w: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15,079</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13,958</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13,763</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14,167</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12,279</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11,972</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11,499</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10,123</w:t>
            </w:r>
          </w:p>
        </w:tc>
      </w:tr>
      <w:tr>
        <w:trPr>
          <w:trHeight w:val="262"/>
        </w:trPr>
        <w:tc>
          <w:tcPr>
            <w:tcW w:w="4000" w:type="dxa"/>
            <w:vAlign w:val="bottom"/>
          </w:tcPr>
          <w:p>
            <w:pPr>
              <w:ind w:left="180"/>
              <w:spacing w:after="0"/>
              <w:rPr>
                <w:sz w:val="20"/>
                <w:szCs w:val="20"/>
                <w:color w:val="auto"/>
              </w:rPr>
            </w:pPr>
            <w:r>
              <w:rPr>
                <w:rFonts w:ascii="Arial" w:cs="Arial" w:eastAsia="Arial" w:hAnsi="Arial"/>
                <w:sz w:val="13"/>
                <w:szCs w:val="13"/>
                <w:color w:val="auto"/>
              </w:rPr>
              <w:t>Product development</w:t>
            </w:r>
          </w:p>
        </w:tc>
        <w:tc>
          <w:tcPr>
            <w:tcW w:w="120" w:type="dxa"/>
            <w:vAlign w:val="bottom"/>
          </w:tcPr>
          <w:p>
            <w:pPr>
              <w:spacing w:after="0"/>
              <w:rPr>
                <w:sz w:val="22"/>
                <w:szCs w:val="2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23,213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20,577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20,182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18,173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14,752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13,484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3"/>
                <w:szCs w:val="13"/>
                <w:color w:val="auto"/>
              </w:rPr>
              <w:t>14,219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13,252</w:t>
            </w:r>
          </w:p>
        </w:tc>
      </w:tr>
      <w:tr>
        <w:trPr>
          <w:trHeight w:val="278"/>
        </w:trPr>
        <w:tc>
          <w:tcPr>
            <w:tcW w:w="40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Restructuring costs</w:t>
            </w:r>
          </w:p>
        </w:tc>
        <w:tc>
          <w:tcPr>
            <w:tcW w:w="120" w:type="dxa"/>
            <w:vAlign w:val="bottom"/>
            <w:shd w:val="clear" w:color="auto" w:fill="CCFFCC"/>
          </w:tcPr>
          <w:p>
            <w:pPr>
              <w:spacing w:after="0"/>
              <w:rPr>
                <w:sz w:val="24"/>
                <w:szCs w:val="24"/>
                <w:color w:val="auto"/>
              </w:rPr>
            </w:pPr>
          </w:p>
        </w:tc>
        <w:tc>
          <w:tcPr>
            <w:tcW w:w="70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134</w:t>
            </w:r>
          </w:p>
        </w:tc>
        <w:tc>
          <w:tcPr>
            <w:tcW w:w="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1,425</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720" w:type="dxa"/>
            <w:vAlign w:val="bottom"/>
            <w:shd w:val="clear" w:color="auto" w:fill="CCFFCC"/>
          </w:tcPr>
          <w:p>
            <w:pPr>
              <w:jc w:val="right"/>
              <w:ind w:right="56"/>
              <w:spacing w:after="0"/>
              <w:rPr>
                <w:sz w:val="20"/>
                <w:szCs w:val="20"/>
                <w:color w:val="auto"/>
              </w:rPr>
            </w:pPr>
            <w:r>
              <w:rPr>
                <w:rFonts w:ascii="Arial" w:cs="Arial" w:eastAsia="Arial" w:hAnsi="Arial"/>
                <w:sz w:val="13"/>
                <w:szCs w:val="13"/>
                <w:color w:val="auto"/>
              </w:rPr>
              <w:t>205</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1,662</w:t>
            </w:r>
          </w:p>
        </w:tc>
        <w:tc>
          <w:tcPr>
            <w:tcW w:w="1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722</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1,906</w:t>
            </w:r>
          </w:p>
        </w:tc>
        <w:tc>
          <w:tcPr>
            <w:tcW w:w="1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jc w:val="right"/>
              <w:ind w:right="36"/>
              <w:spacing w:after="0"/>
              <w:rPr>
                <w:sz w:val="20"/>
                <w:szCs w:val="20"/>
                <w:color w:val="auto"/>
              </w:rPr>
            </w:pPr>
            <w:r>
              <w:rPr>
                <w:rFonts w:ascii="Arial" w:cs="Arial" w:eastAsia="Arial" w:hAnsi="Arial"/>
                <w:sz w:val="13"/>
                <w:szCs w:val="13"/>
                <w:color w:val="auto"/>
              </w:rPr>
              <w:t>178</w:t>
            </w:r>
          </w:p>
        </w:tc>
      </w:tr>
      <w:tr>
        <w:trPr>
          <w:trHeight w:val="264"/>
        </w:trPr>
        <w:tc>
          <w:tcPr>
            <w:tcW w:w="4000" w:type="dxa"/>
            <w:vAlign w:val="bottom"/>
            <w:tcBorders>
              <w:bottom w:val="single" w:sz="8" w:color="CCFFCC"/>
            </w:tcBorders>
          </w:tcPr>
          <w:p>
            <w:pPr>
              <w:ind w:left="180"/>
              <w:spacing w:after="0"/>
              <w:rPr>
                <w:sz w:val="20"/>
                <w:szCs w:val="20"/>
                <w:color w:val="auto"/>
              </w:rPr>
            </w:pPr>
            <w:r>
              <w:rPr>
                <w:rFonts w:ascii="Arial" w:cs="Arial" w:eastAsia="Arial" w:hAnsi="Arial"/>
                <w:sz w:val="13"/>
                <w:szCs w:val="13"/>
                <w:color w:val="auto"/>
              </w:rPr>
              <w:t>Amortization of purchased intangibles</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448</w:t>
            </w:r>
          </w:p>
        </w:tc>
        <w:tc>
          <w:tcPr>
            <w:tcW w:w="14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447</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438</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461</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424</w:t>
            </w:r>
          </w:p>
        </w:tc>
        <w:tc>
          <w:tcPr>
            <w:tcW w:w="120" w:type="dxa"/>
            <w:vAlign w:val="bottom"/>
            <w:tcBorders>
              <w:bottom w:val="single" w:sz="8" w:color="CCFFC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424</w:t>
            </w:r>
          </w:p>
        </w:tc>
        <w:tc>
          <w:tcPr>
            <w:tcW w:w="100" w:type="dxa"/>
            <w:vAlign w:val="bottom"/>
            <w:tcBorders>
              <w:bottom w:val="single" w:sz="8" w:color="CCFFC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424</w:t>
            </w:r>
          </w:p>
        </w:tc>
      </w:tr>
      <w:tr>
        <w:trPr>
          <w:trHeight w:val="250"/>
        </w:trPr>
        <w:tc>
          <w:tcPr>
            <w:tcW w:w="4000" w:type="dxa"/>
            <w:vAlign w:val="bottom"/>
            <w:shd w:val="clear" w:color="auto" w:fill="CCFFCC"/>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103,595</w:t>
            </w:r>
          </w:p>
        </w:tc>
        <w:tc>
          <w:tcPr>
            <w:tcW w:w="14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98,301</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91,980</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84,765</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72,964</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69,039</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69,476</w:t>
            </w:r>
          </w:p>
        </w:tc>
        <w:tc>
          <w:tcPr>
            <w:tcW w:w="10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62,062</w:t>
            </w:r>
          </w:p>
        </w:tc>
      </w:tr>
      <w:tr>
        <w:trPr>
          <w:trHeight w:val="249"/>
        </w:trPr>
        <w:tc>
          <w:tcPr>
            <w:tcW w:w="4000" w:type="dxa"/>
            <w:vAlign w:val="bottom"/>
          </w:tcPr>
          <w:p>
            <w:pPr>
              <w:ind w:left="40"/>
              <w:spacing w:after="0"/>
              <w:rPr>
                <w:sz w:val="20"/>
                <w:szCs w:val="20"/>
                <w:color w:val="auto"/>
              </w:rPr>
            </w:pPr>
            <w:r>
              <w:rPr>
                <w:rFonts w:ascii="Arial" w:cs="Arial" w:eastAsia="Arial" w:hAnsi="Arial"/>
                <w:sz w:val="13"/>
                <w:szCs w:val="13"/>
                <w:color w:val="auto"/>
              </w:rPr>
              <w:t>Loss from operations</w:t>
            </w:r>
          </w:p>
        </w:tc>
        <w:tc>
          <w:tcPr>
            <w:tcW w:w="12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(24,522)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(23,126)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(21,021)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(18,363)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(7,816)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(3,821)</w:t>
            </w:r>
          </w:p>
        </w:tc>
      </w:tr>
      <w:tr>
        <w:trPr>
          <w:trHeight w:val="272"/>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color w:val="auto"/>
              </w:rPr>
              <w:t>Other (expense) income</w:t>
            </w:r>
          </w:p>
        </w:tc>
        <w:tc>
          <w:tcPr>
            <w:tcW w:w="120" w:type="dxa"/>
            <w:vAlign w:val="bottom"/>
            <w:tcBorders>
              <w:bottom w:val="single" w:sz="8" w:color="auto"/>
            </w:tcBorders>
            <w:shd w:val="clear" w:color="auto" w:fill="CCFFCC"/>
          </w:tcPr>
          <w:p>
            <w:pPr>
              <w:spacing w:after="0"/>
              <w:rPr>
                <w:sz w:val="23"/>
                <w:szCs w:val="23"/>
                <w:color w:val="auto"/>
              </w:rPr>
            </w:pP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(2,183)</w:t>
            </w:r>
          </w:p>
        </w:tc>
        <w:tc>
          <w:tcPr>
            <w:tcW w:w="14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(1,810)</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(2,267)</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(418)</w:t>
            </w:r>
          </w:p>
        </w:tc>
        <w:tc>
          <w:tcPr>
            <w:tcW w:w="10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FFCC"/>
          </w:tcPr>
          <w:p>
            <w:pPr>
              <w:spacing w:after="0"/>
              <w:rPr>
                <w:sz w:val="23"/>
                <w:szCs w:val="23"/>
                <w:color w:val="auto"/>
              </w:rPr>
            </w:pPr>
          </w:p>
        </w:tc>
        <w:tc>
          <w:tcPr>
            <w:tcW w:w="120" w:type="dxa"/>
            <w:vAlign w:val="bottom"/>
            <w:tcBorders>
              <w:bottom w:val="single" w:sz="8" w:color="auto"/>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129</w:t>
            </w: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Loss before provision for income taxes (benefit from)</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(26,705)</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(24,936)</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(23,288)</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(18,297)</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(7,658)</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(5,039)</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(7,785)</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(3,692)</w:t>
            </w:r>
          </w:p>
        </w:tc>
      </w:tr>
      <w:tr>
        <w:trPr>
          <w:trHeight w:val="250"/>
        </w:trPr>
        <w:tc>
          <w:tcPr>
            <w:tcW w:w="4000" w:type="dxa"/>
            <w:vAlign w:val="bottom"/>
            <w:shd w:val="clear" w:color="auto" w:fill="CCFFCC"/>
          </w:tcPr>
          <w:p>
            <w:pPr>
              <w:ind w:left="40"/>
              <w:spacing w:after="0"/>
              <w:rPr>
                <w:sz w:val="20"/>
                <w:szCs w:val="20"/>
                <w:color w:val="auto"/>
              </w:rPr>
            </w:pPr>
            <w:r>
              <w:rPr>
                <w:rFonts w:ascii="Arial" w:cs="Arial" w:eastAsia="Arial" w:hAnsi="Arial"/>
                <w:sz w:val="13"/>
                <w:szCs w:val="13"/>
                <w:color w:val="auto"/>
              </w:rPr>
              <w:t>Provision for (benefit from) income taxes</w:t>
            </w:r>
          </w:p>
        </w:tc>
        <w:tc>
          <w:tcPr>
            <w:tcW w:w="12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617</w:t>
            </w:r>
          </w:p>
        </w:tc>
        <w:tc>
          <w:tcPr>
            <w:tcW w:w="14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936</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rPr>
              <w:t>699</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593</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(1,193)</w:t>
            </w:r>
          </w:p>
        </w:tc>
        <w:tc>
          <w:tcPr>
            <w:tcW w:w="10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536</w:t>
            </w:r>
          </w:p>
        </w:tc>
        <w:tc>
          <w:tcPr>
            <w:tcW w:w="100" w:type="dxa"/>
            <w:vAlign w:val="bottom"/>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spacing w:after="0"/>
              <w:rPr>
                <w:sz w:val="21"/>
                <w:szCs w:val="21"/>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(489)</w:t>
            </w:r>
          </w:p>
        </w:tc>
      </w:tr>
      <w:tr>
        <w:trPr>
          <w:trHeight w:val="282"/>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(27,322)</w:t>
            </w:r>
          </w:p>
        </w:tc>
        <w:tc>
          <w:tcPr>
            <w:tcW w:w="14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(25,872)</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(23,987)</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(18,890)</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(6,465)</w:t>
            </w:r>
          </w:p>
        </w:tc>
        <w:tc>
          <w:tcPr>
            <w:tcW w:w="10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(7,043)</w:t>
            </w:r>
          </w:p>
        </w:tc>
        <w:tc>
          <w:tcPr>
            <w:tcW w:w="120" w:type="dxa"/>
            <w:vAlign w:val="bottom"/>
            <w:tcBorders>
              <w:bottom w:val="single" w:sz="8" w:color="CCFFCC"/>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(8,321)</w:t>
            </w:r>
          </w:p>
        </w:tc>
        <w:tc>
          <w:tcPr>
            <w:tcW w:w="10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(3,203)</w:t>
            </w:r>
          </w:p>
        </w:tc>
      </w:tr>
      <w:tr>
        <w:trPr>
          <w:trHeight w:val="265"/>
        </w:trPr>
        <w:tc>
          <w:tcPr>
            <w:tcW w:w="40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Net loss per share of common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(0.43)</w:t>
            </w: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(0.41)</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FFCC"/>
          </w:tcPr>
          <w:p>
            <w:pPr>
              <w:jc w:val="right"/>
              <w:ind w:right="16"/>
              <w:spacing w:after="0"/>
              <w:rPr>
                <w:sz w:val="20"/>
                <w:szCs w:val="20"/>
                <w:color w:val="auto"/>
              </w:rPr>
            </w:pPr>
            <w:r>
              <w:rPr>
                <w:rFonts w:ascii="Arial" w:cs="Arial" w:eastAsia="Arial" w:hAnsi="Arial"/>
                <w:sz w:val="13"/>
                <w:szCs w:val="13"/>
                <w:color w:val="auto"/>
              </w:rPr>
              <w:t>(0.38)</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(0.31)</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(0.11)</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(0.12)</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3"/>
                <w:szCs w:val="13"/>
                <w:color w:val="auto"/>
              </w:rPr>
              <w:t>(0.06)</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tcBorders>
              <w:bottom w:val="single" w:sz="8" w:color="CCFFCC"/>
            </w:tcBorders>
          </w:tcPr>
          <w:p>
            <w:pPr>
              <w:ind w:left="4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(0.43)</w:t>
            </w:r>
          </w:p>
        </w:tc>
        <w:tc>
          <w:tcPr>
            <w:tcW w:w="14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(0.41)</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(0.38)</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(0.31)</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(0.11)</w:t>
            </w:r>
          </w:p>
        </w:tc>
        <w:tc>
          <w:tcPr>
            <w:tcW w:w="10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(0.12)</w:t>
            </w:r>
          </w:p>
        </w:tc>
        <w:tc>
          <w:tcPr>
            <w:tcW w:w="120" w:type="dxa"/>
            <w:vAlign w:val="bottom"/>
            <w:tcBorders>
              <w:bottom w:val="single" w:sz="8" w:color="CCFFC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r>
      <w:tr>
        <w:trPr>
          <w:trHeight w:val="265"/>
        </w:trPr>
        <w:tc>
          <w:tcPr>
            <w:tcW w:w="40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72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8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80" w:type="dxa"/>
            <w:vAlign w:val="bottom"/>
            <w:shd w:val="clear" w:color="auto" w:fill="CCFFCC"/>
          </w:tcPr>
          <w:p>
            <w:pPr>
              <w:spacing w:after="0"/>
              <w:rPr>
                <w:sz w:val="23"/>
                <w:szCs w:val="23"/>
                <w:color w:val="auto"/>
              </w:rPr>
            </w:pPr>
          </w:p>
        </w:tc>
      </w:tr>
      <w:tr>
        <w:trPr>
          <w:trHeight w:val="262"/>
        </w:trPr>
        <w:tc>
          <w:tcPr>
            <w:tcW w:w="4000" w:type="dxa"/>
            <w:vAlign w:val="bottom"/>
          </w:tcPr>
          <w:p>
            <w:pPr>
              <w:ind w:left="40"/>
              <w:spacing w:after="0"/>
              <w:rPr>
                <w:sz w:val="20"/>
                <w:szCs w:val="20"/>
                <w:color w:val="auto"/>
              </w:rPr>
            </w:pPr>
            <w:r>
              <w:rPr>
                <w:rFonts w:ascii="Arial" w:cs="Arial" w:eastAsia="Arial" w:hAnsi="Arial"/>
                <w:sz w:val="13"/>
                <w:szCs w:val="13"/>
                <w:color w:val="auto"/>
              </w:rPr>
              <w:t>Weighted-average shares used to compute net loss per share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4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3"/>
                <w:szCs w:val="13"/>
                <w:color w:val="auto"/>
              </w:rPr>
              <w:t>Basic</w:t>
            </w:r>
          </w:p>
        </w:tc>
        <w:tc>
          <w:tcPr>
            <w:tcW w:w="120" w:type="dxa"/>
            <w:vAlign w:val="bottom"/>
            <w:tcBorders>
              <w:bottom w:val="single" w:sz="8" w:color="auto"/>
            </w:tcBorders>
            <w:shd w:val="clear" w:color="auto" w:fill="CCFFCC"/>
          </w:tcPr>
          <w:p>
            <w:pPr>
              <w:spacing w:after="0"/>
              <w:rPr>
                <w:sz w:val="22"/>
                <w:szCs w:val="22"/>
                <w:color w:val="auto"/>
              </w:rPr>
            </w:pPr>
          </w:p>
        </w:tc>
        <w:tc>
          <w:tcPr>
            <w:tcW w:w="70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6"/>
              </w:rPr>
              <w:t>63,556,205</w:t>
            </w: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9"/>
              </w:rPr>
              <w:t>63,014,802</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720" w:type="dxa"/>
            <w:vAlign w:val="bottom"/>
            <w:tcBorders>
              <w:bottom w:val="single" w:sz="8" w:color="auto"/>
            </w:tcBorders>
            <w:shd w:val="clear" w:color="auto" w:fill="CCFFCC"/>
          </w:tcPr>
          <w:p>
            <w:pPr>
              <w:jc w:val="right"/>
              <w:ind w:right="56"/>
              <w:spacing w:after="0"/>
              <w:rPr>
                <w:sz w:val="20"/>
                <w:szCs w:val="20"/>
                <w:color w:val="auto"/>
              </w:rPr>
            </w:pPr>
            <w:r>
              <w:rPr>
                <w:rFonts w:ascii="Arial" w:cs="Arial" w:eastAsia="Arial" w:hAnsi="Arial"/>
                <w:sz w:val="13"/>
                <w:szCs w:val="13"/>
                <w:color w:val="auto"/>
                <w:w w:val="89"/>
              </w:rPr>
              <w:t>62,350,787</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80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61,422,227</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60,794,252</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60,014,246</w:t>
            </w:r>
          </w:p>
        </w:tc>
        <w:tc>
          <w:tcPr>
            <w:tcW w:w="1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auto"/>
            </w:tcBorders>
            <w:shd w:val="clear" w:color="auto" w:fill="CCFFCC"/>
          </w:tcPr>
          <w:p>
            <w:pPr>
              <w:spacing w:after="0"/>
              <w:rPr>
                <w:sz w:val="22"/>
                <w:szCs w:val="22"/>
                <w:color w:val="auto"/>
              </w:rPr>
            </w:pPr>
          </w:p>
        </w:tc>
        <w:tc>
          <w:tcPr>
            <w:tcW w:w="6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w w:val="86"/>
              </w:rPr>
              <w:t>58,648,195</w:t>
            </w:r>
          </w:p>
        </w:tc>
        <w:tc>
          <w:tcPr>
            <w:tcW w:w="1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780" w:type="dxa"/>
            <w:vAlign w:val="bottom"/>
            <w:tcBorders>
              <w:bottom w:val="single" w:sz="8" w:color="auto"/>
            </w:tcBorders>
            <w:shd w:val="clear" w:color="auto" w:fill="CCFFCC"/>
          </w:tcPr>
          <w:p>
            <w:pPr>
              <w:jc w:val="right"/>
              <w:ind w:right="36"/>
              <w:spacing w:after="0"/>
              <w:rPr>
                <w:sz w:val="20"/>
                <w:szCs w:val="20"/>
                <w:color w:val="auto"/>
              </w:rPr>
            </w:pPr>
            <w:r>
              <w:rPr>
                <w:rFonts w:ascii="Arial" w:cs="Arial" w:eastAsia="Arial" w:hAnsi="Arial"/>
                <w:sz w:val="13"/>
                <w:szCs w:val="13"/>
                <w:color w:val="auto"/>
              </w:rPr>
              <w:t>57,309,707</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3"/>
                <w:szCs w:val="13"/>
                <w:color w:val="auto"/>
              </w:rPr>
              <w:t>Diluted</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6"/>
              </w:rPr>
              <w:t>63,556,205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9"/>
              </w:rPr>
              <w:t>63,014,802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9"/>
              </w:rPr>
              <w:t>62,350,787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61,422,227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60,794,252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60,014,246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6"/>
              </w:rPr>
              <w:t>58,648,195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57,309,707</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December 31,</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20"/>
                <w:szCs w:val="20"/>
                <w:color w:val="auto"/>
              </w:rPr>
            </w:pPr>
          </w:p>
        </w:tc>
        <w:tc>
          <w:tcPr>
            <w:tcW w:w="1300" w:type="dxa"/>
            <w:vAlign w:val="bottom"/>
          </w:tcPr>
          <w:p>
            <w:pPr>
              <w:jc w:val="center"/>
              <w:ind w:right="134"/>
              <w:spacing w:after="0"/>
              <w:rPr>
                <w:sz w:val="20"/>
                <w:szCs w:val="20"/>
                <w:color w:val="auto"/>
              </w:rPr>
            </w:pPr>
            <w:r>
              <w:rPr>
                <w:rFonts w:ascii="Arial" w:cs="Arial" w:eastAsia="Arial" w:hAnsi="Arial"/>
                <w:sz w:val="16"/>
                <w:szCs w:val="16"/>
                <w:b w:val="1"/>
                <w:bCs w:val="1"/>
                <w:color w:val="auto"/>
                <w:w w:val="89"/>
              </w:rPr>
              <w:t>2018</w:t>
            </w:r>
          </w:p>
        </w:tc>
        <w:tc>
          <w:tcPr>
            <w:tcW w:w="40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52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00" w:type="dxa"/>
            <w:vAlign w:val="bottom"/>
            <w:tcBorders>
              <w:top w:val="single" w:sz="8" w:color="auto"/>
            </w:tcBorders>
          </w:tcPr>
          <w:p>
            <w:pPr>
              <w:spacing w:after="0"/>
              <w:rPr>
                <w:sz w:val="4"/>
                <w:szCs w:val="4"/>
                <w:color w:val="auto"/>
              </w:rPr>
            </w:pPr>
          </w:p>
        </w:tc>
        <w:tc>
          <w:tcPr>
            <w:tcW w:w="3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FFCC"/>
            </w:tcBorders>
            <w:gridSpan w:val="3"/>
            <w:shd w:val="clear" w:color="auto" w:fill="CCFFCC"/>
          </w:tcPr>
          <w:p>
            <w:pPr>
              <w:ind w:left="20"/>
              <w:spacing w:after="0"/>
              <w:rPr>
                <w:sz w:val="20"/>
                <w:szCs w:val="20"/>
                <w:color w:val="auto"/>
              </w:rPr>
            </w:pPr>
            <w:r>
              <w:rPr>
                <w:rFonts w:ascii="Arial" w:cs="Arial" w:eastAsia="Arial" w:hAnsi="Arial"/>
                <w:sz w:val="18"/>
                <w:szCs w:val="18"/>
                <w:color w:val="auto"/>
              </w:rPr>
              <w:t>Cash flows (used in) provided by operating activities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(59,158)</w:t>
            </w:r>
          </w:p>
        </w:tc>
        <w:tc>
          <w:tcPr>
            <w:tcW w:w="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FFCC"/>
            </w:tcBorders>
            <w:shd w:val="clear" w:color="auto" w:fill="CCFFCC"/>
          </w:tcPr>
          <w:p>
            <w:pPr>
              <w:jc w:val="right"/>
              <w:ind w:right="54"/>
              <w:spacing w:after="0"/>
              <w:rPr>
                <w:sz w:val="20"/>
                <w:szCs w:val="20"/>
                <w:color w:val="auto"/>
              </w:rPr>
            </w:pPr>
            <w:r>
              <w:rPr>
                <w:rFonts w:ascii="Arial" w:cs="Arial" w:eastAsia="Arial" w:hAnsi="Arial"/>
                <w:sz w:val="18"/>
                <w:szCs w:val="18"/>
                <w:color w:val="auto"/>
              </w:rPr>
              <w:t>4,779</w:t>
            </w:r>
          </w:p>
        </w:tc>
        <w:tc>
          <w:tcPr>
            <w:tcW w:w="40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43"/>
        </w:trPr>
        <w:tc>
          <w:tcPr>
            <w:tcW w:w="6520" w:type="dxa"/>
            <w:vAlign w:val="bottom"/>
            <w:gridSpan w:val="3"/>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(48,506)</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(27,773)</w:t>
            </w:r>
          </w:p>
        </w:tc>
        <w:tc>
          <w:tcPr>
            <w:tcW w:w="4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340" w:type="dxa"/>
            <w:vAlign w:val="bottom"/>
            <w:shd w:val="clear" w:color="auto" w:fill="CCFFCC"/>
          </w:tcPr>
          <w:p>
            <w:pPr>
              <w:spacing w:after="0"/>
              <w:rPr>
                <w:sz w:val="21"/>
                <w:szCs w:val="21"/>
                <w:color w:val="auto"/>
              </w:rPr>
            </w:pPr>
          </w:p>
        </w:tc>
        <w:tc>
          <w:tcPr>
            <w:tcW w:w="1140" w:type="dxa"/>
            <w:vAlign w:val="bottom"/>
            <w:shd w:val="clear" w:color="auto" w:fill="CCFFCC"/>
          </w:tcPr>
          <w:p>
            <w:pPr>
              <w:jc w:val="right"/>
              <w:ind w:right="52"/>
              <w:spacing w:after="0"/>
              <w:rPr>
                <w:sz w:val="20"/>
                <w:szCs w:val="20"/>
                <w:color w:val="auto"/>
              </w:rPr>
            </w:pPr>
            <w:r>
              <w:rPr>
                <w:rFonts w:ascii="Arial" w:cs="Arial" w:eastAsia="Arial" w:hAnsi="Arial"/>
                <w:sz w:val="18"/>
                <w:szCs w:val="18"/>
                <w:color w:val="auto"/>
              </w:rPr>
              <w:t>217,851</w:t>
            </w:r>
          </w:p>
        </w:tc>
        <w:tc>
          <w:tcPr>
            <w:tcW w:w="260" w:type="dxa"/>
            <w:vAlign w:val="bottom"/>
            <w:shd w:val="clear" w:color="auto" w:fill="CCFFCC"/>
          </w:tcPr>
          <w:p>
            <w:pPr>
              <w:spacing w:after="0"/>
              <w:rPr>
                <w:sz w:val="21"/>
                <w:szCs w:val="21"/>
                <w:color w:val="auto"/>
              </w:rPr>
            </w:pPr>
          </w:p>
        </w:tc>
        <w:tc>
          <w:tcPr>
            <w:tcW w:w="130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33,926</w:t>
            </w:r>
          </w:p>
        </w:tc>
        <w:tc>
          <w:tcPr>
            <w:tcW w:w="400" w:type="dxa"/>
            <w:vAlign w:val="bottom"/>
            <w:shd w:val="clear" w:color="auto" w:fill="CCFFCC"/>
          </w:tcPr>
          <w:p>
            <w:pPr>
              <w:spacing w:after="0"/>
              <w:rPr>
                <w:sz w:val="21"/>
                <w:szCs w:val="21"/>
                <w:color w:val="auto"/>
              </w:rPr>
            </w:pPr>
          </w:p>
        </w:tc>
        <w:tc>
          <w:tcPr>
            <w:tcW w:w="112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7"/>
        </w:trPr>
        <w:tc>
          <w:tcPr>
            <w:tcW w:w="20" w:type="dxa"/>
            <w:vAlign w:val="bottom"/>
            <w:shd w:val="clear" w:color="auto" w:fill="CCFFCC"/>
          </w:tcPr>
          <w:p>
            <w:pPr>
              <w:spacing w:after="0"/>
              <w:rPr>
                <w:sz w:val="2"/>
                <w:szCs w:val="2"/>
                <w:color w:val="auto"/>
              </w:rPr>
            </w:pPr>
          </w:p>
        </w:tc>
        <w:tc>
          <w:tcPr>
            <w:tcW w:w="3500" w:type="dxa"/>
            <w:vAlign w:val="bottom"/>
            <w:shd w:val="clear" w:color="auto" w:fill="CCFFCC"/>
          </w:tcPr>
          <w:p>
            <w:pPr>
              <w:spacing w:after="0"/>
              <w:rPr>
                <w:sz w:val="2"/>
                <w:szCs w:val="2"/>
                <w:color w:val="auto"/>
              </w:rPr>
            </w:pPr>
          </w:p>
        </w:tc>
        <w:tc>
          <w:tcPr>
            <w:tcW w:w="300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11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300" w:type="dxa"/>
            <w:vAlign w:val="bottom"/>
            <w:shd w:val="clear" w:color="auto" w:fill="CCFFCC"/>
          </w:tcPr>
          <w:p>
            <w:pPr>
              <w:spacing w:after="0"/>
              <w:rPr>
                <w:sz w:val="2"/>
                <w:szCs w:val="2"/>
                <w:color w:val="auto"/>
              </w:rPr>
            </w:pPr>
          </w:p>
        </w:tc>
        <w:tc>
          <w:tcPr>
            <w:tcW w:w="400" w:type="dxa"/>
            <w:vAlign w:val="bottom"/>
            <w:shd w:val="clear" w:color="auto" w:fill="CCFFCC"/>
          </w:tcPr>
          <w:p>
            <w:pPr>
              <w:spacing w:after="0"/>
              <w:rPr>
                <w:sz w:val="2"/>
                <w:szCs w:val="2"/>
                <w:color w:val="auto"/>
              </w:rPr>
            </w:pPr>
          </w:p>
        </w:tc>
        <w:tc>
          <w:tcPr>
            <w:tcW w:w="1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341" w:right="239" w:bottom="1440" w:gutter="0" w:footer="0" w:header="0"/>
          <w:type w:val="continuous"/>
        </w:sectPr>
      </w:pPr>
    </w:p>
    <w:bookmarkStart w:id="64" w:name="page65"/>
    <w:bookmarkEnd w:id="64"/>
    <w:p>
      <w:pPr>
        <w:jc w:val="both"/>
        <w:ind w:firstLine="648"/>
        <w:spacing w:after="0" w:line="255" w:lineRule="auto"/>
        <w:rPr>
          <w:sz w:val="20"/>
          <w:szCs w:val="20"/>
          <w:color w:val="auto"/>
        </w:rPr>
      </w:pPr>
      <w:r>
        <w:rPr>
          <w:rFonts w:ascii="Arial" w:cs="Arial" w:eastAsia="Arial" w:hAnsi="Arial"/>
          <w:sz w:val="18"/>
          <w:szCs w:val="18"/>
          <w:color w:val="auto"/>
        </w:rPr>
        <w:t>As of December 31, 2019, we had approximately $176.5 million in cash and cash equivalents, an increase of approximately $110.1 million from December 31, 2018. The increase is primarily attributable to cash provided by investing activities relating to issuance of the Notes, as described in Note 7 to the Consolidated Financial Statements, and cash provided by financing activities relating to issuance of common stock and increase in deferred revenue. This was partially offset by purchases of capped calls, as described in Note 7 to the Consolidated Financial Statements, fixed assets for our co-location facilities and capitalization of internally developed software, and debt issuance costs, as well as decreases in accrued expenses and accounts payable and increases in prepaid expenses and accounts receivable.</w:t>
      </w:r>
    </w:p>
    <w:p>
      <w:pPr>
        <w:spacing w:after="0" w:line="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cash used in operating activities was $59.2 million in the year ended December 31, 2019. Our net loss was $96.1 million, which includes the effect of non-cash expenses related to stock-based compensation, amortization of purchased intangibles, depreciation, and provision for doubtful accounts as well as increases in deferred revenue due to more of our customers moving to cash payments in advance on annual billings and in accounts payable and accrued expenses. This was partially offset by increases in prepaid expenses and other current assets and accounts receivable and decrease in deferred tax liability. Net cash provided by operating activities was $4.8 million in the year ended December 31, 2018. Our net loss was $25.0 million, but that net loss was impacted by non-cash expenses related to stock-based compensation, amortization of purchased intangibles, depreciation, and provision for doubtful accounts. Furthermore, there were increases in deferred revenue due to more of our customers moving to cash payments in advance on annual billings and accrued expenses. This was partially offset by increases in accounts receivable and prepaid expenses and other current assets and decreases in accounts payable and deferred tax liability.</w:t>
      </w:r>
    </w:p>
    <w:p>
      <w:pPr>
        <w:spacing w:after="0" w:line="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used in investing activities was $48.5 million in the year ended December 31, 2019 and consisted primarily of the purchase of fixed assets for our co-location facilities and capitalization of internally developed software. Net cash used in investing activities was $27.8 million in the year ended December 31, 2018 due primarily to the purchase of fixed assets for our co-location facilities, acquisitions and purchases of intangibles. See Note 8 of the Notes to Consolidated Financial Statements for further details on acquisitions. This was partially offset by a decrease in cash held as collateral.</w:t>
      </w:r>
    </w:p>
    <w:p>
      <w:pPr>
        <w:spacing w:after="0" w:line="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provided by financing activities was $217.9 million in the year ended December 31, 2019 and consisted primarily of proceeds from issuance of the Notes and proceeds from issuance of common stock in connection with the exercise of stock options by employees. This was partially offset by purchases of capped calls, debt issuance costs, and repurchase of our common stock. The net proceeds of the Notes was approximately $221.4 million, after deducting initial purchaser debt issuance costs paid or payable by us, from issuance of the Notes, as described in Note 7 to the Consolidated Financial Statements. Net cash provided by financing activities was $33.9 million in the year ended December 31, 2018 and consisted primarily of the proceeds from the issuance of common stock in connection with the exercise of stock options offset partially by the repurchase of our common stock.</w:t>
      </w:r>
    </w:p>
    <w:p>
      <w:pPr>
        <w:spacing w:after="0" w:line="2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years ended December 31, 2019, 2018 and 2017, was approximately $13.0 million, $10.9 million and $9.9 million, respectively.</w:t>
      </w:r>
    </w:p>
    <w:p>
      <w:pPr>
        <w:spacing w:after="0" w:line="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2019, our principal commitments were approximately $22.0 million under various operating leases, of which approximately $7.8 million is due in 2020. We currently expect that our principal commitments for the year ending December 31, 2020 will not exceed approximately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December 31, 2019 are summarized as follows (amounts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4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Less Than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More Than</w:t>
            </w:r>
          </w:p>
        </w:tc>
      </w:tr>
      <w:tr>
        <w:trPr>
          <w:trHeight w:val="234"/>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1 Year</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1 – 3 Years</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 5 Years</w:t>
            </w:r>
          </w:p>
        </w:tc>
        <w:tc>
          <w:tcPr>
            <w:tcW w:w="16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10,276</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864</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10,276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864</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capital expenditures in 2019 were approximately $47.6 million, primarily related to software capitalization and to the continued expansion of our co-location facilities. Our total capital expenditures are not currently expected to exceed $45.7 million in 2020. We anticipate that our current cash and cash equivalents and cash from operations will be sufficient to fund these capital expenditures.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spacing w:after="0" w:line="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have agreements whereby our executive officers and directors are indemnified for certain events or occurrences while the officer or director is, or was serving, at our request in such capacity.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2019.</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all of our significant accounting policies, see Note 1 of the Notes to Consolidated Financial Statements under Item 8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our services. Revenues are recognized when control of these services is transferred to our customers, in an amount that reflects the consideration we expect to be entitled to in exchange for those services.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360" w:hanging="2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revenue of $291.6 million, $249.8 million, and $218.9 million was recognized during the years ended December 31, 2019, December 31, 2018 and December 31,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4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Hosted Services Business revenue is reported at the amount that reflects the ultimate consideration expected to be received and primarily consist of fees that provide customers access to LiveEngage, our enterprise-class, cloud-based platform.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There is no significant variable consideration related to these arrangements.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in accordance with ASC-606, ‘‘Principal Agent Considerations,’’ we act as a principal in a transaction if we control the specified goods or services before they are transferred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revenue is recognized at an amount net of Expert fees in accordance with ASC 606, “Principal Agent Considerations,” due primarily to the fact that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there was approximately $22.7 million of total unrecognized compensation cost related to nonvested stock options. That cost is expected to be recognized over a weighted average period of approximately 2.4 years. As of December 31, 2019, there was approximately $76.2 million of total unrecognized compensation cost related to nonvested restricted stock units. That cost is expected to be recognized over a weighted average period of approximately 2.8 years.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99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2019, 2018 or 2017. Two customers exceeded 10% or our total accounts receivable in 2019. No single customer accounted for or exceeded 10% of our total accounts receivable in 2018 or in 2017. During 2019, we increased our allowance for doubtful accounts from $2.3 million to approximately $3.1 million. A large proportion of receivables are due from larger corporate customers that typically have longer payment cycles.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record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w:t>
      </w:r>
    </w:p>
    <w:p>
      <w:pPr>
        <w:spacing w:after="0" w:line="73"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We perform testing for impairment of goodwill in our third quarter, or as events occur or circumstances change that would more likely than not reduce the fair value of our reporting units below their carrying amounts. A qualitative assessment is first made to determine whether it is necessary to perform the two-step quantitative goodwill impairment test. This initial qualitative assessment includes, among other things, consideration of: (i) our market capitalization,</w:t>
      </w:r>
    </w:p>
    <w:p>
      <w:pPr>
        <w:jc w:val="both"/>
        <w:ind w:firstLine="8"/>
        <w:spacing w:after="0" w:line="269" w:lineRule="auto"/>
        <w:tabs>
          <w:tab w:leader="none" w:pos="278"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analysis will be performed, involving a comparison between the estimated fair values of our reporting unit with our respective carrying amount including goodwill. If the carrying value exceeds estimated fair value, there is an indication of potential impairment, and a third analysis is performed to measure the amount of impairment. The third analysis involves calculating an implied fair value of goodwill by measuring the excess of the estimated fair value of the reporting unit over the aggregate estimated fair values of the individual assets less liabilities. If the carrying value of goodwill exceeds the implied fair value of goodwill, an impairment charge is recorded for the excess.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evaluate for goodwill impairment annually at the end of the third quarter. At the end of the third quarter of 2019 and 2018 we determined that it was not more likely than not that the fair value of the reporting units was less than our carrying amount. Accordingly, we did not perform the two-step goodwill impairment test.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 There were no impairments for the years ended December 31, 2019, 2018, and 2017.</w:t>
      </w:r>
    </w:p>
    <w:p>
      <w:pPr>
        <w:spacing w:after="0" w:line="394"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Income Taxes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990" w:right="239" w:bottom="1440" w:gutter="0" w:footer="0" w:header="0"/>
        </w:sectPr>
      </w:pPr>
    </w:p>
    <w:bookmarkStart w:id="68" w:name="page69"/>
    <w:bookmarkEnd w:id="68"/>
    <w:p>
      <w:pPr>
        <w:jc w:val="both"/>
        <w:ind w:firstLine="648"/>
        <w:spacing w:after="0" w:line="287"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We recorded a valuation allowance as we considered our cumulative loss in recent years as a significant piece of negative evidence. During the year ended December 31, 2019, there was a reduction in the valuation allowance of $19.1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under Item 8 of this Annual Report on Form 10-K for additional information on our legal proceedings and litigation.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the Notes to Consolidated Financial Statements for a full description of 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the Notes to Consolidated Financial Statements for a full description of recently adopted accounting pronouncements.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Rate Fluctuations</w:t>
      </w:r>
    </w:p>
    <w:p>
      <w:pPr>
        <w:spacing w:after="0" w:line="1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the scope of our Israeli operations, there is currency rate fluctuation risk associated with the exchange rate movement of the U.S. dollar against the New Israeli Shekel (“NIS”). For the year ended December 31, 2019, the U.S dollar appreciated as compared to the NIS by an average of 1% as compared to December 31, 2018. For the year ended December 31, 2019, expenses generated by our Israeli operations totaled approximately $65.9 million. Based on our exposure to NIS exchange rate fluctuation against a dollar as of December 31, 2018, a 1% increase or decrease in the value of the NIS would increase or decrease our income before income taxes by approximately $0.7 million.</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Risk</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2019, we increased our allowance for doubtful accounts from 2.3 million to approximately 3.1 million. During 2018, we increased our allowance for doubtful accounts by approximately 1.3 million to approximately 2.3 million.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99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Rate Risk</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98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60" w:type="dxa"/>
            <w:vAlign w:val="bottom"/>
          </w:tcPr>
          <w:p>
            <w:pPr>
              <w:spacing w:after="0"/>
              <w:rPr>
                <w:sz w:val="20"/>
                <w:szCs w:val="20"/>
                <w:color w:val="auto"/>
              </w:rPr>
            </w:pPr>
          </w:p>
        </w:tc>
        <w:tc>
          <w:tcPr>
            <w:tcW w:w="136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7"/>
        </w:trPr>
        <w:tc>
          <w:tcPr>
            <w:tcW w:w="10060" w:type="dxa"/>
            <w:vAlign w:val="bottom"/>
            <w:tcBorders>
              <w:bottom w:val="single" w:sz="8" w:color="CCFFC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06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Report of BDO USA, LLP, An Independent Registered Public Accounting Firm</w:t>
            </w:r>
          </w:p>
        </w:tc>
        <w:tc>
          <w:tcPr>
            <w:tcW w:w="1360" w:type="dxa"/>
            <w:vAlign w:val="bottom"/>
            <w:gridSpan w:val="3"/>
            <w:shd w:val="clear" w:color="auto" w:fill="CCFFCC"/>
          </w:tcPr>
          <w:p>
            <w:pPr>
              <w:jc w:val="right"/>
              <w:ind w:right="20"/>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68</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2019 and 2018</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Operations for each of the years ended December 31, 2019, 2018 and 2017</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for each of the years ended December 31, 2019, 2018 and 2017</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for each of the years ended December 31, 2019, 2018 and 2017</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r>
      <w:tr>
        <w:trPr>
          <w:trHeight w:val="48"/>
        </w:trPr>
        <w:tc>
          <w:tcPr>
            <w:tcW w:w="10060" w:type="dxa"/>
            <w:vAlign w:val="bottom"/>
            <w:tcBorders>
              <w:top w:val="single" w:sz="8" w:color="CCFFCC"/>
            </w:tcBorders>
            <w:shd w:val="clear" w:color="auto" w:fill="CCFFCC"/>
          </w:tcPr>
          <w:p>
            <w:pPr>
              <w:spacing w:after="0"/>
              <w:rPr>
                <w:sz w:val="4"/>
                <w:szCs w:val="4"/>
                <w:color w:val="auto"/>
              </w:rPr>
            </w:pPr>
          </w:p>
        </w:tc>
        <w:tc>
          <w:tcPr>
            <w:tcW w:w="1160" w:type="dxa"/>
            <w:vAlign w:val="bottom"/>
            <w:tcBorders>
              <w:top w:val="single" w:sz="8" w:color="CCFFCC"/>
            </w:tcBorders>
            <w:shd w:val="clear" w:color="auto" w:fill="CCFFCC"/>
          </w:tcPr>
          <w:p>
            <w:pPr>
              <w:spacing w:after="0"/>
              <w:rPr>
                <w:sz w:val="4"/>
                <w:szCs w:val="4"/>
                <w:color w:val="auto"/>
              </w:rPr>
            </w:pPr>
          </w:p>
        </w:tc>
        <w:tc>
          <w:tcPr>
            <w:tcW w:w="180" w:type="dxa"/>
            <w:vAlign w:val="bottom"/>
            <w:tcBorders>
              <w:top w:val="single" w:sz="8" w:color="0000EE"/>
            </w:tcBorders>
            <w:shd w:val="clear" w:color="auto" w:fill="CCFFCC"/>
          </w:tcPr>
          <w:p>
            <w:pPr>
              <w:spacing w:after="0"/>
              <w:rPr>
                <w:sz w:val="4"/>
                <w:szCs w:val="4"/>
                <w:color w:val="auto"/>
              </w:rPr>
            </w:pPr>
          </w:p>
        </w:tc>
        <w:tc>
          <w:tcPr>
            <w:tcW w:w="20" w:type="dxa"/>
            <w:vAlign w:val="bottom"/>
            <w:tcBorders>
              <w:top w:val="single" w:sz="8" w:color="CCFFCC"/>
            </w:tcBorders>
            <w:shd w:val="clear" w:color="auto" w:fill="CCFFCC"/>
          </w:tcPr>
          <w:p>
            <w:pPr>
              <w:spacing w:after="0"/>
              <w:rPr>
                <w:sz w:val="4"/>
                <w:szCs w:val="4"/>
                <w:color w:val="auto"/>
              </w:rPr>
            </w:pPr>
          </w:p>
        </w:tc>
      </w:tr>
      <w:tr>
        <w:trPr>
          <w:trHeight w:val="203"/>
        </w:trPr>
        <w:tc>
          <w:tcPr>
            <w:tcW w:w="100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ended December 31, 2019, 2018 and 2017</w:t>
            </w:r>
          </w:p>
        </w:tc>
        <w:tc>
          <w:tcPr>
            <w:tcW w:w="1360" w:type="dxa"/>
            <w:vAlign w:val="bottom"/>
            <w:gridSpan w:val="3"/>
          </w:tcPr>
          <w:p>
            <w:pPr>
              <w:jc w:val="right"/>
              <w:ind w:right="2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r>
      <w:tr>
        <w:trPr>
          <w:trHeight w:val="48"/>
        </w:trPr>
        <w:tc>
          <w:tcPr>
            <w:tcW w:w="10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06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360" w:type="dxa"/>
            <w:vAlign w:val="bottom"/>
            <w:gridSpan w:val="3"/>
            <w:shd w:val="clear" w:color="auto" w:fill="CCFFCC"/>
          </w:tcPr>
          <w:p>
            <w:pPr>
              <w:jc w:val="right"/>
              <w:ind w:right="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r>
      <w:tr>
        <w:trPr>
          <w:trHeight w:val="432"/>
        </w:trPr>
        <w:tc>
          <w:tcPr>
            <w:tcW w:w="10060" w:type="dxa"/>
            <w:vAlign w:val="bottom"/>
            <w:tcBorders>
              <w:top w:val="single" w:sz="8" w:color="CCFFCC"/>
            </w:tcBorders>
          </w:tcPr>
          <w:p>
            <w:pPr>
              <w:ind w:left="5620"/>
              <w:spacing w:after="0"/>
              <w:rPr>
                <w:sz w:val="20"/>
                <w:szCs w:val="20"/>
                <w:color w:val="auto"/>
              </w:rPr>
            </w:pPr>
            <w:r>
              <w:rPr>
                <w:rFonts w:ascii="Arial" w:cs="Arial" w:eastAsia="Arial" w:hAnsi="Arial"/>
                <w:sz w:val="18"/>
                <w:szCs w:val="18"/>
                <w:color w:val="auto"/>
              </w:rPr>
              <w:t>67</w:t>
            </w:r>
          </w:p>
        </w:tc>
        <w:tc>
          <w:tcPr>
            <w:tcW w:w="116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1" w:name="page72"/>
    <w:bookmarkEnd w:id="71"/>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LivePerson, Inc. and subsidiaries (the “Company”) as of December 31, 2019 and 2018, the related consolidated statements of operations, comprehensive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accounting principles generally accepted in the United States of America.</w:t>
      </w:r>
    </w:p>
    <w:p>
      <w:pPr>
        <w:spacing w:after="0" w:line="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March 2, 2020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January 1, 2019, the Company changed its method of accounting for leases due to the adoption of Accounting Standards Codification Topic 842, Leases. The effects of the adoption are described in Note 1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Contracts with Multiple Performance Obligations</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described in Note 1 to the Company’s consolidated financial statements, certain of the Company’s revenue contracts contain multiple performance obligations primarily relating to the sale of hosted subscription and professional services. For these revenue contracts, the Company accounts for the individual performance obligations separately if they are distinct. The transaction price is allocated to the performance obligations based on their relative standalone selling prices.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7" w:right="239" w:bottom="1440" w:gutter="0" w:footer="0" w:header="0"/>
        </w:sectPr>
      </w:pPr>
    </w:p>
    <w:bookmarkStart w:id="72" w:name="page73"/>
    <w:bookmarkEnd w:id="72"/>
    <w:p>
      <w:pPr>
        <w:jc w:val="both"/>
        <w:ind w:firstLine="648"/>
        <w:spacing w:after="0" w:line="319" w:lineRule="auto"/>
        <w:rPr>
          <w:sz w:val="20"/>
          <w:szCs w:val="20"/>
          <w:color w:val="auto"/>
        </w:rPr>
      </w:pPr>
      <w:r>
        <w:rPr>
          <w:rFonts w:ascii="Arial" w:cs="Arial" w:eastAsia="Arial" w:hAnsi="Arial"/>
          <w:sz w:val="16"/>
          <w:szCs w:val="16"/>
          <w:color w:val="auto"/>
        </w:rPr>
        <w:t>We identified revenue recognition related to contracts that contain multiple performance obligations as a critical audit matter. The determination of whether multiple services within a contract are distinct performance obligations that should be accounted for separately and the estimates of the standalone selling price for each distinct performance obligation require management to exercise significant judgment that includes a high degree of subjectivity. Auditing these elements involved especially challenging auditor judgment due to the nature and extent of audit effort required to address these matters.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44" w:lineRule="exact"/>
        <w:rPr>
          <w:sz w:val="20"/>
          <w:szCs w:val="20"/>
          <w:color w:val="auto"/>
        </w:rPr>
      </w:pPr>
    </w:p>
    <w:p>
      <w:pPr>
        <w:ind w:left="660" w:hanging="328"/>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Testing the design and operating effectiveness of certain controls relating to management’s determination of standalone selling prices for each of the performance obligations.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Evaluating management’s technical accounting positions and assessing the reasonableness of management’s judgments and assumptions in the determination of whether the products and services are distinct performance obligations and the determination of the standalone selling prices for each of the performance obligations.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Testing the reasonableness of the identification of distinct performance obligations and determination of the standalone selling prices through review of a sample of revenue contracts and other relevant supporting details and testing the completeness and accuracy of the underlying supporting details.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Note 7 to the consolidated financial statements, the Company issued $230.0 million aggregate principal amount of 0.75% Convertible Senior Notes (the “Notes”) in a private placement in 2019. 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determined by deducting the fair value of the liability component from the par value of the Notes.</w:t>
      </w:r>
    </w:p>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identified the accounting evaluation, including the related fair value determinations, of the Notes as a critical audit matter. The principal considerations for our determination were: (i) the evaluation of the potential derivatives that needed to be bifurcated, and (ii) considerations related to determination of the fair value of the Notes and the conversion option including complex valuation models and assumptions utilized by management. Auditing these elements involved especially challenging auditor judgment due to the nature and extent of audit effort required to address these matters, including the extent of specialized skill or knowledge needed.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jc w:val="both"/>
        <w:ind w:left="660" w:right="20" w:hanging="328"/>
        <w:spacing w:after="0" w:line="25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Utilizing personnel with specialized knowledge and skill in technical accounting to assist in: (i) evaluating the relevant terms and conditions of the Notes’ agreements, and (ii) assessing the appropriateness of conclusions reached by the Company with respect to the accounting for the Notes and identification, assessment and accounting for potential derivatives.</w:t>
      </w:r>
    </w:p>
    <w:p>
      <w:pPr>
        <w:ind w:left="660" w:hanging="328"/>
        <w:spacing w:after="0" w:line="290"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Utilizing personnel with specialized knowledge and skill in valuation to assist in assessing the appropriateness of the complex valuation models utilized by management to determine the fair value of the Notes and assessing complex assumptions incorporated into the valuation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55" w:right="239" w:bottom="1440" w:gutter="0" w:footer="0" w:header="0"/>
        </w:sectPr>
      </w:pPr>
    </w:p>
    <w:bookmarkStart w:id="73" w:name="page74"/>
    <w:bookmarkEnd w:id="73"/>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3"/>
          </w:tcPr>
          <w:p>
            <w:pPr>
              <w:jc w:val="right"/>
              <w:ind w:right="134"/>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8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3"/>
        </w:trPr>
        <w:tc>
          <w:tcPr>
            <w:tcW w:w="8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2018</w:t>
            </w:r>
          </w:p>
        </w:tc>
        <w:tc>
          <w:tcPr>
            <w:tcW w:w="640" w:type="dxa"/>
            <w:vAlign w:val="bottom"/>
          </w:tcPr>
          <w:p>
            <w:pPr>
              <w:spacing w:after="0"/>
              <w:rPr>
                <w:sz w:val="15"/>
                <w:szCs w:val="15"/>
                <w:color w:val="auto"/>
              </w:rPr>
            </w:pPr>
          </w:p>
        </w:tc>
      </w:tr>
      <w:tr>
        <w:trPr>
          <w:trHeight w:val="217"/>
        </w:trPr>
        <w:tc>
          <w:tcPr>
            <w:tcW w:w="8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(as revised) (Note 1)</w:t>
            </w:r>
          </w:p>
        </w:tc>
      </w:tr>
      <w:tr>
        <w:trPr>
          <w:trHeight w:val="33"/>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176,523</w:t>
            </w:r>
          </w:p>
        </w:tc>
        <w:tc>
          <w:tcPr>
            <w:tcW w:w="740" w:type="dxa"/>
            <w:vAlign w:val="bottom"/>
            <w:tcBorders>
              <w:bottom w:val="single" w:sz="8" w:color="CCFFCC"/>
            </w:tcBorders>
            <w:gridSpan w:val="2"/>
            <w:shd w:val="clear" w:color="auto" w:fill="CCFFCC"/>
          </w:tcPr>
          <w:p>
            <w:pPr>
              <w:jc w:val="right"/>
              <w:ind w:right="434"/>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66,449</w:t>
            </w:r>
          </w:p>
        </w:tc>
      </w:tr>
      <w:tr>
        <w:trPr>
          <w:trHeight w:val="229"/>
        </w:trPr>
        <w:tc>
          <w:tcPr>
            <w:tcW w:w="8080" w:type="dxa"/>
            <w:vAlign w:val="bottom"/>
          </w:tcPr>
          <w:p>
            <w:pPr>
              <w:ind w:left="200"/>
              <w:spacing w:after="0"/>
              <w:rPr>
                <w:sz w:val="20"/>
                <w:szCs w:val="20"/>
                <w:color w:val="auto"/>
              </w:rPr>
            </w:pPr>
            <w:r>
              <w:rPr>
                <w:rFonts w:ascii="Arial" w:cs="Arial" w:eastAsia="Arial" w:hAnsi="Arial"/>
                <w:sz w:val="18"/>
                <w:szCs w:val="18"/>
                <w:color w:val="auto"/>
                <w:w w:val="97"/>
              </w:rPr>
              <w:t>Accounts receivable, net of allowance for doubtful accounts of $3,070 and $2,276, in 2019 and 2018,</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80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87,620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46,023</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13,964</w:t>
            </w:r>
          </w:p>
        </w:tc>
        <w:tc>
          <w:tcPr>
            <w:tcW w:w="10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9,252</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278,107</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121,724</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Operating lease right of use asset</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15,680</w:t>
            </w: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76,236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43,735</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Contract acquisition costs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31,965</w:t>
            </w:r>
          </w:p>
        </w:tc>
        <w:tc>
          <w:tcPr>
            <w:tcW w:w="100" w:type="dxa"/>
            <w:vAlign w:val="bottom"/>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13,361</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13,832</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94,987</w:t>
            </w: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95,031</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713</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1,707</w:t>
            </w:r>
          </w:p>
        </w:tc>
      </w:tr>
      <w:tr>
        <w:trPr>
          <w:trHeight w:val="297"/>
        </w:trPr>
        <w:tc>
          <w:tcPr>
            <w:tcW w:w="8080" w:type="dxa"/>
            <w:vAlign w:val="bottom"/>
            <w:tcBorders>
              <w:bottom w:val="single" w:sz="8" w:color="CCFFCC"/>
            </w:tcBorders>
          </w:tcPr>
          <w:p>
            <w:pPr>
              <w:ind w:left="360"/>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512,710</w:t>
            </w:r>
          </w:p>
        </w:tc>
        <w:tc>
          <w:tcPr>
            <w:tcW w:w="100" w:type="dxa"/>
            <w:vAlign w:val="bottom"/>
            <w:tcBorders>
              <w:bottom w:val="single" w:sz="8" w:color="CCFFCC"/>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290,103</w:t>
            </w:r>
          </w:p>
        </w:tc>
      </w:tr>
      <w:tr>
        <w:trPr>
          <w:trHeight w:val="284"/>
        </w:trPr>
        <w:tc>
          <w:tcPr>
            <w:tcW w:w="8080" w:type="dxa"/>
            <w:vAlign w:val="bottom"/>
            <w:shd w:val="clear" w:color="auto" w:fill="CCFFCC"/>
          </w:tcPr>
          <w:p>
            <w:pPr>
              <w:spacing w:after="0"/>
              <w:rPr>
                <w:sz w:val="24"/>
                <w:szCs w:val="24"/>
                <w:color w:val="auto"/>
              </w:rPr>
            </w:pPr>
          </w:p>
        </w:tc>
        <w:tc>
          <w:tcPr>
            <w:tcW w:w="46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4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640" w:type="dxa"/>
            <w:vAlign w:val="bottom"/>
            <w:shd w:val="clear" w:color="auto" w:fill="CCFFCC"/>
          </w:tcPr>
          <w:p>
            <w:pPr>
              <w:spacing w:after="0"/>
              <w:rPr>
                <w:sz w:val="24"/>
                <w:szCs w:val="24"/>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12,302</w:t>
            </w:r>
          </w:p>
        </w:tc>
        <w:tc>
          <w:tcPr>
            <w:tcW w:w="740" w:type="dxa"/>
            <w:vAlign w:val="bottom"/>
            <w:gridSpan w:val="2"/>
          </w:tcPr>
          <w:p>
            <w:pPr>
              <w:jc w:val="right"/>
              <w:ind w:right="43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8,174</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62,778</w:t>
            </w: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50,662</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88,751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55,015</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Operating lease liability</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6,602</w:t>
            </w:r>
          </w:p>
        </w:tc>
        <w:tc>
          <w:tcPr>
            <w:tcW w:w="10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170,433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113,851</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Convertible senior notes, net</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179,012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4,205</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Operating lease liability, net of current portion</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12,865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Deferred tax liability</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1,096</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364,175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119,374</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91"/>
        </w:trPr>
        <w:tc>
          <w:tcPr>
            <w:tcW w:w="8080" w:type="dxa"/>
            <w:vAlign w:val="bottom"/>
            <w:shd w:val="clear" w:color="auto" w:fill="CCFFCC"/>
          </w:tcPr>
          <w:p>
            <w:pPr>
              <w:spacing w:after="0"/>
              <w:rPr>
                <w:sz w:val="24"/>
                <w:szCs w:val="24"/>
                <w:color w:val="auto"/>
              </w:rPr>
            </w:pPr>
          </w:p>
        </w:tc>
        <w:tc>
          <w:tcPr>
            <w:tcW w:w="46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64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640" w:type="dxa"/>
            <w:vAlign w:val="bottom"/>
            <w:shd w:val="clear" w:color="auto" w:fill="CCFFCC"/>
          </w:tcPr>
          <w:p>
            <w:pPr>
              <w:spacing w:after="0"/>
              <w:rPr>
                <w:sz w:val="24"/>
                <w:szCs w:val="24"/>
                <w:color w:val="auto"/>
              </w:rPr>
            </w:pP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Commitments and contingencies (See Note 9)</w:t>
            </w: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STOCKHOLDERS' EQUITY:</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Preferred stock, $0.001 par value - 5,000,000 shares authorized, none issued</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80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7"/>
              </w:rPr>
              <w:t>Common stock, $0.001 par value - 200,000,000 and 100,000,000 shares authorized, 66,543,073 and</w:t>
            </w:r>
          </w:p>
        </w:tc>
        <w:tc>
          <w:tcPr>
            <w:tcW w:w="4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640" w:type="dxa"/>
            <w:vAlign w:val="bottom"/>
            <w:shd w:val="clear" w:color="auto" w:fill="CCFFCC"/>
          </w:tcPr>
          <w:p>
            <w:pPr>
              <w:spacing w:after="0"/>
              <w:rPr>
                <w:sz w:val="19"/>
                <w:szCs w:val="19"/>
                <w:color w:val="auto"/>
              </w:rPr>
            </w:pPr>
          </w:p>
        </w:tc>
      </w:tr>
      <w:tr>
        <w:trPr>
          <w:trHeight w:val="216"/>
        </w:trPr>
        <w:tc>
          <w:tcPr>
            <w:tcW w:w="8080" w:type="dxa"/>
            <w:vAlign w:val="bottom"/>
            <w:shd w:val="clear" w:color="auto" w:fill="CCFFCC"/>
          </w:tcPr>
          <w:p>
            <w:pPr>
              <w:ind w:left="200"/>
              <w:spacing w:after="0"/>
              <w:rPr>
                <w:sz w:val="20"/>
                <w:szCs w:val="20"/>
                <w:color w:val="auto"/>
              </w:rPr>
            </w:pPr>
            <w:r>
              <w:rPr>
                <w:rFonts w:ascii="Arial" w:cs="Arial" w:eastAsia="Arial" w:hAnsi="Arial"/>
                <w:sz w:val="18"/>
                <w:szCs w:val="18"/>
                <w:color w:val="auto"/>
                <w:w w:val="90"/>
              </w:rPr>
              <w:t>63,676,229 shares issued, and 63,833,243 and 60,994,944 shares outstanding as of December 31, 2019 and</w:t>
            </w:r>
          </w:p>
        </w:tc>
        <w:tc>
          <w:tcPr>
            <w:tcW w:w="4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r>
      <w:tr>
        <w:trPr>
          <w:trHeight w:val="237"/>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2018, respectively</w:t>
            </w:r>
          </w:p>
        </w:tc>
        <w:tc>
          <w:tcPr>
            <w:tcW w:w="46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436,557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362,590</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Treasury stock, at cost; 2,709,830 and 2,681,285 shares respectively</w:t>
            </w:r>
          </w:p>
        </w:tc>
        <w:tc>
          <w:tcPr>
            <w:tcW w:w="46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0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(283,562)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(187,491)</w:t>
            </w:r>
          </w:p>
        </w:tc>
      </w:tr>
      <w:tr>
        <w:trPr>
          <w:trHeight w:val="27"/>
        </w:trPr>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(4,431)</w:t>
            </w:r>
          </w:p>
        </w:tc>
      </w:tr>
      <w:tr>
        <w:trPr>
          <w:trHeight w:val="237"/>
        </w:trPr>
        <w:tc>
          <w:tcPr>
            <w:tcW w:w="808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148,535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170,729</w:t>
            </w:r>
          </w:p>
        </w:tc>
      </w:tr>
      <w:tr>
        <w:trPr>
          <w:trHeight w:val="27"/>
        </w:trPr>
        <w:tc>
          <w:tcPr>
            <w:tcW w:w="8080" w:type="dxa"/>
            <w:vAlign w:val="bottom"/>
            <w:tcBorders>
              <w:bottom w:val="single" w:sz="8" w:color="CCFFC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80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512,710</w:t>
            </w:r>
          </w:p>
        </w:tc>
        <w:tc>
          <w:tcPr>
            <w:tcW w:w="740" w:type="dxa"/>
            <w:vAlign w:val="bottom"/>
            <w:gridSpan w:val="2"/>
            <w:shd w:val="clear" w:color="auto" w:fill="CCFFCC"/>
          </w:tcPr>
          <w:p>
            <w:pPr>
              <w:jc w:val="right"/>
              <w:ind w:right="274"/>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290,103</w:t>
            </w:r>
          </w:p>
        </w:tc>
      </w:tr>
      <w:tr>
        <w:trPr>
          <w:trHeight w:val="20"/>
        </w:trPr>
        <w:tc>
          <w:tcPr>
            <w:tcW w:w="808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37"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6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LIVEPERSON, INC.</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06"/>
        </w:trPr>
        <w:tc>
          <w:tcPr>
            <w:tcW w:w="3080" w:type="dxa"/>
            <w:vAlign w:val="bottom"/>
          </w:tcPr>
          <w:p>
            <w:pPr>
              <w:spacing w:after="0"/>
              <w:rPr>
                <w:sz w:val="24"/>
                <w:szCs w:val="24"/>
                <w:color w:val="auto"/>
              </w:rPr>
            </w:pPr>
          </w:p>
        </w:tc>
        <w:tc>
          <w:tcPr>
            <w:tcW w:w="51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CONSOLIDATED STATEMENTS OF OPERATIONS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62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rPr>
              <w:t>(IN THOUSANDS, EXCEPT SHARE AND PER SHARE DATA)</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2"/>
        </w:trPr>
        <w:tc>
          <w:tcPr>
            <w:tcW w:w="3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90"/>
              </w:rPr>
              <w:t>Year Ended December 31,</w:t>
            </w:r>
          </w:p>
        </w:tc>
        <w:tc>
          <w:tcPr>
            <w:tcW w:w="1140" w:type="dxa"/>
            <w:vAlign w:val="bottom"/>
          </w:tcPr>
          <w:p>
            <w:pPr>
              <w:spacing w:after="0"/>
              <w:rPr>
                <w:sz w:val="24"/>
                <w:szCs w:val="24"/>
                <w:color w:val="auto"/>
              </w:rPr>
            </w:pPr>
          </w:p>
        </w:tc>
      </w:tr>
      <w:tr>
        <w:trPr>
          <w:trHeight w:val="33"/>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0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2017</w:t>
            </w:r>
          </w:p>
        </w:tc>
      </w:tr>
      <w:tr>
        <w:trPr>
          <w:trHeight w:val="33"/>
        </w:trPr>
        <w:tc>
          <w:tcPr>
            <w:tcW w:w="3080" w:type="dxa"/>
            <w:vAlign w:val="bottom"/>
            <w:tcBorders>
              <w:bottom w:val="single" w:sz="8" w:color="CCFFCC"/>
            </w:tcBorders>
          </w:tcPr>
          <w:p>
            <w:pPr>
              <w:spacing w:after="0"/>
              <w:rPr>
                <w:sz w:val="2"/>
                <w:szCs w:val="2"/>
                <w:color w:val="auto"/>
              </w:rPr>
            </w:pPr>
          </w:p>
        </w:tc>
        <w:tc>
          <w:tcPr>
            <w:tcW w:w="36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4020" w:type="dxa"/>
            <w:vAlign w:val="bottom"/>
            <w:tcBorders>
              <w:bottom w:val="single" w:sz="8" w:color="CCFFCC"/>
            </w:tcBorders>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291,609</w:t>
            </w:r>
          </w:p>
        </w:tc>
        <w:tc>
          <w:tcPr>
            <w:tcW w:w="500" w:type="dxa"/>
            <w:vAlign w:val="bottom"/>
            <w:tcBorders>
              <w:bottom w:val="single" w:sz="8" w:color="CCFFCC"/>
            </w:tcBorders>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249,838</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218,876</w:t>
            </w:r>
          </w:p>
        </w:tc>
      </w:tr>
      <w:tr>
        <w:trPr>
          <w:trHeight w:val="264"/>
        </w:trPr>
        <w:tc>
          <w:tcPr>
            <w:tcW w:w="3080" w:type="dxa"/>
            <w:vAlign w:val="bottom"/>
          </w:tcPr>
          <w:p>
            <w:pPr>
              <w:ind w:left="40"/>
              <w:spacing w:after="0" w:line="264" w:lineRule="exact"/>
              <w:rPr>
                <w:sz w:val="20"/>
                <w:szCs w:val="20"/>
                <w:color w:val="auto"/>
              </w:rPr>
            </w:pPr>
            <w:r>
              <w:rPr>
                <w:rFonts w:ascii="Arial" w:cs="Arial" w:eastAsia="Arial" w:hAnsi="Arial"/>
                <w:sz w:val="18"/>
                <w:szCs w:val="18"/>
                <w:color w:val="auto"/>
              </w:rPr>
              <w:t>Costs and expenses:</w:t>
            </w:r>
            <w:r>
              <w:rPr>
                <w:rFonts w:ascii="Arial" w:cs="Arial" w:eastAsia="Arial" w:hAnsi="Arial"/>
                <w:sz w:val="25"/>
                <w:szCs w:val="25"/>
                <w:color w:val="auto"/>
                <w:vertAlign w:val="superscript"/>
              </w:rPr>
              <w:t>(1) (2)</w:t>
            </w:r>
          </w:p>
        </w:tc>
        <w:tc>
          <w:tcPr>
            <w:tcW w:w="36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0"/>
        </w:trPr>
        <w:tc>
          <w:tcPr>
            <w:tcW w:w="3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Cost of revenue</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78,878</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62,479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58,205</w:t>
            </w: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156,814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90,905</w:t>
            </w: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General and administrative</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56,967</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45,873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43,124</w:t>
            </w: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40,034</w:t>
            </w: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Restructuring costs</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2,043</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2,594</w:t>
            </w:r>
          </w:p>
        </w:tc>
      </w:tr>
      <w:tr>
        <w:trPr>
          <w:trHeight w:val="243"/>
        </w:trPr>
        <w:tc>
          <w:tcPr>
            <w:tcW w:w="3080" w:type="dxa"/>
            <w:vAlign w:val="bottom"/>
          </w:tcPr>
          <w:p>
            <w:pPr>
              <w:ind w:left="200"/>
              <w:spacing w:after="0"/>
              <w:rPr>
                <w:sz w:val="20"/>
                <w:szCs w:val="20"/>
                <w:color w:val="auto"/>
              </w:rPr>
            </w:pPr>
            <w:r>
              <w:rPr>
                <w:rFonts w:ascii="Arial" w:cs="Arial" w:eastAsia="Arial" w:hAnsi="Arial"/>
                <w:sz w:val="18"/>
                <w:szCs w:val="18"/>
                <w:color w:val="auto"/>
                <w:w w:val="95"/>
              </w:rPr>
              <w:t>Amortization of purchased intangibles</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1,840</w:t>
            </w:r>
          </w:p>
        </w:tc>
      </w:tr>
      <w:tr>
        <w:trPr>
          <w:trHeight w:val="27"/>
        </w:trPr>
        <w:tc>
          <w:tcPr>
            <w:tcW w:w="3080" w:type="dxa"/>
            <w:vAlign w:val="bottom"/>
            <w:tcBorders>
              <w:bottom w:val="single" w:sz="8" w:color="CCFFCC"/>
            </w:tcBorders>
          </w:tcPr>
          <w:p>
            <w:pPr>
              <w:spacing w:after="0"/>
              <w:rPr>
                <w:sz w:val="2"/>
                <w:szCs w:val="2"/>
                <w:color w:val="auto"/>
              </w:rPr>
            </w:pPr>
          </w:p>
        </w:tc>
        <w:tc>
          <w:tcPr>
            <w:tcW w:w="36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costs and expenses</w:t>
            </w:r>
          </w:p>
        </w:tc>
        <w:tc>
          <w:tcPr>
            <w:tcW w:w="3660" w:type="dxa"/>
            <w:vAlign w:val="bottom"/>
            <w:tcBorders>
              <w:bottom w:val="single" w:sz="8" w:color="CCFFCC"/>
            </w:tcBorders>
            <w:shd w:val="clear" w:color="auto" w:fill="CCFFCC"/>
          </w:tcPr>
          <w:p>
            <w:pPr>
              <w:spacing w:after="0"/>
              <w:rPr>
                <w:sz w:val="22"/>
                <w:szCs w:val="22"/>
                <w:color w:val="auto"/>
              </w:rPr>
            </w:pPr>
          </w:p>
        </w:tc>
        <w:tc>
          <w:tcPr>
            <w:tcW w:w="360" w:type="dxa"/>
            <w:vAlign w:val="bottom"/>
            <w:tcBorders>
              <w:bottom w:val="single" w:sz="8" w:color="CCFFCC"/>
            </w:tcBorders>
            <w:shd w:val="clear" w:color="auto" w:fill="CCFFCC"/>
          </w:tcPr>
          <w:p>
            <w:pPr>
              <w:spacing w:after="0"/>
              <w:rPr>
                <w:sz w:val="22"/>
                <w:szCs w:val="22"/>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378,641</w:t>
            </w:r>
          </w:p>
        </w:tc>
        <w:tc>
          <w:tcPr>
            <w:tcW w:w="6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273,541</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236,702</w:t>
            </w:r>
          </w:p>
        </w:tc>
      </w:tr>
      <w:tr>
        <w:trPr>
          <w:trHeight w:val="237"/>
        </w:trPr>
        <w:tc>
          <w:tcPr>
            <w:tcW w:w="30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36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(87,032)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(17,826)</w:t>
            </w: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 (expense) income, net</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243"/>
        </w:trPr>
        <w:tc>
          <w:tcPr>
            <w:tcW w:w="3080" w:type="dxa"/>
            <w:vAlign w:val="bottom"/>
          </w:tcPr>
          <w:p>
            <w:pPr>
              <w:ind w:left="360"/>
              <w:spacing w:after="0"/>
              <w:rPr>
                <w:sz w:val="20"/>
                <w:szCs w:val="20"/>
                <w:color w:val="auto"/>
              </w:rPr>
            </w:pPr>
            <w:r>
              <w:rPr>
                <w:rFonts w:ascii="Arial" w:cs="Arial" w:eastAsia="Arial" w:hAnsi="Arial"/>
                <w:sz w:val="18"/>
                <w:szCs w:val="18"/>
                <w:color w:val="auto"/>
              </w:rPr>
              <w:t>Interest (expense) income</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0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Other income (expense), net</w:t>
            </w:r>
          </w:p>
        </w:tc>
        <w:tc>
          <w:tcPr>
            <w:tcW w:w="366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1,213</w:t>
            </w: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110</w:t>
            </w:r>
          </w:p>
        </w:tc>
      </w:tr>
      <w:tr>
        <w:trPr>
          <w:trHeight w:val="237"/>
        </w:trPr>
        <w:tc>
          <w:tcPr>
            <w:tcW w:w="3080" w:type="dxa"/>
            <w:vAlign w:val="bottom"/>
          </w:tcPr>
          <w:p>
            <w:pPr>
              <w:ind w:left="40"/>
              <w:spacing w:after="0"/>
              <w:rPr>
                <w:sz w:val="20"/>
                <w:szCs w:val="20"/>
                <w:color w:val="auto"/>
              </w:rPr>
            </w:pPr>
            <w:r>
              <w:rPr>
                <w:rFonts w:ascii="Arial" w:cs="Arial" w:eastAsia="Arial" w:hAnsi="Arial"/>
                <w:sz w:val="18"/>
                <w:szCs w:val="18"/>
                <w:color w:val="auto"/>
              </w:rPr>
              <w:t>Total Other (expense) income, net</w:t>
            </w:r>
          </w:p>
        </w:tc>
        <w:tc>
          <w:tcPr>
            <w:tcW w:w="36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3080" w:type="dxa"/>
            <w:vAlign w:val="bottom"/>
            <w:tcBorders>
              <w:bottom w:val="single" w:sz="8" w:color="CCFFCC"/>
            </w:tcBorders>
          </w:tcPr>
          <w:p>
            <w:pPr>
              <w:spacing w:after="0"/>
              <w:rPr>
                <w:sz w:val="2"/>
                <w:szCs w:val="2"/>
                <w:color w:val="auto"/>
              </w:rPr>
            </w:pPr>
          </w:p>
        </w:tc>
        <w:tc>
          <w:tcPr>
            <w:tcW w:w="36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7"/>
              </w:rPr>
              <w:t>Loss before provision for income taxes</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(93,226)</w:t>
            </w: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(17,690)</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3080" w:type="dxa"/>
            <w:vAlign w:val="bottom"/>
            <w:tcBorders>
              <w:bottom w:val="single" w:sz="8" w:color="CCFFCC"/>
            </w:tcBorders>
          </w:tcPr>
          <w:p>
            <w:pPr>
              <w:spacing w:after="0"/>
              <w:rPr>
                <w:sz w:val="2"/>
                <w:szCs w:val="2"/>
                <w:color w:val="auto"/>
              </w:rPr>
            </w:pPr>
          </w:p>
        </w:tc>
        <w:tc>
          <w:tcPr>
            <w:tcW w:w="366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080" w:type="dxa"/>
            <w:vAlign w:val="bottom"/>
            <w:shd w:val="clear" w:color="auto" w:fill="CCFFCC"/>
          </w:tcPr>
          <w:p>
            <w:pPr>
              <w:ind w:left="40"/>
              <w:spacing w:after="0"/>
              <w:rPr>
                <w:sz w:val="20"/>
                <w:szCs w:val="20"/>
                <w:color w:val="auto"/>
              </w:rPr>
            </w:pPr>
            <w:r>
              <w:rPr>
                <w:rFonts w:ascii="Arial" w:cs="Arial" w:eastAsia="Arial" w:hAnsi="Arial"/>
                <w:sz w:val="18"/>
                <w:szCs w:val="18"/>
                <w:color w:val="auto"/>
              </w:rPr>
              <w:t>Net loss</w:t>
            </w:r>
          </w:p>
        </w:tc>
        <w:tc>
          <w:tcPr>
            <w:tcW w:w="40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(96,071)</w:t>
            </w:r>
          </w:p>
        </w:tc>
        <w:tc>
          <w:tcPr>
            <w:tcW w:w="500" w:type="dxa"/>
            <w:vAlign w:val="bottom"/>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(25,032)</w:t>
            </w: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(18,191)</w:t>
            </w:r>
          </w:p>
        </w:tc>
      </w:tr>
      <w:tr>
        <w:trPr>
          <w:trHeight w:val="20"/>
        </w:trPr>
        <w:tc>
          <w:tcPr>
            <w:tcW w:w="3080" w:type="dxa"/>
            <w:vAlign w:val="bottom"/>
            <w:tcBorders>
              <w:top w:val="single" w:sz="8" w:color="CCFFCC"/>
            </w:tcBorders>
          </w:tcPr>
          <w:p>
            <w:pPr>
              <w:spacing w:after="0" w:line="20" w:lineRule="exact"/>
              <w:rPr>
                <w:sz w:val="1"/>
                <w:szCs w:val="1"/>
                <w:color w:val="auto"/>
              </w:rPr>
            </w:pPr>
          </w:p>
        </w:tc>
        <w:tc>
          <w:tcPr>
            <w:tcW w:w="366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 per share of common stock:</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304"/>
        </w:trPr>
        <w:tc>
          <w:tcPr>
            <w:tcW w:w="308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Basic</w:t>
            </w:r>
          </w:p>
        </w:tc>
        <w:tc>
          <w:tcPr>
            <w:tcW w:w="3660" w:type="dxa"/>
            <w:vAlign w:val="bottom"/>
            <w:tcBorders>
              <w:bottom w:val="single" w:sz="8" w:color="CCFFCC"/>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r>
      <w:tr>
        <w:trPr>
          <w:trHeight w:val="251"/>
        </w:trPr>
        <w:tc>
          <w:tcPr>
            <w:tcW w:w="3080" w:type="dxa"/>
            <w:vAlign w:val="bottom"/>
            <w:shd w:val="clear" w:color="auto" w:fill="CCFFCC"/>
          </w:tcPr>
          <w:p>
            <w:pPr>
              <w:ind w:left="40"/>
              <w:spacing w:after="0"/>
              <w:rPr>
                <w:sz w:val="20"/>
                <w:szCs w:val="20"/>
                <w:color w:val="auto"/>
              </w:rPr>
            </w:pPr>
            <w:r>
              <w:rPr>
                <w:rFonts w:ascii="Arial" w:cs="Arial" w:eastAsia="Arial" w:hAnsi="Arial"/>
                <w:sz w:val="18"/>
                <w:szCs w:val="18"/>
                <w:color w:val="auto"/>
              </w:rPr>
              <w:t>Diluted</w:t>
            </w:r>
          </w:p>
        </w:tc>
        <w:tc>
          <w:tcPr>
            <w:tcW w:w="40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w:t>
            </w:r>
          </w:p>
        </w:tc>
        <w:tc>
          <w:tcPr>
            <w:tcW w:w="500" w:type="dxa"/>
            <w:vAlign w:val="bottom"/>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(0.32)</w:t>
            </w:r>
          </w:p>
        </w:tc>
      </w:tr>
      <w:tr>
        <w:trPr>
          <w:trHeight w:val="20"/>
        </w:trPr>
        <w:tc>
          <w:tcPr>
            <w:tcW w:w="6740" w:type="dxa"/>
            <w:vAlign w:val="bottom"/>
            <w:tcBorders>
              <w:top w:val="single" w:sz="8" w:color="CCFFCC"/>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1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8"/>
                <w:szCs w:val="18"/>
                <w:color w:val="auto"/>
              </w:rPr>
              <w:t>Weighted-average shares used to compute net loss income per share:</w:t>
            </w:r>
          </w:p>
        </w:tc>
        <w:tc>
          <w:tcPr>
            <w:tcW w:w="1100" w:type="dxa"/>
            <w:vAlign w:val="bottom"/>
            <w:tcBorders>
              <w:bottom w:val="single" w:sz="8" w:color="CCFFCC"/>
            </w:tcBorders>
            <w:shd w:val="clear" w:color="auto" w:fill="CCFFCC"/>
          </w:tcPr>
          <w:p>
            <w:pPr>
              <w:spacing w:after="0"/>
              <w:rPr>
                <w:sz w:val="21"/>
                <w:szCs w:val="21"/>
                <w:color w:val="auto"/>
              </w:rPr>
            </w:pPr>
          </w:p>
        </w:tc>
        <w:tc>
          <w:tcPr>
            <w:tcW w:w="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r>
      <w:tr>
        <w:trPr>
          <w:trHeight w:val="304"/>
        </w:trPr>
        <w:tc>
          <w:tcPr>
            <w:tcW w:w="308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Basic</w:t>
            </w:r>
          </w:p>
        </w:tc>
        <w:tc>
          <w:tcPr>
            <w:tcW w:w="3660" w:type="dxa"/>
            <w:vAlign w:val="bottom"/>
            <w:tcBorders>
              <w:bottom w:val="single" w:sz="8" w:color="CCFFC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62,593,026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59,203,400</w:t>
            </w:r>
          </w:p>
        </w:tc>
        <w:tc>
          <w:tcPr>
            <w:tcW w:w="10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56,358,017</w:t>
            </w:r>
          </w:p>
        </w:tc>
      </w:tr>
      <w:tr>
        <w:trPr>
          <w:trHeight w:val="251"/>
        </w:trPr>
        <w:tc>
          <w:tcPr>
            <w:tcW w:w="3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Diluted</w:t>
            </w:r>
          </w:p>
        </w:tc>
        <w:tc>
          <w:tcPr>
            <w:tcW w:w="366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62,593,026</w:t>
            </w:r>
          </w:p>
        </w:tc>
        <w:tc>
          <w:tcPr>
            <w:tcW w:w="6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59,203,400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rPr>
              <w:t>56,358,017</w:t>
            </w:r>
          </w:p>
        </w:tc>
      </w:tr>
      <w:tr>
        <w:trPr>
          <w:trHeight w:val="20"/>
        </w:trPr>
        <w:tc>
          <w:tcPr>
            <w:tcW w:w="30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30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3080" w:type="dxa"/>
            <w:vAlign w:val="bottom"/>
            <w:shd w:val="clear" w:color="auto" w:fill="CCFFCC"/>
          </w:tcPr>
          <w:p>
            <w:pPr>
              <w:spacing w:after="0"/>
              <w:rPr>
                <w:sz w:val="24"/>
                <w:szCs w:val="24"/>
                <w:color w:val="auto"/>
              </w:rPr>
            </w:pPr>
          </w:p>
        </w:tc>
        <w:tc>
          <w:tcPr>
            <w:tcW w:w="366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100" w:type="dxa"/>
            <w:vAlign w:val="bottom"/>
            <w:shd w:val="clear" w:color="auto" w:fill="CCFFCC"/>
          </w:tcPr>
          <w:p>
            <w:pPr>
              <w:spacing w:after="0"/>
              <w:rPr>
                <w:sz w:val="24"/>
                <w:szCs w:val="24"/>
                <w:color w:val="auto"/>
              </w:rPr>
            </w:pPr>
          </w:p>
        </w:tc>
        <w:tc>
          <w:tcPr>
            <w:tcW w:w="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40" w:type="dxa"/>
            <w:vAlign w:val="bottom"/>
            <w:shd w:val="clear" w:color="auto" w:fill="CCFFCC"/>
          </w:tcPr>
          <w:p>
            <w:pPr>
              <w:spacing w:after="0"/>
              <w:rPr>
                <w:sz w:val="24"/>
                <w:szCs w:val="24"/>
                <w:color w:val="auto"/>
              </w:rPr>
            </w:pPr>
          </w:p>
        </w:tc>
      </w:tr>
    </w:tbl>
    <w:p>
      <w:pPr>
        <w:spacing w:after="0" w:line="30" w:lineRule="exact"/>
        <w:rPr>
          <w:sz w:val="20"/>
          <w:szCs w:val="20"/>
          <w:color w:val="auto"/>
        </w:rPr>
      </w:pPr>
    </w:p>
    <w:p>
      <w:pPr>
        <w:ind w:left="320" w:hanging="150"/>
        <w:spacing w:after="0"/>
        <w:tabs>
          <w:tab w:leader="none" w:pos="32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Amounts include stock compensation expense,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20" w:type="dxa"/>
            <w:vAlign w:val="bottom"/>
            <w:shd w:val="clear" w:color="auto" w:fill="CCFFCC"/>
          </w:tcPr>
          <w:p>
            <w:pPr>
              <w:ind w:left="500"/>
              <w:spacing w:after="0"/>
              <w:rPr>
                <w:sz w:val="20"/>
                <w:szCs w:val="20"/>
                <w:color w:val="auto"/>
              </w:rPr>
            </w:pPr>
            <w:r>
              <w:rPr>
                <w:rFonts w:ascii="Arial" w:cs="Arial" w:eastAsia="Arial" w:hAnsi="Arial"/>
                <w:sz w:val="16"/>
                <w:szCs w:val="16"/>
                <w:color w:val="auto"/>
              </w:rPr>
              <w:t>Cost of revenue</w:t>
            </w:r>
          </w:p>
        </w:tc>
        <w:tc>
          <w:tcPr>
            <w:tcW w:w="2780" w:type="dxa"/>
            <w:vAlign w:val="bottom"/>
            <w:shd w:val="clear" w:color="auto" w:fill="CCFFCC"/>
          </w:tcPr>
          <w:p>
            <w:pPr>
              <w:jc w:val="right"/>
              <w:ind w:right="3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4,218</w:t>
            </w:r>
          </w:p>
        </w:tc>
        <w:tc>
          <w:tcPr>
            <w:tcW w:w="680" w:type="dxa"/>
            <w:vAlign w:val="bottom"/>
            <w:shd w:val="clear" w:color="auto" w:fill="CCFFCC"/>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996</w:t>
            </w:r>
          </w:p>
        </w:tc>
        <w:tc>
          <w:tcPr>
            <w:tcW w:w="660" w:type="dxa"/>
            <w:vAlign w:val="bottom"/>
            <w:shd w:val="clear" w:color="auto" w:fill="CCFFCC"/>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448</w:t>
            </w:r>
          </w:p>
        </w:tc>
      </w:tr>
      <w:tr>
        <w:trPr>
          <w:trHeight w:val="264"/>
        </w:trPr>
        <w:tc>
          <w:tcPr>
            <w:tcW w:w="4520" w:type="dxa"/>
            <w:vAlign w:val="bottom"/>
          </w:tcPr>
          <w:p>
            <w:pPr>
              <w:ind w:left="500"/>
              <w:spacing w:after="0"/>
              <w:rPr>
                <w:sz w:val="20"/>
                <w:szCs w:val="20"/>
                <w:color w:val="auto"/>
              </w:rPr>
            </w:pPr>
            <w:r>
              <w:rPr>
                <w:rFonts w:ascii="Arial" w:cs="Arial" w:eastAsia="Arial" w:hAnsi="Arial"/>
                <w:sz w:val="16"/>
                <w:szCs w:val="16"/>
                <w:color w:val="auto"/>
              </w:rPr>
              <w:t>Sales and marketing</w:t>
            </w:r>
          </w:p>
        </w:tc>
        <w:tc>
          <w:tcPr>
            <w:tcW w:w="27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10,010</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5,374</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2,500</w:t>
            </w:r>
          </w:p>
        </w:tc>
      </w:tr>
      <w:tr>
        <w:trPr>
          <w:trHeight w:val="276"/>
        </w:trPr>
        <w:tc>
          <w:tcPr>
            <w:tcW w:w="4520" w:type="dxa"/>
            <w:vAlign w:val="bottom"/>
            <w:shd w:val="clear" w:color="auto" w:fill="CCFFCC"/>
          </w:tcPr>
          <w:p>
            <w:pPr>
              <w:ind w:left="500"/>
              <w:spacing w:after="0"/>
              <w:rPr>
                <w:sz w:val="20"/>
                <w:szCs w:val="20"/>
                <w:color w:val="auto"/>
              </w:rPr>
            </w:pPr>
            <w:r>
              <w:rPr>
                <w:rFonts w:ascii="Arial" w:cs="Arial" w:eastAsia="Arial" w:hAnsi="Arial"/>
                <w:sz w:val="16"/>
                <w:szCs w:val="16"/>
                <w:color w:val="auto"/>
              </w:rPr>
              <w:t>General and administrative</w:t>
            </w:r>
          </w:p>
        </w:tc>
        <w:tc>
          <w:tcPr>
            <w:tcW w:w="278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12,216</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4,921</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3,691</w:t>
            </w:r>
          </w:p>
        </w:tc>
      </w:tr>
      <w:tr>
        <w:trPr>
          <w:trHeight w:val="264"/>
        </w:trPr>
        <w:tc>
          <w:tcPr>
            <w:tcW w:w="4520" w:type="dxa"/>
            <w:vAlign w:val="bottom"/>
          </w:tcPr>
          <w:p>
            <w:pPr>
              <w:ind w:left="500"/>
              <w:spacing w:after="0"/>
              <w:rPr>
                <w:sz w:val="20"/>
                <w:szCs w:val="20"/>
                <w:color w:val="auto"/>
              </w:rPr>
            </w:pPr>
            <w:r>
              <w:rPr>
                <w:rFonts w:ascii="Arial" w:cs="Arial" w:eastAsia="Arial" w:hAnsi="Arial"/>
                <w:sz w:val="16"/>
                <w:szCs w:val="16"/>
                <w:color w:val="auto"/>
              </w:rPr>
              <w:t>Product development</w:t>
            </w:r>
          </w:p>
        </w:tc>
        <w:tc>
          <w:tcPr>
            <w:tcW w:w="27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17,661</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3,550</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2,305</w:t>
            </w:r>
          </w:p>
        </w:tc>
      </w:tr>
      <w:tr>
        <w:trPr>
          <w:trHeight w:val="303"/>
        </w:trPr>
        <w:tc>
          <w:tcPr>
            <w:tcW w:w="4520" w:type="dxa"/>
            <w:vAlign w:val="bottom"/>
            <w:shd w:val="clear" w:color="auto" w:fill="CCFFCC"/>
          </w:tcPr>
          <w:p>
            <w:pPr>
              <w:spacing w:after="0"/>
              <w:rPr>
                <w:sz w:val="24"/>
                <w:szCs w:val="24"/>
                <w:color w:val="auto"/>
              </w:rPr>
            </w:pPr>
          </w:p>
        </w:tc>
        <w:tc>
          <w:tcPr>
            <w:tcW w:w="2780" w:type="dxa"/>
            <w:vAlign w:val="bottom"/>
            <w:shd w:val="clear" w:color="auto" w:fill="CCFFCC"/>
          </w:tcPr>
          <w:p>
            <w:pPr>
              <w:spacing w:after="0"/>
              <w:rPr>
                <w:sz w:val="24"/>
                <w:szCs w:val="24"/>
                <w:color w:val="auto"/>
              </w:rPr>
            </w:pPr>
          </w:p>
        </w:tc>
        <w:tc>
          <w:tcPr>
            <w:tcW w:w="96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r>
    </w:tbl>
    <w:p>
      <w:pPr>
        <w:spacing w:after="0" w:line="30" w:lineRule="exact"/>
        <w:rPr>
          <w:sz w:val="20"/>
          <w:szCs w:val="20"/>
          <w:color w:val="auto"/>
        </w:rPr>
      </w:pPr>
    </w:p>
    <w:p>
      <w:pPr>
        <w:ind w:left="320" w:hanging="150"/>
        <w:spacing w:after="0"/>
        <w:tabs>
          <w:tab w:leader="none" w:pos="32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Amounts include depreciation and amortization expense,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shd w:val="clear" w:color="auto" w:fill="CCFFCC"/>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8,557</w:t>
            </w:r>
          </w:p>
        </w:tc>
        <w:tc>
          <w:tcPr>
            <w:tcW w:w="680" w:type="dxa"/>
            <w:vAlign w:val="bottom"/>
            <w:shd w:val="clear" w:color="auto" w:fill="CCFFCC"/>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7,831</w:t>
            </w:r>
          </w:p>
        </w:tc>
        <w:tc>
          <w:tcPr>
            <w:tcW w:w="660" w:type="dxa"/>
            <w:vAlign w:val="bottom"/>
            <w:shd w:val="clear" w:color="auto" w:fill="CCFFCC"/>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7,150</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Sales and marketing</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1,642</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1,520</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1,625</w:t>
            </w:r>
          </w:p>
        </w:tc>
      </w:tr>
      <w:tr>
        <w:trPr>
          <w:trHeight w:val="276"/>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General and administrative</w:t>
            </w: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908</w:t>
            </w: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1,083</w:t>
            </w: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1,226</w:t>
            </w:r>
          </w:p>
        </w:tc>
      </w:tr>
      <w:tr>
        <w:trPr>
          <w:trHeight w:val="264"/>
        </w:trPr>
        <w:tc>
          <w:tcPr>
            <w:tcW w:w="5740" w:type="dxa"/>
            <w:vAlign w:val="bottom"/>
          </w:tcPr>
          <w:p>
            <w:pPr>
              <w:ind w:left="500"/>
              <w:spacing w:after="0"/>
              <w:rPr>
                <w:sz w:val="20"/>
                <w:szCs w:val="20"/>
                <w:color w:val="auto"/>
              </w:rPr>
            </w:pPr>
            <w:r>
              <w:rPr>
                <w:rFonts w:ascii="Arial" w:cs="Arial" w:eastAsia="Arial" w:hAnsi="Arial"/>
                <w:sz w:val="16"/>
                <w:szCs w:val="16"/>
                <w:color w:val="auto"/>
              </w:rPr>
              <w:t>Product development</w:t>
            </w:r>
          </w:p>
        </w:tc>
        <w:tc>
          <w:tcPr>
            <w:tcW w:w="16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5,259</w:t>
            </w:r>
          </w:p>
        </w:tc>
        <w:tc>
          <w:tcPr>
            <w:tcW w:w="6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3,754</w:t>
            </w:r>
          </w:p>
        </w:tc>
        <w:tc>
          <w:tcPr>
            <w:tcW w:w="6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2,357</w:t>
            </w:r>
          </w:p>
        </w:tc>
      </w:tr>
      <w:tr>
        <w:trPr>
          <w:trHeight w:val="303"/>
        </w:trPr>
        <w:tc>
          <w:tcPr>
            <w:tcW w:w="5740" w:type="dxa"/>
            <w:vAlign w:val="bottom"/>
            <w:shd w:val="clear" w:color="auto" w:fill="CCFFCC"/>
          </w:tcPr>
          <w:p>
            <w:pPr>
              <w:spacing w:after="0"/>
              <w:rPr>
                <w:sz w:val="24"/>
                <w:szCs w:val="24"/>
                <w:color w:val="auto"/>
              </w:rPr>
            </w:pPr>
          </w:p>
        </w:tc>
        <w:tc>
          <w:tcPr>
            <w:tcW w:w="16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r>
      <w:tr>
        <w:trPr>
          <w:trHeight w:val="270"/>
        </w:trPr>
        <w:tc>
          <w:tcPr>
            <w:tcW w:w="5740" w:type="dxa"/>
            <w:vAlign w:val="bottom"/>
          </w:tcPr>
          <w:p>
            <w:pPr>
              <w:ind w:left="180"/>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Amounts include amortization of purchased intangibles, as follows:</w:t>
            </w:r>
          </w:p>
        </w:tc>
        <w:tc>
          <w:tcPr>
            <w:tcW w:w="1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740" w:type="dxa"/>
            <w:vAlign w:val="bottom"/>
            <w:shd w:val="clear" w:color="auto" w:fill="CCFFCC"/>
          </w:tcPr>
          <w:p>
            <w:pPr>
              <w:ind w:left="500"/>
              <w:spacing w:after="0"/>
              <w:rPr>
                <w:sz w:val="20"/>
                <w:szCs w:val="20"/>
                <w:color w:val="auto"/>
              </w:rPr>
            </w:pPr>
            <w:r>
              <w:rPr>
                <w:rFonts w:ascii="Arial" w:cs="Arial" w:eastAsia="Arial" w:hAnsi="Arial"/>
                <w:sz w:val="16"/>
                <w:szCs w:val="16"/>
                <w:color w:val="auto"/>
              </w:rPr>
              <w:t>Cost of revenue</w:t>
            </w:r>
          </w:p>
        </w:tc>
        <w:tc>
          <w:tcPr>
            <w:tcW w:w="1600" w:type="dxa"/>
            <w:vAlign w:val="bottom"/>
            <w:shd w:val="clear" w:color="auto" w:fill="CCFFCC"/>
          </w:tcPr>
          <w:p>
            <w:pPr>
              <w:jc w:val="right"/>
              <w:ind w:right="4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1,138</w:t>
            </w:r>
          </w:p>
        </w:tc>
        <w:tc>
          <w:tcPr>
            <w:tcW w:w="680" w:type="dxa"/>
            <w:vAlign w:val="bottom"/>
            <w:shd w:val="clear" w:color="auto" w:fill="CCFFCC"/>
          </w:tcPr>
          <w:p>
            <w:pPr>
              <w:jc w:val="right"/>
              <w:ind w:right="4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1,143</w:t>
            </w:r>
          </w:p>
        </w:tc>
        <w:tc>
          <w:tcPr>
            <w:tcW w:w="660" w:type="dxa"/>
            <w:vAlign w:val="bottom"/>
            <w:shd w:val="clear" w:color="auto" w:fill="CCFFCC"/>
          </w:tcPr>
          <w:p>
            <w:pPr>
              <w:jc w:val="right"/>
              <w:ind w:right="4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2,842</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37" w:right="239" w:bottom="1440" w:gutter="0" w:footer="0" w:header="0"/>
          <w:type w:val="continuous"/>
        </w:sectPr>
      </w:pPr>
    </w:p>
    <w:bookmarkStart w:id="75" w:name="page76"/>
    <w:bookmarkEnd w:id="7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(96,071)</w:t>
            </w:r>
          </w:p>
        </w:tc>
        <w:tc>
          <w:tcPr>
            <w:tcW w:w="520" w:type="dxa"/>
            <w:vAlign w:val="bottom"/>
            <w:tcBorders>
              <w:bottom w:val="single" w:sz="8" w:color="CCFFCC"/>
            </w:tcBorders>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(25,032)</w:t>
            </w:r>
          </w:p>
        </w:tc>
        <w:tc>
          <w:tcPr>
            <w:tcW w:w="10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(18,191)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3,625</w:t>
            </w:r>
          </w:p>
        </w:tc>
      </w:tr>
      <w:tr>
        <w:trPr>
          <w:trHeight w:val="27"/>
        </w:trPr>
        <w:tc>
          <w:tcPr>
            <w:tcW w:w="674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(96,164)</w:t>
            </w:r>
          </w:p>
        </w:tc>
        <w:tc>
          <w:tcPr>
            <w:tcW w:w="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(26,928)</w:t>
            </w:r>
          </w:p>
        </w:tc>
        <w:tc>
          <w:tcPr>
            <w:tcW w:w="100" w:type="dxa"/>
            <w:vAlign w:val="bottom"/>
            <w:shd w:val="clear" w:color="auto" w:fill="CCFFCC"/>
          </w:tcPr>
          <w:p>
            <w:pPr>
              <w:spacing w:after="0"/>
              <w:rPr>
                <w:sz w:val="22"/>
                <w:szCs w:val="22"/>
                <w:color w:val="auto"/>
              </w:rPr>
            </w:pPr>
          </w:p>
        </w:tc>
        <w:tc>
          <w:tcPr>
            <w:tcW w:w="3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(14,566)</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6" w:name="page77"/>
    <w:bookmarkEnd w:id="76"/>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84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90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Paid-in</w:t>
            </w: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1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2016</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58,276,447</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(2,340,105)</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289,524</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(144,944)</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(6,160)</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138,476</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853,885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7,491</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363,429</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8,944</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170,208</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1,459</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(247,430)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(1,742)</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(18,191)</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(18,191)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3,625</w:t>
            </w:r>
          </w:p>
        </w:tc>
        <w:tc>
          <w:tcPr>
            <w:tcW w:w="0" w:type="dxa"/>
            <w:vAlign w:val="bottom"/>
          </w:tcPr>
          <w:p>
            <w:pPr>
              <w:spacing w:after="0"/>
              <w:rPr>
                <w:sz w:val="1"/>
                <w:szCs w:val="1"/>
                <w:color w:val="auto"/>
              </w:rPr>
            </w:pPr>
          </w:p>
        </w:tc>
      </w:tr>
      <w:tr>
        <w:trPr>
          <w:trHeight w:val="256"/>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2017</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59,663,969</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(2,587,535)</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305,676</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(163,135)</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(2,535)</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140,063</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3,120,404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32,788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32,791</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361,539</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14,841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14,841</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150,989</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2,480</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2,480</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(93,750)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ASC 606 prior period adjustment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676</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Issuance of common stock in connection with acquisitions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379,328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8,150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8,150</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(25,032)</w:t>
            </w:r>
          </w:p>
        </w:tc>
        <w:tc>
          <w:tcPr>
            <w:tcW w:w="12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(25,032)</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256"/>
        </w:trPr>
        <w:tc>
          <w:tcPr>
            <w:tcW w:w="4000" w:type="dxa"/>
            <w:vAlign w:val="bottom"/>
            <w:tcBorders>
              <w:top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Balance at December 31, 2018</w:t>
            </w:r>
          </w:p>
        </w:tc>
        <w:tc>
          <w:tcPr>
            <w:tcW w:w="82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6"/>
              </w:rPr>
              <w:t>63,676,229</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Borders>
              <w:top w:val="single" w:sz="8" w:color="CCFFCC"/>
            </w:tcBorders>
            <w:shd w:val="clear" w:color="auto" w:fill="CCFFCC"/>
          </w:tcPr>
          <w:p>
            <w:pPr>
              <w:spacing w:after="0"/>
              <w:rPr>
                <w:sz w:val="22"/>
                <w:szCs w:val="22"/>
                <w:color w:val="auto"/>
              </w:rPr>
            </w:pPr>
          </w:p>
        </w:tc>
        <w:tc>
          <w:tcPr>
            <w:tcW w:w="820" w:type="dxa"/>
            <w:vAlign w:val="bottom"/>
            <w:tcBorders>
              <w:top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(2,681,285)</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362,590</w:t>
            </w:r>
          </w:p>
        </w:tc>
        <w:tc>
          <w:tcPr>
            <w:tcW w:w="120" w:type="dxa"/>
            <w:vAlign w:val="bottom"/>
            <w:tcBorders>
              <w:top w:val="single" w:sz="8" w:color="CCFFCC"/>
            </w:tcBorders>
            <w:shd w:val="clear" w:color="auto" w:fill="CCFFCC"/>
          </w:tcPr>
          <w:p>
            <w:pPr>
              <w:spacing w:after="0"/>
              <w:rPr>
                <w:sz w:val="22"/>
                <w:szCs w:val="22"/>
                <w:color w:val="auto"/>
              </w:rPr>
            </w:pPr>
          </w:p>
        </w:tc>
        <w:tc>
          <w:tcPr>
            <w:tcW w:w="120" w:type="dxa"/>
            <w:vAlign w:val="bottom"/>
            <w:tcBorders>
              <w:top w:val="single" w:sz="8" w:color="auto"/>
            </w:tcBorders>
            <w:shd w:val="clear" w:color="auto" w:fill="CCFFCC"/>
          </w:tcPr>
          <w:p>
            <w:pPr>
              <w:spacing w:after="0"/>
              <w:rPr>
                <w:sz w:val="22"/>
                <w:szCs w:val="22"/>
                <w:color w:val="auto"/>
              </w:rPr>
            </w:pPr>
          </w:p>
        </w:tc>
        <w:tc>
          <w:tcPr>
            <w:tcW w:w="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(187,491)</w:t>
            </w:r>
          </w:p>
        </w:tc>
        <w:tc>
          <w:tcPr>
            <w:tcW w:w="120" w:type="dxa"/>
            <w:vAlign w:val="bottom"/>
            <w:tcBorders>
              <w:top w:val="single" w:sz="8" w:color="CCFFCC"/>
            </w:tcBorders>
            <w:shd w:val="clear" w:color="auto" w:fill="CCFFCC"/>
          </w:tcPr>
          <w:p>
            <w:pPr>
              <w:spacing w:after="0"/>
              <w:rPr>
                <w:sz w:val="22"/>
                <w:szCs w:val="22"/>
                <w:color w:val="auto"/>
              </w:rPr>
            </w:pPr>
          </w:p>
        </w:tc>
        <w:tc>
          <w:tcPr>
            <w:tcW w:w="100" w:type="dxa"/>
            <w:vAlign w:val="bottom"/>
            <w:tcBorders>
              <w:top w:val="single" w:sz="8" w:color="auto"/>
            </w:tcBorders>
            <w:shd w:val="clear" w:color="auto" w:fill="CCFFCC"/>
          </w:tcPr>
          <w:p>
            <w:pPr>
              <w:spacing w:after="0"/>
              <w:rPr>
                <w:sz w:val="22"/>
                <w:szCs w:val="22"/>
                <w:color w:val="auto"/>
              </w:rPr>
            </w:pPr>
          </w:p>
        </w:tc>
        <w:tc>
          <w:tcPr>
            <w:tcW w:w="9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(4,431)</w:t>
            </w:r>
          </w:p>
        </w:tc>
        <w:tc>
          <w:tcPr>
            <w:tcW w:w="120" w:type="dxa"/>
            <w:vAlign w:val="bottom"/>
            <w:tcBorders>
              <w:top w:val="single" w:sz="8" w:color="CCFFCC"/>
            </w:tcBorders>
            <w:shd w:val="clear" w:color="auto" w:fill="CCFFCC"/>
          </w:tcPr>
          <w:p>
            <w:pPr>
              <w:spacing w:after="0"/>
              <w:rPr>
                <w:sz w:val="22"/>
                <w:szCs w:val="22"/>
                <w:color w:val="auto"/>
              </w:rPr>
            </w:pPr>
          </w:p>
        </w:tc>
        <w:tc>
          <w:tcPr>
            <w:tcW w:w="140" w:type="dxa"/>
            <w:vAlign w:val="bottom"/>
            <w:tcBorders>
              <w:top w:val="single" w:sz="8" w:color="auto"/>
            </w:tcBorders>
            <w:shd w:val="clear" w:color="auto" w:fill="CCFFCC"/>
          </w:tcPr>
          <w:p>
            <w:pPr>
              <w:spacing w:after="0"/>
              <w:rPr>
                <w:sz w:val="22"/>
                <w:szCs w:val="22"/>
                <w:color w:val="auto"/>
              </w:rPr>
            </w:pPr>
          </w:p>
        </w:tc>
        <w:tc>
          <w:tcPr>
            <w:tcW w:w="640" w:type="dxa"/>
            <w:vAlign w:val="bottom"/>
            <w:tcBorders>
              <w:top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170,729</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issued upon exercise of stock options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1,523,018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16,916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16,918</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Common stock issued upon vesting of restricted stock units</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1,197,576</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24"/>
                <w:szCs w:val="2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999</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25,083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25,083</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w w:val="98"/>
              </w:rPr>
              <w:t>Common stock issued under Employee Stock Purchase Plan</w:t>
            </w:r>
          </w:p>
        </w:tc>
        <w:tc>
          <w:tcPr>
            <w:tcW w:w="82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146,250</w:t>
            </w: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4,142</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4,142</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Common stock repurchase</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(28,545)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Equity component of convertible senior notes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52,900</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52,900</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w w:val="98"/>
              </w:rPr>
              <w:t>Equity component of convertible senior notes issuance costs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276"/>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Purchase of capped call option</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(23,184)</w:t>
            </w: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4"/>
                <w:szCs w:val="24"/>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(23,184)</w:t>
            </w:r>
          </w:p>
        </w:tc>
        <w:tc>
          <w:tcPr>
            <w:tcW w:w="0" w:type="dxa"/>
            <w:vAlign w:val="bottom"/>
          </w:tcPr>
          <w:p>
            <w:pPr>
              <w:spacing w:after="0"/>
              <w:rPr>
                <w:sz w:val="1"/>
                <w:szCs w:val="1"/>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(96,071)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(96,071)</w:t>
            </w:r>
          </w:p>
        </w:tc>
        <w:tc>
          <w:tcPr>
            <w:tcW w:w="0" w:type="dxa"/>
            <w:vAlign w:val="bottom"/>
          </w:tcPr>
          <w:p>
            <w:pPr>
              <w:spacing w:after="0"/>
              <w:rPr>
                <w:sz w:val="1"/>
                <w:szCs w:val="1"/>
                <w:color w:val="auto"/>
              </w:rPr>
            </w:pPr>
          </w:p>
        </w:tc>
      </w:tr>
      <w:tr>
        <w:trPr>
          <w:trHeight w:val="270"/>
        </w:trPr>
        <w:tc>
          <w:tcPr>
            <w:tcW w:w="4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23"/>
                <w:szCs w:val="23"/>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3"/>
                <w:szCs w:val="23"/>
                <w:color w:val="auto"/>
              </w:rPr>
            </w:pP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Balance at December 31, 2019</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66,543,073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(2,709,830)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436,557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(283,562)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(4,524)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148,535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7"/>
          </w:tcPr>
          <w:p>
            <w:pPr>
              <w:jc w:val="right"/>
              <w:ind w:right="31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ACTIVITIES:</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(96,071)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7"/>
              </w:rPr>
              <w:t>(25,032)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(18,191)</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44,105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14,841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8,944</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16,366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14,188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12,358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tenant allowance</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2,932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2,813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4,682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Accretion of debt discount on convertible senior notes</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7,605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Provision for doubtful accounts, net</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2,159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1,895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(2,397)</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880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 net of acquisitions: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Accounts receivable</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(43,757)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(9,662)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(7,998)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(12,993)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9,270</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Contract acquisition costs noncurrent</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(13,718)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(1,635)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(11,137)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3,808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2,199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(2,743)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7,838</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33,953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19,005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8,418</w:t>
            </w:r>
          </w:p>
        </w:tc>
      </w:tr>
      <w:tr>
        <w:trPr>
          <w:trHeight w:val="237"/>
        </w:trPr>
        <w:tc>
          <w:tcPr>
            <w:tcW w:w="8800" w:type="dxa"/>
            <w:vAlign w:val="bottom"/>
          </w:tcPr>
          <w:p>
            <w:pPr>
              <w:ind w:left="500"/>
              <w:spacing w:after="0"/>
              <w:rPr>
                <w:sz w:val="20"/>
                <w:szCs w:val="20"/>
                <w:color w:val="auto"/>
              </w:rPr>
            </w:pPr>
            <w:r>
              <w:rPr>
                <w:rFonts w:ascii="Arial" w:cs="Arial" w:eastAsia="Arial" w:hAnsi="Arial"/>
                <w:sz w:val="16"/>
                <w:szCs w:val="16"/>
                <w:color w:val="auto"/>
              </w:rPr>
              <w:t>Increase in operating lease liability</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80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(445)</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Net cash (used in) provided by operating activities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(59,158)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10,290</w:t>
            </w:r>
          </w:p>
        </w:tc>
      </w:tr>
      <w:tr>
        <w:trPr>
          <w:trHeight w:val="33"/>
        </w:trPr>
        <w:tc>
          <w:tcPr>
            <w:tcW w:w="88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6"/>
        </w:trPr>
        <w:tc>
          <w:tcPr>
            <w:tcW w:w="88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(47,582)</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(21,938)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3"/>
              </w:rPr>
              <w:t>(17,390)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Payments for acquisitions and intangible assets, net of cash acquired</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held as collateral</w:t>
            </w: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2,511</w:t>
            </w:r>
          </w:p>
        </w:tc>
      </w:tr>
      <w:tr>
        <w:trPr>
          <w:trHeight w:val="217"/>
        </w:trPr>
        <w:tc>
          <w:tcPr>
            <w:tcW w:w="880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(27,773)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(15,320)</w:t>
            </w:r>
          </w:p>
        </w:tc>
      </w:tr>
      <w:tr>
        <w:trPr>
          <w:trHeight w:val="33"/>
        </w:trPr>
        <w:tc>
          <w:tcPr>
            <w:tcW w:w="88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56"/>
        </w:trPr>
        <w:tc>
          <w:tcPr>
            <w:tcW w:w="880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14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Repurchase of common stock</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(1,345)</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(1,742)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Proceeds from issuance of common stock in connection with the exercise of options and ESPP</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21,060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35,271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8,951</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Proceeds from issuance of convertible senior notes</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93"/>
              </w:rPr>
              <w:t>230,000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Payment of issuance costs in connection with convertible senior notes</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Payment related to contingent consideration</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Purchase of capped call option</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(23,184)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760"/>
              <w:spacing w:after="0"/>
              <w:rPr>
                <w:sz w:val="20"/>
                <w:szCs w:val="20"/>
                <w:color w:val="auto"/>
              </w:rPr>
            </w:pPr>
            <w:r>
              <w:rPr>
                <w:rFonts w:ascii="Arial" w:cs="Arial" w:eastAsia="Arial" w:hAnsi="Arial"/>
                <w:sz w:val="16"/>
                <w:szCs w:val="16"/>
                <w:color w:val="auto"/>
              </w:rPr>
              <w:t>Net cash provided by financing activities</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93"/>
              </w:rPr>
              <w:t>217,851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33,926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7,209</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3,047</w:t>
            </w:r>
          </w:p>
        </w:tc>
      </w:tr>
      <w:tr>
        <w:trPr>
          <w:trHeight w:val="33"/>
        </w:trPr>
        <w:tc>
          <w:tcPr>
            <w:tcW w:w="88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CHANGE IN CASH AND CASH EQUIVALENTS</w:t>
            </w:r>
          </w:p>
        </w:tc>
        <w:tc>
          <w:tcPr>
            <w:tcW w:w="14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93"/>
              </w:rPr>
              <w:t>110,074</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10,334</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5,226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the year</w:t>
            </w: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66,449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56,115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50,889</w:t>
            </w:r>
          </w:p>
        </w:tc>
      </w:tr>
      <w:tr>
        <w:trPr>
          <w:trHeight w:val="33"/>
        </w:trPr>
        <w:tc>
          <w:tcPr>
            <w:tcW w:w="88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CASH AND CASH EQUIVALENTS - End of the year</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93"/>
              </w:rPr>
              <w:t>176,523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66,449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56,115</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49"/>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50"/>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SUPPLEMENTAL DISCLOSURE OF OTHER CASH FLOW INFORMATION:</w:t>
            </w: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r>
      <w:tr>
        <w:trPr>
          <w:trHeight w:val="290"/>
        </w:trPr>
        <w:tc>
          <w:tcPr>
            <w:tcW w:w="880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Cash paid for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3,304</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5,144</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1,551</w:t>
            </w:r>
          </w:p>
        </w:tc>
      </w:tr>
      <w:tr>
        <w:trPr>
          <w:trHeight w:val="237"/>
        </w:trPr>
        <w:tc>
          <w:tcPr>
            <w:tcW w:w="88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4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Purchase of property and equipment recorded in 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936</w:t>
            </w:r>
          </w:p>
        </w:tc>
      </w:tr>
      <w:tr>
        <w:trPr>
          <w:trHeight w:val="33"/>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Leasehold improvements funded by landlord</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 xml:space="preserve">Operating lease right of use asset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21,588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shd w:val="clear" w:color="auto" w:fill="CCFFCC"/>
          </w:tcPr>
          <w:p>
            <w:pPr>
              <w:ind w:left="280"/>
              <w:spacing w:after="0"/>
              <w:rPr>
                <w:sz w:val="20"/>
                <w:szCs w:val="20"/>
                <w:color w:val="auto"/>
              </w:rPr>
            </w:pPr>
            <w:r>
              <w:rPr>
                <w:rFonts w:ascii="Arial" w:cs="Arial" w:eastAsia="Arial" w:hAnsi="Arial"/>
                <w:sz w:val="16"/>
                <w:szCs w:val="16"/>
                <w:color w:val="auto"/>
              </w:rPr>
              <w:t>Operating lease liabilities- short-term and long term</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(19,467)</w:t>
            </w:r>
          </w:p>
        </w:tc>
        <w:tc>
          <w:tcPr>
            <w:tcW w:w="12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42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337" w:right="239" w:bottom="42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06"/>
        </w:trPr>
        <w:tc>
          <w:tcPr>
            <w:tcW w:w="8320" w:type="dxa"/>
            <w:vAlign w:val="bottom"/>
          </w:tcPr>
          <w:p>
            <w:pPr>
              <w:ind w:left="280"/>
              <w:spacing w:after="0"/>
              <w:rPr>
                <w:sz w:val="20"/>
                <w:szCs w:val="20"/>
                <w:color w:val="auto"/>
              </w:rPr>
            </w:pPr>
            <w:r>
              <w:rPr>
                <w:rFonts w:ascii="Arial" w:cs="Arial" w:eastAsia="Arial" w:hAnsi="Arial"/>
                <w:sz w:val="16"/>
                <w:szCs w:val="16"/>
                <w:color w:val="auto"/>
                <w:w w:val="98"/>
              </w:rPr>
              <w:t>Issuance of 38,462 shares of common stock in connection with the Conversable transaction on December 13, 2019</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1,000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Issuance of 85,861 shares of common stock in connection with the BotCentral transaction on January 24, 2018</w:t>
            </w: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1,000</w:t>
            </w:r>
          </w:p>
        </w:tc>
        <w:tc>
          <w:tcPr>
            <w:tcW w:w="4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w w:val="96"/>
              </w:rPr>
              <w:t>Issuance of 115,385 shares of common stock in connection with the Conversable transaction on September 27, 2018</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2,850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w w:val="97"/>
              </w:rPr>
              <w:t>Issuance of 178,082 shares of common stock in connection with the AdvantageTec transaction on October 11, 2018</w:t>
            </w: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4,300</w:t>
            </w:r>
          </w:p>
        </w:tc>
        <w:tc>
          <w:tcPr>
            <w:tcW w:w="40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Fair value of contingent earn-out in connection with the acquisition of Conversable recorded in accrued expenses</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1,496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8320" w:type="dxa"/>
            <w:vAlign w:val="bottom"/>
            <w:shd w:val="clear" w:color="auto" w:fill="CCFFCC"/>
          </w:tcPr>
          <w:p>
            <w:pPr>
              <w:ind w:left="280"/>
              <w:spacing w:after="0"/>
              <w:rPr>
                <w:sz w:val="20"/>
                <w:szCs w:val="20"/>
                <w:color w:val="auto"/>
              </w:rPr>
            </w:pPr>
            <w:r>
              <w:rPr>
                <w:rFonts w:ascii="Arial" w:cs="Arial" w:eastAsia="Arial" w:hAnsi="Arial"/>
                <w:sz w:val="16"/>
                <w:szCs w:val="16"/>
                <w:color w:val="auto"/>
                <w:w w:val="98"/>
              </w:rPr>
              <w:t>Fair value of contingent earn-out in connection with the acquisition of AdvantageTec recorded in accrued expenses</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876</w:t>
            </w:r>
          </w:p>
        </w:tc>
        <w:tc>
          <w:tcPr>
            <w:tcW w:w="40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FFCC"/>
          </w:tcPr>
          <w:p>
            <w:pPr>
              <w:ind w:left="200"/>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62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580" w:type="dxa"/>
            <w:vAlign w:val="bottom"/>
            <w:shd w:val="clear" w:color="auto" w:fill="CCFFCC"/>
          </w:tcPr>
          <w:p>
            <w:pPr>
              <w:spacing w:after="0"/>
              <w:rPr>
                <w:sz w:val="2"/>
                <w:szCs w:val="2"/>
                <w:color w:val="auto"/>
              </w:rPr>
            </w:pPr>
          </w:p>
        </w:tc>
        <w:tc>
          <w:tcPr>
            <w:tcW w:w="400" w:type="dxa"/>
            <w:vAlign w:val="bottom"/>
            <w:shd w:val="clear" w:color="auto" w:fill="CCFFCC"/>
          </w:tcPr>
          <w:p>
            <w:pPr>
              <w:spacing w:after="0"/>
              <w:rPr>
                <w:sz w:val="2"/>
                <w:szCs w:val="2"/>
                <w:color w:val="auto"/>
              </w:rPr>
            </w:pPr>
          </w:p>
        </w:tc>
        <w:tc>
          <w:tcPr>
            <w:tcW w:w="48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ind w:left="440" w:hanging="162"/>
        <w:spacing w:after="0"/>
        <w:tabs>
          <w:tab w:leader="none" w:pos="4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Includes leases that commenced during the year ended December 31, 2019, as well as balances related to leases in existence as of the date of the adoption of Topic 842.</w:t>
      </w:r>
    </w:p>
    <w:p>
      <w:pPr>
        <w:spacing w:after="0" w:line="34" w:lineRule="exact"/>
        <w:rPr>
          <w:rFonts w:ascii="Arial" w:cs="Arial" w:eastAsia="Arial" w:hAnsi="Arial"/>
          <w:sz w:val="18"/>
          <w:szCs w:val="18"/>
          <w:color w:val="auto"/>
          <w:vertAlign w:val="superscript"/>
        </w:rPr>
      </w:pPr>
    </w:p>
    <w:p>
      <w:pPr>
        <w:ind w:left="4040"/>
        <w:spacing w:after="0"/>
        <w:rPr>
          <w:rFonts w:ascii="Arial" w:cs="Arial" w:eastAsia="Arial" w:hAnsi="Arial"/>
          <w:sz w:val="18"/>
          <w:szCs w:val="18"/>
          <w:color w:val="auto"/>
          <w:vertAlign w:val="superscript"/>
        </w:rPr>
      </w:pPr>
      <w:r>
        <w:rPr>
          <w:rFonts w:ascii="Arial" w:cs="Arial" w:eastAsia="Arial" w:hAnsi="Arial"/>
          <w:sz w:val="18"/>
          <w:szCs w:val="18"/>
          <w:color w:val="auto"/>
        </w:rPr>
        <w:t>See notes to consolidated financial statements.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Inc. (“LivePerson”, the “Company”, “we” or “our”)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Austin (Texas), San Francisco (California) and Seattle (Washington), and international offices in Amsterdam (Netherlands), Berlin (Germany), Delhi (India), London (United Kingdom), Mannheim (Germany), Melbourne (Australia), Milan (Italy), Paris (France), Ra'anana (Israel), Reading (United Kingdom), Singapore (Singapore), Tel Aviv (Israel), and Tokyo (Japan).</w:t>
      </w:r>
    </w:p>
    <w:p>
      <w:pPr>
        <w:spacing w:after="0" w:line="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LivePerson makes life easier for people and brands everywhere through messaging powered by AI and humans. During the past decade, the consumer has made the mobile device the center of their digital lives, and they have made mobile messaging the center of communication with friends, family and peers.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even marketing, social and brick and mortar engagements. For example, consumers can look up product info like ratings, images and pricing, search for stores, see product inventory, schedule appointments, apply for credit, approve repairs, make purchases or payments - all without ever leaving the messaging channel. These AI and human-assisted conversational experiences constitute the Conversational Space.</w:t>
      </w:r>
    </w:p>
    <w:p>
      <w:pPr>
        <w:spacing w:after="0" w:line="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LiveEngage, our enterprise-class cloud-based platform, enables businesses to become conversational by securely deploying messaging, coupled with bots and AI, at scale for brands with tens of millions of customers and many thousands of customer care agents. LiveEngage powers conversations across each of a brand’s primary digital channels, including mobile apps, mobile and desktop web browsers, short message service (SMS), social media and third-party consumer messaging platforms. Brands can also use LiveEngage to message consumers when they dial a 1-800 number instead of forcing them to navigate interactive voice response systems (IVRs) and wait on hold. Similarly, LiveEngage can ingest traditional emails and convert them into messaging conversations, or embed messaging conversations directly into web advertisements, rather than redirect consumers to static website landing pages.</w:t>
      </w:r>
    </w:p>
    <w:p>
      <w:pPr>
        <w:spacing w:after="0" w:line="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With LiveEngage, agents can manage all conversations with consumers through a single console interface, regardless of which disparate messaging endpoints the consumers originate from; i.e., WhatsApp, Line, Apple Business Chat, IVR, social, email, Amazon Alexa, or WeChat.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LiveEngage.</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LiveEngage offers brands a comprehensive approach to scaling automations across their millions of customer conversations.</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reflect the operations of LivePerson and its wholly-owned subsidiaries. All significant intercompany balances and transactions have been eliminated in consolidation.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preparation of the consolidated financial statements in accordance with accounting principles generally accepted in the United States of America (“GAAP”)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Significant items subject to such estimates and assumptions include revenue recognition, stock-based compensation, accounts receivable, the valuation of goodwill and intangible assets, income taxes and legal contingencies.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 which approximate fair value at December 31, 2019 because of the short-term nature of these instruments. The Company invests its cash and cash equivalents with financial institutions that it believes are of high quality, and the Company performs periodic evaluations of these instruments and the relative credit standings of the institutions with which it invests. At certain times, the Company’s cash balances with any one financial institution may exceed Federal Deposit Insurance Corporation insurance limits. The Company believes it mitigates its risk by depositing its cash balances with high credit, quality financial institutions.</w:t>
      </w:r>
    </w:p>
    <w:p>
      <w:pPr>
        <w:spacing w:after="0" w:line="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performs ongoing credit evaluations of its customers’ financial condition (except for customers who purchase the LivePerson services by credit card via Internet download) and has established an allowance for doubtful accounts based upon factors surrounding the credit risk of customers, historical trends and other information. Concentration of credit risk is limited due to the Company’s large number of customers. No single customer accounted for or exceeded 10% of revenue in 2019, 2018 or 2017. Two customers exceeded 10% of the Company's total accounts receivable in 2019 with a balance of approximately $17.6 million. No single customer accounted for or exceeded 10% of the Company’s total accounts receivable in 2018 or in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income (loss) in stockholders’ equity. Foreign exchange transaction gain or losses are included in Other Income (Expense), net in the accompanying consolidated statements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highly liquid securities with original maturities of three months or less when acquired to be cash equivalents. Cash equivalents, which primarily consist of money market funds, are recorded at cost, which approximates fair value.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doubtful accounts is as follows (amounts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Additions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Charged to</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Beginning</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Costs and</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Deductions /</w:t>
            </w:r>
          </w:p>
        </w:tc>
        <w:tc>
          <w:tcPr>
            <w:tcW w:w="200" w:type="dxa"/>
            <w:vAlign w:val="bottom"/>
          </w:tcPr>
          <w:p>
            <w:pPr>
              <w:spacing w:after="0"/>
              <w:rPr>
                <w:sz w:val="17"/>
                <w:szCs w:val="17"/>
                <w:color w:val="auto"/>
              </w:rPr>
            </w:pPr>
          </w:p>
        </w:tc>
        <w:tc>
          <w:tcPr>
            <w:tcW w:w="920" w:type="dxa"/>
            <w:vAlign w:val="bottom"/>
          </w:tcPr>
          <w:p>
            <w:pPr>
              <w:jc w:val="right"/>
              <w:ind w:right="234"/>
              <w:spacing w:after="0"/>
              <w:rPr>
                <w:sz w:val="20"/>
                <w:szCs w:val="20"/>
                <w:color w:val="auto"/>
              </w:rPr>
            </w:pPr>
            <w:r>
              <w:rPr>
                <w:rFonts w:ascii="Arial" w:cs="Arial" w:eastAsia="Arial" w:hAnsi="Arial"/>
                <w:sz w:val="16"/>
                <w:szCs w:val="16"/>
                <w:b w:val="1"/>
                <w:bCs w:val="1"/>
                <w:color w:val="auto"/>
              </w:rPr>
              <w:t>Ending</w:t>
            </w:r>
          </w:p>
        </w:tc>
      </w:tr>
      <w:tr>
        <w:trPr>
          <w:trHeight w:val="27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Balance</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5"/>
              </w:rPr>
              <w:t>Expenses</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8"/>
              </w:rPr>
              <w:t>Write-Offs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7"/>
              </w:rPr>
              <w:t>Balance</w:t>
            </w:r>
          </w:p>
        </w:tc>
      </w:tr>
      <w:tr>
        <w:trPr>
          <w:trHeight w:val="291"/>
        </w:trPr>
        <w:tc>
          <w:tcPr>
            <w:tcW w:w="4280" w:type="dxa"/>
            <w:vAlign w:val="bottom"/>
            <w:tcBorders>
              <w:bottom w:val="single" w:sz="8" w:color="CCFFCC"/>
            </w:tcBorders>
          </w:tcPr>
          <w:p>
            <w:pPr>
              <w:ind w:left="2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FFCC"/>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r>
      <w:tr>
        <w:trPr>
          <w:trHeight w:val="251"/>
        </w:trPr>
        <w:tc>
          <w:tcPr>
            <w:tcW w:w="42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2,276</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4280" w:type="dxa"/>
            <w:vAlign w:val="bottom"/>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7"/>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is calculated using the straight-line method over the estimated useful lives of the related assets, generally three to five years for equipment and software. Leasehold improvements are amortized using the straight-line method over the shorter of the lease term or the estimated useful life of the asset. Depreciation expense, which includes amortization of internal use software totaled $16.4 million, $14.2 million, and $12.4 million for the years ended December 31, 2019, 2018 and 2017,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 Development Costs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Financial Accounting Standards Board (“FASB”) Accounting Standards Codification (“ASC”) 350-40, ‘‘Internal-Use Software’’, 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five years. Costs incurred prior to meeting these criteria, together with costs incurred for training and maintenance, are expensed as incurred.</w:t>
      </w:r>
    </w:p>
    <w:p>
      <w:pPr>
        <w:spacing w:after="0" w:line="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capitalized internal-use software costs of $29.1 million, $11.7 million, and $8.3 million for the years ended December 31, 2019, 2018 and 2017,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w:t>
      </w:r>
    </w:p>
    <w:p>
      <w:pPr>
        <w:spacing w:after="0" w:line="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performs testing for impairment of goodwill in its third quarter, or as events occur or circumstances change that would more likely than not reduce the fair value of the Company’s reporting units below their carrying amounts. A qualitative assessment is first made to determine whether it is necessary to perform the two-step quantitative goodwill impairment test. This initial qualitative assessment includes, among other things, consideration of: (i) market capitalization of the Company, (ii) 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analysis will be performed, involving a comparison between the estimated fair values of the Company’s reporting unit with its respective carrying amount including goodwill. If the carrying value exceeds estimated fair value, there is an indication of potential impairment, and a third analysis is performed to measure the amount of impairment. The third analysis involves calculating an implied fair value of goodwill by measuring the excess of the estimated fair value of the reporting unit over the aggregate estimated fair values of the individual assets less liabilities. If the carrying value of goodwill exceeds the implied fair value of goodwill, an impairment charge is recorded for the excess.</w:t>
      </w:r>
    </w:p>
    <w:p>
      <w:pPr>
        <w:spacing w:after="0" w:line="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with estimable useful lives are amortized over their respective estimated useful lives to their estimated residual values, and reviewed for impairment in accordance with ASC 360-10-35, “Accounting for Impairment or Disposal of Long-Lived Assets.”</w:t>
      </w:r>
    </w:p>
    <w:p>
      <w:pPr>
        <w:spacing w:after="0" w:line="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evaluates for goodwill impairment annually at September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and at the end of the third quarter of 2019, and 2018, the Company determined that it was not more-likely that the fair value of the reporting units is less than their carrying amount. Accordingly, the Company did not perform the two-step goodwill impairment test on both the Company's Business and Consumer segments. The Company assessed qualitative facts while summarizing the totality of events and circumstances and considered the extent to which adverse events or circumstances could affect the reporting unit's fair value as well as the consideration of positive and mitigating events and circumstances that would affect the determination of whether it was more likely than not that the fair value of a reporting unit is less than its carrying amount.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Business combinations are accounted for using the acquisition method and accordingly, the assets acquired (including identified intangible assets), the liabilities assumed and any noncontrolling interest in the acquired business are recorded at their acquisition date fair values. The Company’s acquisition model typically provides for an initial payment at closing and for future additional contingent purchase price obligations. Contingent purchase price obligations are recorded as deferred acquisition consideration on the balance sheet at the acquisition date fair value and are remeasured at each reporting period. Changes in such</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estimated values are recorded in the results of operations. For further information, see Note 8 of the Notes to the Consolidated Financial Statements included herein.</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each acquisition, the Company undertakes a detailed review to identify other intangible assets and a valuation is performed for all such identified assets. The Company uses several market participant measurements to determine estimated value. This approach includes consideration of similar and recent transactions, as well as utilizing discounted expected cash flow methodologies. A substantial portion of the intangible asset value that the Company acquires is the specialized know-how of the workforce, which is treated as part of goodwill and is not required to be valued separately. The majority of the value of the identifiable intangible assets acquired is derived from customer relationships, including the related customer contracts, as well as trade names. In executing the Company’s overall acquisition strategy, one of the primary drivers in identifying and executing a specific transaction is the existence of, or the ability to, expand the existing client relationships. The expected benefits of the Company’s acquisitions are typically shared across multiple agencies and regions.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360-10, “Accounting for the Impairment or Disposal of Long-lived Assets,” long-lived assets, such as property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17" w:lineRule="exact"/>
        <w:rPr>
          <w:sz w:val="20"/>
          <w:szCs w:val="20"/>
          <w:color w:val="auto"/>
        </w:rPr>
      </w:pPr>
    </w:p>
    <w:p>
      <w:pPr>
        <w:ind w:left="1360" w:hanging="20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63" w:lineRule="exact"/>
        <w:rPr>
          <w:rFonts w:ascii="Arial" w:cs="Arial" w:eastAsia="Arial" w:hAnsi="Arial"/>
          <w:sz w:val="18"/>
          <w:szCs w:val="18"/>
          <w:color w:val="auto"/>
        </w:rPr>
      </w:pPr>
    </w:p>
    <w:p>
      <w:pPr>
        <w:ind w:left="1360" w:hanging="20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revenue of $291.6 million, $249.8 million, and $218.9 million was recognized during the years ended December 31, 2019, December 31, 2018 and December 31, 2017, respectively.</w:t>
      </w:r>
    </w:p>
    <w:p>
      <w:pPr>
        <w:spacing w:after="0" w:line="3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has made the following accounting policy election and elected to use a practical expedient specific to certain revenue streams, as permitted by the FASB, in applying Topic 606. The Company utilizes the right-to-invoice practical expedient with regard to the recognition of revenue upon the invoicing of certain revenue streams, as revenue for those streams are billed monthly.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Topic 606, the Company defers all incremental commission costs ("contract acquisition costs") to obtain the contract. The contract acquisition costs, which are comprised of prepaid sales commissions, have balances at December 31, 2019 and 2018 of $32.0 million and $13.4 million, respectively. The Company amortizes these costs over the related period of benefit using the customer expected life that the Company determined to be three to five years which is consistent with the transfer to the customer of the services to which the asset relates. The Company classifies contract acquisition costs as long-term unless they have an original amortization period of one year or less.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Business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Hosted Services Business revenue is reported at the amount that reflects the ultimate consideration expected to be received and primarily consist of fees that provide customers access to LiveEngage,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LiveEngage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ASC-606, ‘‘Principal Agent Considerations’’, the Company acts as a principal in a transaction if it controls the specified goods or services before they are transferred to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LiveEngage platform, and as such will be recognized on a straight-line basis over the contract term. For services billed on a fixed price basis, revenue is recognized over time based on the proportion performed using inputs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Consumer 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records deferred revenues when cash payments are received or due in advance of its performance. The increase in the deferred revenue balance for the year ended December 31, 2019 is primarily driven by cash payments received or due in advance of satisfying its performance obligations, partially offset by $42.4 million of revenues recognized that were included in the deferred revenue balance as of December 31, 2018.</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deferred revenue by revenue source (amounts in thousands):</w:t>
      </w:r>
    </w:p>
    <w:p>
      <w:pPr>
        <w:spacing w:after="0" w:line="185"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37465</wp:posOffset>
            </wp:positionV>
            <wp:extent cx="1869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40" w:type="dxa"/>
            <w:vAlign w:val="bottom"/>
            <w:tcBorders>
              <w:bottom w:val="single" w:sz="8" w:color="CCFFCC"/>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236"/>
        </w:trPr>
        <w:tc>
          <w:tcPr>
            <w:tcW w:w="8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Hosted services – Business</w:t>
            </w:r>
          </w:p>
        </w:tc>
        <w:tc>
          <w:tcPr>
            <w:tcW w:w="920" w:type="dxa"/>
            <w:vAlign w:val="bottom"/>
            <w:tcBorders>
              <w:bottom w:val="single" w:sz="8" w:color="CCFFCC"/>
            </w:tcBorders>
            <w:shd w:val="clear" w:color="auto" w:fill="CCFFCC"/>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82,892</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51,689</w:t>
            </w:r>
          </w:p>
        </w:tc>
      </w:tr>
      <w:tr>
        <w:trPr>
          <w:trHeight w:val="237"/>
        </w:trPr>
        <w:tc>
          <w:tcPr>
            <w:tcW w:w="8440" w:type="dxa"/>
            <w:vAlign w:val="bottom"/>
          </w:tcPr>
          <w:p>
            <w:pPr>
              <w:ind w:left="20"/>
              <w:spacing w:after="0"/>
              <w:rPr>
                <w:sz w:val="20"/>
                <w:szCs w:val="20"/>
                <w:color w:val="auto"/>
              </w:rPr>
            </w:pPr>
            <w:r>
              <w:rPr>
                <w:rFonts w:ascii="Arial" w:cs="Arial" w:eastAsia="Arial" w:hAnsi="Arial"/>
                <w:sz w:val="16"/>
                <w:szCs w:val="16"/>
                <w:color w:val="auto"/>
              </w:rPr>
              <w:t>Hosted services – Consumer</w:t>
            </w:r>
          </w:p>
        </w:tc>
        <w:tc>
          <w:tcPr>
            <w:tcW w:w="9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543</w:t>
            </w:r>
          </w:p>
        </w:tc>
      </w:tr>
      <w:tr>
        <w:trPr>
          <w:trHeight w:val="33"/>
        </w:trPr>
        <w:tc>
          <w:tcPr>
            <w:tcW w:w="8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Professional services – Business</w:t>
            </w:r>
          </w:p>
        </w:tc>
        <w:tc>
          <w:tcPr>
            <w:tcW w:w="920" w:type="dxa"/>
            <w:vAlign w:val="bottom"/>
            <w:tcBorders>
              <w:bottom w:val="single" w:sz="8" w:color="CCFFCC"/>
            </w:tcBorders>
            <w:shd w:val="clear" w:color="auto" w:fill="CCFFCC"/>
          </w:tcPr>
          <w:p>
            <w:pPr>
              <w:spacing w:after="0"/>
              <w:rPr>
                <w:sz w:val="23"/>
                <w:szCs w:val="23"/>
                <w:color w:val="auto"/>
              </w:rPr>
            </w:pP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5,172</w:t>
            </w: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2,783</w:t>
            </w:r>
          </w:p>
        </w:tc>
      </w:tr>
      <w:tr>
        <w:trPr>
          <w:trHeight w:val="284"/>
        </w:trPr>
        <w:tc>
          <w:tcPr>
            <w:tcW w:w="844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deferred revenue - short term</w:t>
            </w:r>
          </w:p>
        </w:tc>
        <w:tc>
          <w:tcPr>
            <w:tcW w:w="9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88,751</w:t>
            </w:r>
          </w:p>
        </w:tc>
        <w:tc>
          <w:tcPr>
            <w:tcW w:w="120" w:type="dxa"/>
            <w:vAlign w:val="bottom"/>
            <w:tcBorders>
              <w:bottom w:val="single" w:sz="8" w:color="CCFFCC"/>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55,015</w:t>
            </w:r>
          </w:p>
        </w:tc>
      </w:tr>
      <w:tr>
        <w:trPr>
          <w:trHeight w:val="284"/>
        </w:trPr>
        <w:tc>
          <w:tcPr>
            <w:tcW w:w="844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1020" w:type="dxa"/>
            <w:vAlign w:val="bottom"/>
            <w:shd w:val="clear" w:color="auto" w:fill="CCFFCC"/>
          </w:tcPr>
          <w:p>
            <w:pPr>
              <w:spacing w:after="0"/>
              <w:rPr>
                <w:sz w:val="24"/>
                <w:szCs w:val="24"/>
                <w:color w:val="auto"/>
              </w:rPr>
            </w:pPr>
          </w:p>
        </w:tc>
      </w:tr>
      <w:tr>
        <w:trPr>
          <w:trHeight w:val="237"/>
        </w:trPr>
        <w:tc>
          <w:tcPr>
            <w:tcW w:w="8440" w:type="dxa"/>
            <w:vAlign w:val="bottom"/>
          </w:tcPr>
          <w:p>
            <w:pPr>
              <w:ind w:left="20"/>
              <w:spacing w:after="0"/>
              <w:rPr>
                <w:sz w:val="20"/>
                <w:szCs w:val="20"/>
                <w:color w:val="auto"/>
              </w:rPr>
            </w:pPr>
            <w:r>
              <w:rPr>
                <w:rFonts w:ascii="Arial" w:cs="Arial" w:eastAsia="Arial" w:hAnsi="Arial"/>
                <w:sz w:val="16"/>
                <w:szCs w:val="16"/>
                <w:color w:val="auto"/>
              </w:rPr>
              <w:t>Hosted services – Business</w:t>
            </w:r>
          </w:p>
        </w:tc>
        <w:tc>
          <w:tcPr>
            <w:tcW w:w="920" w:type="dxa"/>
            <w:vAlign w:val="bottom"/>
          </w:tcPr>
          <w:p>
            <w:pPr>
              <w:jc w:val="right"/>
              <w:ind w:right="721"/>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w:t>
            </w:r>
          </w:p>
        </w:tc>
      </w:tr>
      <w:tr>
        <w:trPr>
          <w:trHeight w:val="33"/>
        </w:trPr>
        <w:tc>
          <w:tcPr>
            <w:tcW w:w="8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Professional services – Business</w:t>
            </w:r>
          </w:p>
        </w:tc>
        <w:tc>
          <w:tcPr>
            <w:tcW w:w="920" w:type="dxa"/>
            <w:vAlign w:val="bottom"/>
            <w:tcBorders>
              <w:bottom w:val="single" w:sz="8" w:color="CCFFCC"/>
            </w:tcBorders>
            <w:shd w:val="clear" w:color="auto" w:fill="CCFFCC"/>
          </w:tcPr>
          <w:p>
            <w:pPr>
              <w:spacing w:after="0"/>
              <w:rPr>
                <w:sz w:val="23"/>
                <w:szCs w:val="23"/>
                <w:color w:val="auto"/>
              </w:rPr>
            </w:pPr>
          </w:p>
        </w:tc>
        <w:tc>
          <w:tcPr>
            <w:tcW w:w="5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203</w:t>
            </w:r>
          </w:p>
        </w:tc>
      </w:tr>
      <w:tr>
        <w:trPr>
          <w:trHeight w:val="244"/>
        </w:trPr>
        <w:tc>
          <w:tcPr>
            <w:tcW w:w="8440" w:type="dxa"/>
            <w:vAlign w:val="bottom"/>
          </w:tcPr>
          <w:p>
            <w:pPr>
              <w:ind w:left="280"/>
              <w:spacing w:after="0"/>
              <w:rPr>
                <w:sz w:val="20"/>
                <w:szCs w:val="20"/>
                <w:color w:val="auto"/>
              </w:rPr>
            </w:pPr>
            <w:r>
              <w:rPr>
                <w:rFonts w:ascii="Arial" w:cs="Arial" w:eastAsia="Arial" w:hAnsi="Arial"/>
                <w:sz w:val="16"/>
                <w:szCs w:val="16"/>
                <w:color w:val="auto"/>
              </w:rPr>
              <w:t>Total deferred revenue - long term</w:t>
            </w:r>
          </w:p>
        </w:tc>
        <w:tc>
          <w:tcPr>
            <w:tcW w:w="9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222</w:t>
            </w: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revenues disaggregated by revenue source (amounts in thousands):</w:t>
      </w:r>
    </w:p>
    <w:p>
      <w:pPr>
        <w:spacing w:after="0" w:line="185"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37465</wp:posOffset>
            </wp:positionV>
            <wp:extent cx="2752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3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225,705</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197,474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178,686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shd w:val="clear" w:color="auto" w:fill="CCFFCC"/>
              </w:rPr>
              <w:t>Hosted services – Consumer</w:t>
            </w:r>
          </w:p>
        </w:tc>
        <w:tc>
          <w:tcPr>
            <w:tcW w:w="3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24,480</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19,553</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17,450</w:t>
            </w: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34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41,424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32,811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22,740</w:t>
            </w:r>
          </w:p>
        </w:tc>
      </w:tr>
      <w:tr>
        <w:trPr>
          <w:trHeight w:val="33"/>
        </w:trPr>
        <w:tc>
          <w:tcPr>
            <w:tcW w:w="708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shd w:val="clear" w:color="auto" w:fill="CCFFCC"/>
              </w:rPr>
              <w:t>Total revenue</w:t>
            </w:r>
          </w:p>
        </w:tc>
        <w:tc>
          <w:tcPr>
            <w:tcW w:w="34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291,609</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249,838</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218,876</w:t>
            </w:r>
          </w:p>
        </w:tc>
      </w:tr>
      <w:tr>
        <w:trPr>
          <w:trHeight w:val="20"/>
        </w:trPr>
        <w:tc>
          <w:tcPr>
            <w:tcW w:w="708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years ended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708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170,815</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146,702</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137,433</w:t>
            </w:r>
          </w:p>
        </w:tc>
      </w:tr>
      <w:tr>
        <w:trPr>
          <w:trHeight w:val="270"/>
        </w:trPr>
        <w:tc>
          <w:tcPr>
            <w:tcW w:w="7080" w:type="dxa"/>
            <w:vAlign w:val="bottom"/>
            <w:tcBorders>
              <w:bottom w:val="single" w:sz="8" w:color="CCFFCC"/>
            </w:tcBorders>
          </w:tcPr>
          <w:p>
            <w:pPr>
              <w:ind w:left="40"/>
              <w:spacing w:after="0" w:line="270" w:lineRule="exact"/>
              <w:rPr>
                <w:sz w:val="20"/>
                <w:szCs w:val="20"/>
                <w:color w:val="auto"/>
              </w:rPr>
            </w:pPr>
            <w:r>
              <w:rPr>
                <w:rFonts w:ascii="Arial" w:cs="Arial" w:eastAsia="Arial" w:hAnsi="Arial"/>
                <w:sz w:val="18"/>
                <w:szCs w:val="18"/>
                <w:color w:val="auto"/>
              </w:rPr>
              <w:t xml:space="preserve">Other Americas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11,462</w:t>
            </w:r>
          </w:p>
        </w:tc>
        <w:tc>
          <w:tcPr>
            <w:tcW w:w="100" w:type="dxa"/>
            <w:vAlign w:val="bottom"/>
            <w:tcBorders>
              <w:bottom w:val="single" w:sz="8" w:color="CCFFC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7,315</w:t>
            </w:r>
          </w:p>
        </w:tc>
        <w:tc>
          <w:tcPr>
            <w:tcW w:w="120" w:type="dxa"/>
            <w:vAlign w:val="bottom"/>
            <w:tcBorders>
              <w:bottom w:val="single" w:sz="8" w:color="CCFFC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6,987</w:t>
            </w:r>
          </w:p>
        </w:tc>
      </w:tr>
      <w:tr>
        <w:trPr>
          <w:trHeight w:val="244"/>
        </w:trPr>
        <w:tc>
          <w:tcPr>
            <w:tcW w:w="70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Americas</w:t>
            </w:r>
          </w:p>
        </w:tc>
        <w:tc>
          <w:tcPr>
            <w:tcW w:w="3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182,277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154,017</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144,420</w:t>
            </w:r>
          </w:p>
        </w:tc>
      </w:tr>
      <w:tr>
        <w:trPr>
          <w:trHeight w:val="270"/>
        </w:trPr>
        <w:tc>
          <w:tcPr>
            <w:tcW w:w="708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2"/>
                <w:szCs w:val="12"/>
                <w:color w:val="auto"/>
              </w:rPr>
              <w:t xml:space="preserve"> (2) (4)</w:t>
            </w:r>
          </w:p>
        </w:tc>
        <w:tc>
          <w:tcPr>
            <w:tcW w:w="3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78,301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71,318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56,310</w:t>
            </w:r>
          </w:p>
        </w:tc>
      </w:tr>
      <w:tr>
        <w:trPr>
          <w:trHeight w:val="270"/>
        </w:trPr>
        <w:tc>
          <w:tcPr>
            <w:tcW w:w="708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APAC </w:t>
            </w:r>
            <w:r>
              <w:rPr>
                <w:rFonts w:ascii="Arial" w:cs="Arial" w:eastAsia="Arial" w:hAnsi="Arial"/>
                <w:sz w:val="25"/>
                <w:szCs w:val="25"/>
                <w:color w:val="auto"/>
                <w:vertAlign w:val="superscript"/>
              </w:rPr>
              <w:t>(3)</w:t>
            </w:r>
          </w:p>
        </w:tc>
        <w:tc>
          <w:tcPr>
            <w:tcW w:w="34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31,031</w:t>
            </w:r>
          </w:p>
        </w:tc>
        <w:tc>
          <w:tcPr>
            <w:tcW w:w="100" w:type="dxa"/>
            <w:vAlign w:val="bottom"/>
            <w:shd w:val="clear" w:color="auto" w:fill="CCFFCC"/>
          </w:tcPr>
          <w:p>
            <w:pPr>
              <w:spacing w:after="0"/>
              <w:rPr>
                <w:sz w:val="23"/>
                <w:szCs w:val="23"/>
                <w:color w:val="auto"/>
              </w:rPr>
            </w:pPr>
          </w:p>
        </w:tc>
        <w:tc>
          <w:tcPr>
            <w:tcW w:w="160" w:type="dxa"/>
            <w:vAlign w:val="bottom"/>
            <w:tcBorders>
              <w:bottom w:val="single" w:sz="8" w:color="auto"/>
            </w:tcBorders>
            <w:shd w:val="clear" w:color="auto" w:fill="CCFFCC"/>
          </w:tcPr>
          <w:p>
            <w:pPr>
              <w:spacing w:after="0"/>
              <w:rPr>
                <w:sz w:val="23"/>
                <w:szCs w:val="23"/>
                <w:color w:val="auto"/>
              </w:rPr>
            </w:pPr>
          </w:p>
        </w:tc>
        <w:tc>
          <w:tcPr>
            <w:tcW w:w="120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24,503</w:t>
            </w:r>
          </w:p>
        </w:tc>
        <w:tc>
          <w:tcPr>
            <w:tcW w:w="120" w:type="dxa"/>
            <w:vAlign w:val="bottom"/>
            <w:shd w:val="clear" w:color="auto" w:fill="CCFFCC"/>
          </w:tcPr>
          <w:p>
            <w:pPr>
              <w:spacing w:after="0"/>
              <w:rPr>
                <w:sz w:val="23"/>
                <w:szCs w:val="23"/>
                <w:color w:val="auto"/>
              </w:rPr>
            </w:pP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18,146</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291,609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249,838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218,876</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58"/>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91" w:lineRule="auto"/>
        <w:tabs>
          <w:tab w:leader="none" w:pos="180" w:val="left"/>
        </w:tabs>
        <w:numPr>
          <w:ilvl w:val="0"/>
          <w:numId w:val="58"/>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spacing w:after="0" w:line="10" w:lineRule="exact"/>
        <w:rPr>
          <w:rFonts w:ascii="Arial" w:cs="Arial" w:eastAsia="Arial" w:hAnsi="Arial"/>
          <w:sz w:val="21"/>
          <w:szCs w:val="21"/>
          <w:color w:val="auto"/>
          <w:vertAlign w:val="superscript"/>
        </w:rPr>
      </w:pPr>
    </w:p>
    <w:p>
      <w:pPr>
        <w:ind w:firstLine="8"/>
        <w:spacing w:after="0" w:line="326" w:lineRule="auto"/>
        <w:tabs>
          <w:tab w:leader="none" w:pos="153" w:val="left"/>
        </w:tabs>
        <w:numPr>
          <w:ilvl w:val="0"/>
          <w:numId w:val="58"/>
        </w:numPr>
        <w:rPr>
          <w:rFonts w:ascii="Arial" w:cs="Arial" w:eastAsia="Arial" w:hAnsi="Arial"/>
          <w:sz w:val="17"/>
          <w:szCs w:val="17"/>
          <w:color w:val="auto"/>
          <w:vertAlign w:val="superscript"/>
        </w:rPr>
      </w:pPr>
      <w:r>
        <w:rPr>
          <w:rFonts w:ascii="Arial" w:cs="Arial" w:eastAsia="Arial" w:hAnsi="Arial"/>
          <w:sz w:val="13"/>
          <w:szCs w:val="13"/>
          <w:color w:val="auto"/>
        </w:rPr>
        <w:t>Includes revenue from the United Kingdom of $50.4 million, $46.5 million, and $38.9 million for the year ended December 31, 2019</w:t>
      </w:r>
      <w:r>
        <w:rPr>
          <w:rFonts w:ascii="Arial" w:cs="Arial" w:eastAsia="Arial" w:hAnsi="Arial"/>
          <w:sz w:val="14"/>
          <w:szCs w:val="14"/>
          <w:color w:val="auto"/>
        </w:rPr>
        <w:t>,</w:t>
      </w:r>
      <w:r>
        <w:rPr>
          <w:rFonts w:ascii="Arial" w:cs="Arial" w:eastAsia="Arial" w:hAnsi="Arial"/>
          <w:sz w:val="13"/>
          <w:szCs w:val="13"/>
          <w:color w:val="auto"/>
        </w:rPr>
        <w:t xml:space="preserve"> 2018, and 2017, respectively. and from the Netherlands of $10.0 million, $8.7 million, and $2.0 million for the year ended December 31, 2019</w:t>
      </w:r>
      <w:r>
        <w:rPr>
          <w:rFonts w:ascii="Arial" w:cs="Arial" w:eastAsia="Arial" w:hAnsi="Arial"/>
          <w:sz w:val="14"/>
          <w:szCs w:val="14"/>
          <w:color w:val="auto"/>
        </w:rPr>
        <w:t>,</w:t>
      </w:r>
      <w:r>
        <w:rPr>
          <w:rFonts w:ascii="Arial" w:cs="Arial" w:eastAsia="Arial" w:hAnsi="Arial"/>
          <w:sz w:val="13"/>
          <w:szCs w:val="13"/>
          <w:color w:val="auto"/>
        </w:rPr>
        <w:t xml:space="preserve"> 2018, and 2017,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Amounts collected in advance of services being provided are accounted for as deferred revenue. Nearly all of the Company's deferred revenue balance is related to </w:t>
      </w:r>
      <w:r>
        <w:rPr>
          <w:rFonts w:ascii="Arial" w:cs="Arial" w:eastAsia="Arial" w:hAnsi="Arial"/>
          <w:sz w:val="18"/>
          <w:szCs w:val="18"/>
          <w:i w:val="1"/>
          <w:iCs w:val="1"/>
          <w:color w:val="auto"/>
        </w:rPr>
        <w:t>Hosted Services- Business Revenue.</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3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some arrangements, the Company allows customers to pay for access to LiveEngage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 (amounts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Accounts</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Unbilled</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Contract</w:t>
            </w: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1000" w:type="dxa"/>
            <w:vAlign w:val="bottom"/>
          </w:tcPr>
          <w:p>
            <w:pPr>
              <w:jc w:val="center"/>
              <w:ind w:right="43"/>
              <w:spacing w:after="0"/>
              <w:rPr>
                <w:sz w:val="20"/>
                <w:szCs w:val="20"/>
                <w:color w:val="auto"/>
              </w:rPr>
            </w:pPr>
            <w:r>
              <w:rPr>
                <w:rFonts w:ascii="Arial" w:cs="Arial" w:eastAsia="Arial" w:hAnsi="Arial"/>
                <w:sz w:val="14"/>
                <w:szCs w:val="14"/>
                <w:b w:val="1"/>
                <w:bCs w:val="1"/>
                <w:color w:val="auto"/>
                <w:w w:val="97"/>
              </w:rPr>
              <w:t>Deferred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Acquisition Costs</w:t>
            </w:r>
          </w:p>
        </w:tc>
        <w:tc>
          <w:tcPr>
            <w:tcW w:w="18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10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Revenue (long</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noncurrent</w:t>
            </w: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6"/>
                <w:szCs w:val="16"/>
                <w:color w:val="auto"/>
              </w:rPr>
            </w:pPr>
          </w:p>
        </w:tc>
        <w:tc>
          <w:tcPr>
            <w:tcW w:w="1000" w:type="dxa"/>
            <w:vAlign w:val="bottom"/>
          </w:tcPr>
          <w:p>
            <w:pPr>
              <w:jc w:val="center"/>
              <w:ind w:right="43"/>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236"/>
        </w:trPr>
        <w:tc>
          <w:tcPr>
            <w:tcW w:w="52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Opening Balance as of December 31, 2018</w:t>
            </w: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34,211</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11,812</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13,361</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55,015</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Increase (decrease), net</w:t>
            </w:r>
          </w:p>
        </w:tc>
        <w:tc>
          <w:tcPr>
            <w:tcW w:w="18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36,107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5,490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18,604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33,736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Ending Balance as of December 31, 2019</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70,318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17,302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31,965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88,751</w:t>
            </w:r>
          </w:p>
        </w:tc>
        <w:tc>
          <w:tcPr>
            <w:tcW w:w="1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 expects to recognize the long term performance obligations in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expenses the cost of advertising and promoting its services as incurred in the sales and marketing expense on the consolidated statement of operations. Such costs totaled approximately $28.6 million, $17.4 million, and $15.8 million for the years ended December 31, 2019, 2018 and 2017,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ASC Topic 718 -10, ‘‘Stock Compensation’’, the Company measures stock based awards at fair value and recognizes compensation expense for all share-based payment awards made to its employees and directors, including employee stock options.</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the fair value of stock options granted using the Black-Scholes valuation model. This model requires the Company to make estimates and assumptions including, among other things, estimates regarding the length of time an employee will retain vested stock options before exercising them, the estimated volatility of its common stock price and the number of options that will be forfeited prior to vesting. The fair value is then recognized on a straight line basis over the requisite service period of the award, which is generally three to four years. Changes in these estimates and assumptions can materially affect the determination of the fair value of the stock-based compensation and consequently, the related amount recognized in the consolidated statement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records rent expense on a straight-line basis over the term of the related lease. The difference between the rent expense recognized for financial reporting purposes and the actual payments made in accordance with the lease agreement is recognized as deferred rent liability included in other liabilities on the Company’s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 unrecognized tax benefits in general and administrative expenses. Valuation allowances are established, when necessary, to reduce deferred tax assets to the amount expected to be realized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220, ‘‘Comprehensive Income’’, the Company reports by major components and as a single total, the change in its net assets during the period from non-owner sources. Comprehensive income (loss) consists of net income (loss), and accumulated other comprehensive income (loss), which includes certain changes in equity that are excluded from net income (loss). The Company’s comprehensive loss for all periods presented is related to the effect of foreign currency translation.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3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212529"/>
        </w:rPr>
        <w:t>In June 2016, the Financial Accounting Standards Board (“FASB”) issued Accounting Standards Update (‘‘ASU’’) 2016</w:t>
      </w:r>
      <w:r>
        <w:rPr>
          <w:rFonts w:ascii="MS PGothic" w:cs="MS PGothic" w:eastAsia="MS PGothic" w:hAnsi="MS PGothic"/>
          <w:sz w:val="16"/>
          <w:szCs w:val="16"/>
          <w:color w:val="212529"/>
        </w:rPr>
        <w:t>‑</w:t>
      </w:r>
      <w:r>
        <w:rPr>
          <w:rFonts w:ascii="Arial" w:cs="Arial" w:eastAsia="Arial" w:hAnsi="Arial"/>
          <w:sz w:val="16"/>
          <w:szCs w:val="16"/>
          <w:color w:val="212529"/>
        </w:rPr>
        <w:t>13, “Financial Instruments-Credit Losses: Measurement of Credit Losses on Financial Instruments,” which changes the impairment model for most financial assets. The new model uses a forward</w:t>
      </w:r>
      <w:r>
        <w:rPr>
          <w:rFonts w:ascii="MS PGothic" w:cs="MS PGothic" w:eastAsia="MS PGothic" w:hAnsi="MS PGothic"/>
          <w:sz w:val="16"/>
          <w:szCs w:val="16"/>
          <w:color w:val="212529"/>
        </w:rPr>
        <w:t>‑</w:t>
      </w:r>
      <w:r>
        <w:rPr>
          <w:rFonts w:ascii="Arial" w:cs="Arial" w:eastAsia="Arial" w:hAnsi="Arial"/>
          <w:sz w:val="16"/>
          <w:szCs w:val="16"/>
          <w:color w:val="212529"/>
        </w:rPr>
        <w:t>looking expected loss method, which will generally result in earlier recognition of allowances for losses. In November 2018, the FASB issued ASU 2018</w:t>
      </w:r>
      <w:r>
        <w:rPr>
          <w:rFonts w:ascii="MS PGothic" w:cs="MS PGothic" w:eastAsia="MS PGothic" w:hAnsi="MS PGothic"/>
          <w:sz w:val="16"/>
          <w:szCs w:val="16"/>
          <w:color w:val="212529"/>
        </w:rPr>
        <w:t>‑</w:t>
      </w:r>
      <w:r>
        <w:rPr>
          <w:rFonts w:ascii="Arial" w:cs="Arial" w:eastAsia="Arial" w:hAnsi="Arial"/>
          <w:sz w:val="16"/>
          <w:szCs w:val="16"/>
          <w:color w:val="212529"/>
        </w:rPr>
        <w:t>19, “Codification Improvements to Topic 326, Financial Instruments- Credit Losses,” which clarifies that receivables arising from operating leases are not within the scope of Topic 326, Financial Instruments-Credit Losses. Instead, impairment of receivables arising from operating leases should be accounted for in accordance with Topic 842, Leases . In April 2019, the FASB issued ASU 2019-04, ‘‘Codification Improvements to Topic 326, Financial Instruments-Credit Losses, Topic 815, Derivatives and Hedging, and Topic 825, Financial Instruments,’’ which clarifies treatment of certain credit losses. In May 2019, the FASB issued ASU 2019-05, ‘‘Financial Instruments - Credit Losses (Topic 326): Targeted Transition Relief,’’ which permits an entity, upon adoption of ASU 2016-13, to irrevocably elect the fair value option (on an instrument-by instrument basis) for eligible financial assets measured at amortized cost basis. These ASUs are effective for annual and interim periods beginning after January 1, 2020, and early adoption is permitted. The Company does not expect the adoption of this standard to have a material effect on our consolidated financial statements.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12529"/>
        </w:rPr>
        <w:t>In August 2018, the FASB issued ASU No. 2018-15, ‘‘Customer’s Accounting for Implementation Costs Incurred in a Cloud Computing Arrangement That Is a Service Contract; Disclosures for Implementation Costs Incurred for Internal-Use Software and Cloud Computing Arrangements’’ (“ASU 2018-15”). This standard aligns the accounting for implementation costs incurred in a hosting arrangement that is a service contract with the accounting for implementation costs incurred to develop or obtain internal-use software under Accounting Standards Codification (‘‘ASC’’) 350-40, in order to determine which costs to capitalize and recognize as an asset. ASU 2018-15 is effective for annual reporting periods, and interim periods within those years, beginning after December 15, 2019, and can be applied either prospectively to implementation costs incurred after the date of adoption or retrospectively to all arrangements. The Company is currently in the process of evaluating the impact of the adoption of ASU 2018-230 on its consolidated financial statements.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In January 2017, FASB issued ASU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will have a material effect on its financial position, results of operations or cash flows.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0" w:lineRule="exact"/>
        <w:rPr>
          <w:sz w:val="20"/>
          <w:szCs w:val="20"/>
          <w:color w:val="auto"/>
        </w:rPr>
      </w:pPr>
    </w:p>
    <w:p>
      <w:pPr>
        <w:spacing w:after="0" w:line="24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212529"/>
        </w:rPr>
        <w:t>In February 2016, the FASB issued ASU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Lessees (for capital and operating leases) and lessors (for sales-type, direct financing, and operating leases) may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35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212529"/>
        </w:rPr>
        <w:t>The Company adopted ASU No. 2016-02, ‘‘Leases’’ (Topic 842), as of January 1, 2019 using the modified transition approach. The modified transition approach provides a method for recording existing leases at adoption. As a result, the Company was not required to adjust its comparative period financial information for effects of the standard or make the new required lease disclosures for periods before the date of adoption (i.e. January 1, 2019). For its long-term operating lease, the Company recognized a right-of-use asset and a lease liability on its balance sheet. The lease liability is determined as the present value of future lease payments using an estimated rate of interest that the Company would have to pay to borrow equivalent funds on a collateralized basis at the lease commencement date. The right-of-use asset is based on the liability adjusted for any prepaid or deferred rent. The lease term at the commencement date is determined by considering whether renewal options and termination options are reasonably assured of exercise. Rent expense for the operating lease is recognized on a straight-line basis over the lease term and is included in operating expenses on the statements of operations. Variable lease payments include lease operating expenses. The adoption of the new standard resulted in the recording of additional net lease assets and lease liabilities of approximately $10.0 million. The standard did not materially impact the Company's consolidated net earnings and had no impact on cash flows.</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In June 2018, the FASB issued ASU No. 2018-07, ‘‘Compensation -Stock Compensation (Topic 718) - Improvements to Nonemployee Share-Based Payment Accounting’’ (‘‘ASU 2018-07’’). This new standard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is effective for public companies for fiscal years beginning after December 15, 2018, including interim periods within that fiscal year. The standard did not materially impact the Company's consolidated net earnings and had no impact on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Previously Issued Financial Statements for the Correction of an Error</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quarter ended December 31, 2019, the Company identified and corrected an immaterial error that affected previously issued consolidated financial statements for the quarters ended March 31, June 30, and September 30, 2019 and 2018, respectively, and for the year ended December 31, 2018. The error related to the misapplication of U.S. generally accepted accounting principles relating to the classification of its contract acquisition costs for sales commissions. The Company previously recorded contract acquisition costs, a non current asset, as a component of prepaid expenses and other current assets.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effects of the above correction on the Company’s consolidated balance sheets is as follows (amounts in thousands):</w:t>
      </w: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8"/>
        </w:trPr>
        <w:tc>
          <w:tcPr>
            <w:tcW w:w="6860" w:type="dxa"/>
            <w:vAlign w:val="bottom"/>
            <w:tcBorders>
              <w:bottom w:val="single" w:sz="8" w:color="CCFFC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3"/>
        </w:trPr>
        <w:tc>
          <w:tcPr>
            <w:tcW w:w="6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w w:val="88"/>
              </w:rPr>
              <w:t>As of September</w:t>
            </w:r>
          </w:p>
        </w:tc>
      </w:tr>
      <w:tr>
        <w:trPr>
          <w:trHeight w:val="219"/>
        </w:trPr>
        <w:tc>
          <w:tcPr>
            <w:tcW w:w="686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94"/>
              </w:rPr>
              <w:t>As of March 31,</w:t>
            </w:r>
          </w:p>
        </w:tc>
        <w:tc>
          <w:tcPr>
            <w:tcW w:w="22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gridSpan w:val="3"/>
            <w:shd w:val="clear" w:color="auto" w:fill="CCFFCC"/>
          </w:tcPr>
          <w:p>
            <w:pPr>
              <w:jc w:val="center"/>
              <w:ind w:right="99"/>
              <w:spacing w:after="0"/>
              <w:rPr>
                <w:sz w:val="20"/>
                <w:szCs w:val="20"/>
                <w:color w:val="auto"/>
              </w:rPr>
            </w:pPr>
            <w:r>
              <w:rPr>
                <w:rFonts w:ascii="Arial" w:cs="Arial" w:eastAsia="Arial" w:hAnsi="Arial"/>
                <w:sz w:val="16"/>
                <w:szCs w:val="16"/>
                <w:color w:val="auto"/>
                <w:w w:val="91"/>
              </w:rPr>
              <w:t>As of June 30,</w:t>
            </w:r>
          </w:p>
        </w:tc>
        <w:tc>
          <w:tcPr>
            <w:tcW w:w="180" w:type="dxa"/>
            <w:vAlign w:val="bottom"/>
            <w:tcBorders>
              <w:bottom w:val="single" w:sz="8" w:color="CCFFCC"/>
            </w:tcBorders>
            <w:shd w:val="clear" w:color="auto" w:fill="CCFFCC"/>
          </w:tcPr>
          <w:p>
            <w:pPr>
              <w:spacing w:after="0"/>
              <w:rPr>
                <w:sz w:val="19"/>
                <w:szCs w:val="19"/>
                <w:color w:val="auto"/>
              </w:rPr>
            </w:pPr>
          </w:p>
        </w:tc>
        <w:tc>
          <w:tcPr>
            <w:tcW w:w="1200" w:type="dxa"/>
            <w:vAlign w:val="bottom"/>
            <w:tcBorders>
              <w:bottom w:val="single" w:sz="8" w:color="CCFFCC"/>
            </w:tcBorders>
            <w:shd w:val="clear" w:color="auto" w:fill="CCFFCC"/>
          </w:tcPr>
          <w:p>
            <w:pPr>
              <w:jc w:val="right"/>
              <w:ind w:right="479"/>
              <w:spacing w:after="0"/>
              <w:rPr>
                <w:sz w:val="20"/>
                <w:szCs w:val="20"/>
                <w:color w:val="auto"/>
              </w:rPr>
            </w:pPr>
            <w:r>
              <w:rPr>
                <w:rFonts w:ascii="Arial" w:cs="Arial" w:eastAsia="Arial" w:hAnsi="Arial"/>
                <w:sz w:val="16"/>
                <w:szCs w:val="16"/>
                <w:color w:val="auto"/>
              </w:rPr>
              <w:t>30,</w:t>
            </w:r>
          </w:p>
        </w:tc>
      </w:tr>
      <w:tr>
        <w:trPr>
          <w:trHeight w:val="237"/>
        </w:trPr>
        <w:tc>
          <w:tcPr>
            <w:tcW w:w="686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As previously reported</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29,290</w:t>
            </w:r>
          </w:p>
        </w:tc>
        <w:tc>
          <w:tcPr>
            <w:tcW w:w="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gridSpan w:val="3"/>
            <w:shd w:val="clear" w:color="auto" w:fill="CCFFCC"/>
          </w:tcPr>
          <w:p>
            <w:pPr>
              <w:jc w:val="right"/>
              <w:ind w:right="59"/>
              <w:spacing w:after="0"/>
              <w:rPr>
                <w:sz w:val="20"/>
                <w:szCs w:val="20"/>
                <w:color w:val="auto"/>
              </w:rPr>
            </w:pPr>
            <w:r>
              <w:rPr>
                <w:rFonts w:ascii="Arial" w:cs="Arial" w:eastAsia="Arial" w:hAnsi="Arial"/>
                <w:sz w:val="16"/>
                <w:szCs w:val="16"/>
                <w:color w:val="auto"/>
              </w:rPr>
              <w:t>35,317</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41,806</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Adjustment</w:t>
            </w: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(16,808)</w:t>
            </w:r>
          </w:p>
        </w:tc>
        <w:tc>
          <w:tcPr>
            <w:tcW w:w="220" w:type="dxa"/>
            <w:vAlign w:val="bottom"/>
          </w:tcPr>
          <w:p>
            <w:pPr>
              <w:spacing w:after="0"/>
              <w:rPr>
                <w:sz w:val="20"/>
                <w:szCs w:val="20"/>
                <w:color w:val="auto"/>
              </w:rPr>
            </w:pPr>
          </w:p>
        </w:tc>
        <w:tc>
          <w:tcPr>
            <w:tcW w:w="1200" w:type="dxa"/>
            <w:vAlign w:val="bottom"/>
            <w:gridSpan w:val="3"/>
          </w:tcPr>
          <w:p>
            <w:pPr>
              <w:jc w:val="right"/>
              <w:ind w:right="19"/>
              <w:spacing w:after="0"/>
              <w:rPr>
                <w:sz w:val="20"/>
                <w:szCs w:val="20"/>
                <w:color w:val="auto"/>
              </w:rPr>
            </w:pPr>
            <w:r>
              <w:rPr>
                <w:rFonts w:ascii="Arial" w:cs="Arial" w:eastAsia="Arial" w:hAnsi="Arial"/>
                <w:sz w:val="16"/>
                <w:szCs w:val="16"/>
                <w:color w:val="auto"/>
              </w:rPr>
              <w:t>(19,995)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(25,993)</w:t>
            </w: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As revised</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12,482</w:t>
            </w:r>
          </w:p>
        </w:tc>
        <w:tc>
          <w:tcPr>
            <w:tcW w:w="22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3"/>
            <w:shd w:val="clear" w:color="auto" w:fill="CCFFCC"/>
          </w:tcPr>
          <w:p>
            <w:pPr>
              <w:jc w:val="right"/>
              <w:ind w:right="59"/>
              <w:spacing w:after="0"/>
              <w:rPr>
                <w:sz w:val="20"/>
                <w:szCs w:val="20"/>
                <w:color w:val="auto"/>
              </w:rPr>
            </w:pPr>
            <w:r>
              <w:rPr>
                <w:rFonts w:ascii="Arial" w:cs="Arial" w:eastAsia="Arial" w:hAnsi="Arial"/>
                <w:sz w:val="16"/>
                <w:szCs w:val="16"/>
                <w:color w:val="auto"/>
              </w:rPr>
              <w:t>15,322</w:t>
            </w: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15,813</w:t>
            </w:r>
          </w:p>
        </w:tc>
      </w:tr>
      <w:tr>
        <w:trPr>
          <w:trHeight w:val="297"/>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68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As previously reported</w:t>
            </w:r>
          </w:p>
        </w:tc>
        <w:tc>
          <w:tcPr>
            <w:tcW w:w="1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318,362</w:t>
            </w:r>
          </w:p>
        </w:tc>
        <w:tc>
          <w:tcPr>
            <w:tcW w:w="220" w:type="dxa"/>
            <w:vAlign w:val="bottom"/>
          </w:tcPr>
          <w:p>
            <w:pPr>
              <w:spacing w:after="0"/>
              <w:rPr>
                <w:sz w:val="20"/>
                <w:szCs w:val="20"/>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6"/>
                <w:szCs w:val="16"/>
                <w:color w:val="auto"/>
              </w:rPr>
              <w:t>311,511</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300,746</w:t>
            </w: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Adjustment</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(16,808)</w:t>
            </w:r>
          </w:p>
        </w:tc>
        <w:tc>
          <w:tcPr>
            <w:tcW w:w="22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gridSpan w:val="3"/>
            <w:shd w:val="clear" w:color="auto" w:fill="CCFFCC"/>
          </w:tcPr>
          <w:p>
            <w:pPr>
              <w:jc w:val="right"/>
              <w:ind w:right="19"/>
              <w:spacing w:after="0"/>
              <w:rPr>
                <w:sz w:val="20"/>
                <w:szCs w:val="20"/>
                <w:color w:val="auto"/>
              </w:rPr>
            </w:pPr>
            <w:r>
              <w:rPr>
                <w:rFonts w:ascii="Arial" w:cs="Arial" w:eastAsia="Arial" w:hAnsi="Arial"/>
                <w:sz w:val="16"/>
                <w:szCs w:val="16"/>
                <w:color w:val="auto"/>
              </w:rPr>
              <w:t>(19,995)</w:t>
            </w: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(25,993)</w:t>
            </w:r>
          </w:p>
        </w:tc>
      </w:tr>
      <w:tr>
        <w:trPr>
          <w:trHeight w:val="237"/>
        </w:trPr>
        <w:tc>
          <w:tcPr>
            <w:tcW w:w="6860" w:type="dxa"/>
            <w:vAlign w:val="bottom"/>
          </w:tcPr>
          <w:p>
            <w:pPr>
              <w:ind w:left="20"/>
              <w:spacing w:after="0"/>
              <w:rPr>
                <w:sz w:val="20"/>
                <w:szCs w:val="20"/>
                <w:color w:val="auto"/>
              </w:rPr>
            </w:pPr>
            <w:r>
              <w:rPr>
                <w:rFonts w:ascii="Arial" w:cs="Arial" w:eastAsia="Arial" w:hAnsi="Arial"/>
                <w:sz w:val="16"/>
                <w:szCs w:val="16"/>
                <w:color w:val="auto"/>
              </w:rPr>
              <w:t>As revised</w:t>
            </w:r>
          </w:p>
        </w:tc>
        <w:tc>
          <w:tcPr>
            <w:tcW w:w="1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301,554</w:t>
            </w:r>
          </w:p>
        </w:tc>
        <w:tc>
          <w:tcPr>
            <w:tcW w:w="220" w:type="dxa"/>
            <w:vAlign w:val="bottom"/>
          </w:tcPr>
          <w:p>
            <w:pPr>
              <w:spacing w:after="0"/>
              <w:rPr>
                <w:sz w:val="20"/>
                <w:szCs w:val="20"/>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6"/>
                <w:szCs w:val="16"/>
                <w:color w:val="auto"/>
              </w:rPr>
              <w:t>291,516</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274,753</w:t>
            </w: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68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320" w:type="dxa"/>
            <w:vAlign w:val="bottom"/>
            <w:shd w:val="clear" w:color="auto" w:fill="CCFFCC"/>
          </w:tcPr>
          <w:p>
            <w:pPr>
              <w:spacing w:after="0"/>
              <w:rPr>
                <w:sz w:val="24"/>
                <w:szCs w:val="24"/>
                <w:color w:val="auto"/>
              </w:rPr>
            </w:pPr>
          </w:p>
        </w:tc>
        <w:tc>
          <w:tcPr>
            <w:tcW w:w="54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200" w:type="dxa"/>
            <w:vAlign w:val="bottom"/>
            <w:shd w:val="clear" w:color="auto" w:fill="CCFFCC"/>
          </w:tcPr>
          <w:p>
            <w:pPr>
              <w:spacing w:after="0"/>
              <w:rPr>
                <w:sz w:val="24"/>
                <w:szCs w:val="24"/>
                <w:color w:val="auto"/>
              </w:rPr>
            </w:pPr>
          </w:p>
        </w:tc>
      </w:tr>
      <w:tr>
        <w:trPr>
          <w:trHeight w:val="237"/>
        </w:trPr>
        <w:tc>
          <w:tcPr>
            <w:tcW w:w="6860" w:type="dxa"/>
            <w:vAlign w:val="bottom"/>
          </w:tcPr>
          <w:p>
            <w:pPr>
              <w:ind w:left="20"/>
              <w:spacing w:after="0"/>
              <w:rPr>
                <w:sz w:val="20"/>
                <w:szCs w:val="20"/>
                <w:color w:val="auto"/>
              </w:rPr>
            </w:pPr>
            <w:r>
              <w:rPr>
                <w:rFonts w:ascii="Arial" w:cs="Arial" w:eastAsia="Arial" w:hAnsi="Arial"/>
                <w:sz w:val="16"/>
                <w:szCs w:val="16"/>
                <w:color w:val="auto"/>
              </w:rPr>
              <w:t>Contract acquisition costs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86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As previously reported</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860" w:type="dxa"/>
            <w:vAlign w:val="bottom"/>
          </w:tcPr>
          <w:p>
            <w:pPr>
              <w:ind w:left="160"/>
              <w:spacing w:after="0"/>
              <w:rPr>
                <w:sz w:val="20"/>
                <w:szCs w:val="20"/>
                <w:color w:val="auto"/>
              </w:rPr>
            </w:pPr>
            <w:r>
              <w:rPr>
                <w:rFonts w:ascii="Arial" w:cs="Arial" w:eastAsia="Arial" w:hAnsi="Arial"/>
                <w:sz w:val="16"/>
                <w:szCs w:val="16"/>
                <w:color w:val="auto"/>
              </w:rPr>
              <w:t>Adjustment</w:t>
            </w:r>
          </w:p>
        </w:tc>
        <w:tc>
          <w:tcPr>
            <w:tcW w:w="1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16,808</w:t>
            </w:r>
          </w:p>
        </w:tc>
        <w:tc>
          <w:tcPr>
            <w:tcW w:w="220" w:type="dxa"/>
            <w:vAlign w:val="bottom"/>
          </w:tcPr>
          <w:p>
            <w:pPr>
              <w:spacing w:after="0"/>
              <w:rPr>
                <w:sz w:val="20"/>
                <w:szCs w:val="20"/>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6"/>
                <w:szCs w:val="16"/>
                <w:color w:val="auto"/>
              </w:rPr>
              <w:t>19,995</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25,993</w:t>
            </w:r>
          </w:p>
        </w:tc>
      </w:tr>
      <w:tr>
        <w:trPr>
          <w:trHeight w:val="33"/>
        </w:trPr>
        <w:tc>
          <w:tcPr>
            <w:tcW w:w="6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860" w:type="dxa"/>
            <w:vAlign w:val="bottom"/>
            <w:shd w:val="clear" w:color="auto" w:fill="CCFFCC"/>
          </w:tcPr>
          <w:p>
            <w:pPr>
              <w:ind w:left="20"/>
              <w:spacing w:after="0"/>
              <w:rPr>
                <w:sz w:val="20"/>
                <w:szCs w:val="20"/>
                <w:color w:val="auto"/>
              </w:rPr>
            </w:pPr>
            <w:r>
              <w:rPr>
                <w:rFonts w:ascii="Arial" w:cs="Arial" w:eastAsia="Arial" w:hAnsi="Arial"/>
                <w:sz w:val="16"/>
                <w:szCs w:val="16"/>
                <w:color w:val="auto"/>
              </w:rPr>
              <w:t>As revised</w:t>
            </w:r>
          </w:p>
        </w:tc>
        <w:tc>
          <w:tcPr>
            <w:tcW w:w="120" w:type="dxa"/>
            <w:vAlign w:val="bottom"/>
            <w:shd w:val="clear" w:color="auto" w:fill="CCFFCC"/>
          </w:tcPr>
          <w:p>
            <w:pPr>
              <w:spacing w:after="0"/>
              <w:rPr>
                <w:sz w:val="20"/>
                <w:szCs w:val="20"/>
                <w:color w:val="auto"/>
              </w:rPr>
            </w:pPr>
          </w:p>
        </w:tc>
        <w:tc>
          <w:tcPr>
            <w:tcW w:w="126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16,808</w:t>
            </w:r>
          </w:p>
        </w:tc>
        <w:tc>
          <w:tcPr>
            <w:tcW w:w="220" w:type="dxa"/>
            <w:vAlign w:val="bottom"/>
            <w:shd w:val="clear" w:color="auto" w:fill="CCFFCC"/>
          </w:tcPr>
          <w:p>
            <w:pPr>
              <w:spacing w:after="0"/>
              <w:rPr>
                <w:sz w:val="20"/>
                <w:szCs w:val="20"/>
                <w:color w:val="auto"/>
              </w:rPr>
            </w:pPr>
          </w:p>
        </w:tc>
        <w:tc>
          <w:tcPr>
            <w:tcW w:w="1200" w:type="dxa"/>
            <w:vAlign w:val="bottom"/>
            <w:gridSpan w:val="3"/>
            <w:shd w:val="clear" w:color="auto" w:fill="CCFFCC"/>
          </w:tcPr>
          <w:p>
            <w:pPr>
              <w:jc w:val="right"/>
              <w:ind w:right="59"/>
              <w:spacing w:after="0"/>
              <w:rPr>
                <w:sz w:val="20"/>
                <w:szCs w:val="20"/>
                <w:color w:val="auto"/>
              </w:rPr>
            </w:pPr>
            <w:r>
              <w:rPr>
                <w:rFonts w:ascii="Arial" w:cs="Arial" w:eastAsia="Arial" w:hAnsi="Arial"/>
                <w:sz w:val="16"/>
                <w:szCs w:val="16"/>
                <w:color w:val="auto"/>
              </w:rPr>
              <w:t>19,995</w:t>
            </w:r>
          </w:p>
        </w:tc>
        <w:tc>
          <w:tcPr>
            <w:tcW w:w="180" w:type="dxa"/>
            <w:vAlign w:val="bottom"/>
            <w:shd w:val="clear" w:color="auto" w:fill="CCFFCC"/>
          </w:tcPr>
          <w:p>
            <w:pPr>
              <w:spacing w:after="0"/>
              <w:rPr>
                <w:sz w:val="20"/>
                <w:szCs w:val="20"/>
                <w:color w:val="auto"/>
              </w:rPr>
            </w:pPr>
          </w:p>
        </w:tc>
        <w:tc>
          <w:tcPr>
            <w:tcW w:w="12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25,993</w:t>
            </w:r>
          </w:p>
        </w:tc>
      </w:tr>
      <w:tr>
        <w:trPr>
          <w:trHeight w:val="33"/>
        </w:trPr>
        <w:tc>
          <w:tcPr>
            <w:tcW w:w="68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26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540" w:type="dxa"/>
            <w:vAlign w:val="bottom"/>
            <w:shd w:val="clear" w:color="auto" w:fill="CCFFCC"/>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1200" w:type="dxa"/>
            <w:vAlign w:val="bottom"/>
            <w:shd w:val="clear" w:color="auto" w:fill="CCFFCC"/>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8" w:name="page89"/>
    <w:bookmarkEnd w:id="88"/>
    <w:p>
      <w:pPr>
        <w:jc w:val="center"/>
        <w:ind w:right="-9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Accounting Policies (Continued)</w:t>
      </w:r>
    </w:p>
    <w:p>
      <w:pPr>
        <w:spacing w:after="0" w:line="200" w:lineRule="exact"/>
        <w:rPr>
          <w:sz w:val="20"/>
          <w:szCs w:val="20"/>
          <w:color w:val="auto"/>
        </w:rPr>
      </w:pPr>
    </w:p>
    <w:p>
      <w:pPr>
        <w:spacing w:after="0" w:line="313" w:lineRule="exact"/>
        <w:rPr>
          <w:sz w:val="20"/>
          <w:szCs w:val="20"/>
          <w:color w:val="auto"/>
        </w:rPr>
      </w:pPr>
    </w:p>
    <w:p>
      <w:pPr>
        <w:ind w:left="8380"/>
        <w:spacing w:after="0"/>
        <w:rPr>
          <w:sz w:val="20"/>
          <w:szCs w:val="20"/>
          <w:color w:val="auto"/>
        </w:rPr>
      </w:pPr>
      <w:r>
        <w:rPr>
          <w:rFonts w:ascii="Arial" w:cs="Arial" w:eastAsia="Arial" w:hAnsi="Arial"/>
          <w:sz w:val="16"/>
          <w:szCs w:val="16"/>
          <w:b w:val="1"/>
          <w:bCs w:val="1"/>
          <w:u w:val="single" w:color="auto"/>
          <w:color w:val="auto"/>
        </w:rPr>
        <w:t>2018</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564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jc w:val="right"/>
              <w:ind w:right="479"/>
              <w:spacing w:after="0"/>
              <w:rPr>
                <w:sz w:val="20"/>
                <w:szCs w:val="20"/>
                <w:color w:val="auto"/>
              </w:rPr>
            </w:pPr>
            <w:r>
              <w:rPr>
                <w:rFonts w:ascii="Arial" w:cs="Arial" w:eastAsia="Arial" w:hAnsi="Arial"/>
                <w:sz w:val="16"/>
                <w:szCs w:val="16"/>
                <w:color w:val="auto"/>
              </w:rPr>
              <w:t>As of</w:t>
            </w:r>
          </w:p>
        </w:tc>
        <w:tc>
          <w:tcPr>
            <w:tcW w:w="240" w:type="dxa"/>
            <w:vAlign w:val="bottom"/>
            <w:tcBorders>
              <w:top w:val="single" w:sz="8" w:color="auto"/>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auto"/>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jc w:val="right"/>
              <w:ind w:right="459"/>
              <w:spacing w:after="0"/>
              <w:rPr>
                <w:sz w:val="20"/>
                <w:szCs w:val="20"/>
                <w:color w:val="auto"/>
              </w:rPr>
            </w:pPr>
            <w:r>
              <w:rPr>
                <w:rFonts w:ascii="Arial" w:cs="Arial" w:eastAsia="Arial" w:hAnsi="Arial"/>
                <w:sz w:val="16"/>
                <w:szCs w:val="16"/>
                <w:color w:val="auto"/>
              </w:rPr>
              <w:t>As of</w:t>
            </w:r>
          </w:p>
        </w:tc>
        <w:tc>
          <w:tcPr>
            <w:tcW w:w="2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jc w:val="right"/>
              <w:ind w:right="359"/>
              <w:spacing w:after="0"/>
              <w:rPr>
                <w:sz w:val="20"/>
                <w:szCs w:val="20"/>
                <w:color w:val="auto"/>
              </w:rPr>
            </w:pPr>
            <w:r>
              <w:rPr>
                <w:rFonts w:ascii="Arial" w:cs="Arial" w:eastAsia="Arial" w:hAnsi="Arial"/>
                <w:sz w:val="16"/>
                <w:szCs w:val="16"/>
                <w:color w:val="auto"/>
              </w:rPr>
              <w:t>As of</w:t>
            </w:r>
          </w:p>
        </w:tc>
      </w:tr>
      <w:tr>
        <w:trPr>
          <w:trHeight w:val="219"/>
        </w:trPr>
        <w:tc>
          <w:tcPr>
            <w:tcW w:w="564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CCFFCC"/>
            </w:tcBorders>
            <w:shd w:val="clear" w:color="auto" w:fill="CCFFCC"/>
          </w:tcPr>
          <w:p>
            <w:pPr>
              <w:jc w:val="right"/>
              <w:ind w:right="299"/>
              <w:spacing w:after="0"/>
              <w:rPr>
                <w:sz w:val="20"/>
                <w:szCs w:val="20"/>
                <w:color w:val="auto"/>
              </w:rPr>
            </w:pPr>
            <w:r>
              <w:rPr>
                <w:rFonts w:ascii="Arial" w:cs="Arial" w:eastAsia="Arial" w:hAnsi="Arial"/>
                <w:sz w:val="16"/>
                <w:szCs w:val="16"/>
                <w:color w:val="auto"/>
              </w:rPr>
              <w:t>March 31,</w:t>
            </w:r>
          </w:p>
        </w:tc>
        <w:tc>
          <w:tcPr>
            <w:tcW w:w="240" w:type="dxa"/>
            <w:vAlign w:val="bottom"/>
            <w:tcBorders>
              <w:bottom w:val="single" w:sz="8" w:color="CCFFCC"/>
            </w:tcBorders>
            <w:shd w:val="clear" w:color="auto" w:fill="CCFFCC"/>
          </w:tcPr>
          <w:p>
            <w:pPr>
              <w:spacing w:after="0"/>
              <w:rPr>
                <w:sz w:val="19"/>
                <w:szCs w:val="19"/>
                <w:color w:val="auto"/>
              </w:rPr>
            </w:pPr>
          </w:p>
        </w:tc>
        <w:tc>
          <w:tcPr>
            <w:tcW w:w="122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93"/>
              </w:rPr>
              <w:t>As of June 30,</w:t>
            </w:r>
          </w:p>
        </w:tc>
        <w:tc>
          <w:tcPr>
            <w:tcW w:w="220" w:type="dxa"/>
            <w:vAlign w:val="bottom"/>
            <w:tcBorders>
              <w:bottom w:val="single" w:sz="8" w:color="CCFFCC"/>
            </w:tcBorders>
            <w:shd w:val="clear" w:color="auto" w:fill="CCFFCC"/>
          </w:tcPr>
          <w:p>
            <w:pPr>
              <w:spacing w:after="0"/>
              <w:rPr>
                <w:sz w:val="19"/>
                <w:szCs w:val="19"/>
                <w:color w:val="auto"/>
              </w:rPr>
            </w:pPr>
          </w:p>
        </w:tc>
        <w:tc>
          <w:tcPr>
            <w:tcW w:w="1220" w:type="dxa"/>
            <w:vAlign w:val="bottom"/>
            <w:tcBorders>
              <w:bottom w:val="single" w:sz="8" w:color="CCFFCC"/>
            </w:tcBorders>
            <w:shd w:val="clear" w:color="auto" w:fill="CCFFCC"/>
          </w:tcPr>
          <w:p>
            <w:pPr>
              <w:jc w:val="right"/>
              <w:ind w:right="159"/>
              <w:spacing w:after="0"/>
              <w:rPr>
                <w:sz w:val="20"/>
                <w:szCs w:val="20"/>
                <w:color w:val="auto"/>
              </w:rPr>
            </w:pPr>
            <w:r>
              <w:rPr>
                <w:rFonts w:ascii="Arial" w:cs="Arial" w:eastAsia="Arial" w:hAnsi="Arial"/>
                <w:sz w:val="16"/>
                <w:szCs w:val="16"/>
                <w:color w:val="auto"/>
                <w:w w:val="91"/>
              </w:rPr>
              <w:t>September 30,</w:t>
            </w:r>
          </w:p>
        </w:tc>
        <w:tc>
          <w:tcPr>
            <w:tcW w:w="200" w:type="dxa"/>
            <w:vAlign w:val="bottom"/>
            <w:tcBorders>
              <w:bottom w:val="single" w:sz="8" w:color="CCFFCC"/>
            </w:tcBorders>
            <w:shd w:val="clear" w:color="auto" w:fill="CCFFCC"/>
          </w:tcPr>
          <w:p>
            <w:pPr>
              <w:spacing w:after="0"/>
              <w:rPr>
                <w:sz w:val="19"/>
                <w:szCs w:val="19"/>
                <w:color w:val="auto"/>
              </w:rPr>
            </w:pPr>
          </w:p>
        </w:tc>
        <w:tc>
          <w:tcPr>
            <w:tcW w:w="108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w w:val="91"/>
              </w:rPr>
              <w:t>December 31,</w:t>
            </w: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As previously reported</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13,194</w:t>
            </w:r>
          </w:p>
        </w:tc>
        <w:tc>
          <w:tcPr>
            <w:tcW w:w="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16,885</w:t>
            </w:r>
          </w:p>
        </w:tc>
        <w:tc>
          <w:tcPr>
            <w:tcW w:w="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18,722</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22,613</w:t>
            </w:r>
          </w:p>
        </w:tc>
      </w:tr>
      <w:tr>
        <w:trPr>
          <w:trHeight w:val="237"/>
        </w:trPr>
        <w:tc>
          <w:tcPr>
            <w:tcW w:w="5640" w:type="dxa"/>
            <w:vAlign w:val="bottom"/>
          </w:tcPr>
          <w:p>
            <w:pPr>
              <w:ind w:left="160"/>
              <w:spacing w:after="0"/>
              <w:rPr>
                <w:sz w:val="20"/>
                <w:szCs w:val="20"/>
                <w:color w:val="auto"/>
              </w:rPr>
            </w:pPr>
            <w:r>
              <w:rPr>
                <w:rFonts w:ascii="Arial" w:cs="Arial" w:eastAsia="Arial" w:hAnsi="Arial"/>
                <w:sz w:val="16"/>
                <w:szCs w:val="16"/>
                <w:color w:val="auto"/>
              </w:rPr>
              <w:t>Adjustment</w:t>
            </w:r>
          </w:p>
        </w:tc>
        <w:tc>
          <w:tcPr>
            <w:tcW w:w="2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(5,539)</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(7,852)</w:t>
            </w:r>
          </w:p>
        </w:tc>
        <w:tc>
          <w:tcPr>
            <w:tcW w:w="2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(10,880)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(13,361)</w:t>
            </w: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As revised</w:t>
            </w:r>
          </w:p>
        </w:tc>
        <w:tc>
          <w:tcPr>
            <w:tcW w:w="22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7,655</w:t>
            </w: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9,033</w:t>
            </w:r>
          </w:p>
        </w:tc>
        <w:tc>
          <w:tcPr>
            <w:tcW w:w="22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7,842</w:t>
            </w: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9,252</w:t>
            </w:r>
          </w:p>
        </w:tc>
      </w:tr>
      <w:tr>
        <w:trPr>
          <w:trHeight w:val="297"/>
        </w:trPr>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r>
      <w:tr>
        <w:trPr>
          <w:trHeight w:val="237"/>
        </w:trPr>
        <w:tc>
          <w:tcPr>
            <w:tcW w:w="5640" w:type="dxa"/>
            <w:vAlign w:val="bottom"/>
          </w:tcPr>
          <w:p>
            <w:pPr>
              <w:ind w:left="160"/>
              <w:spacing w:after="0"/>
              <w:rPr>
                <w:sz w:val="20"/>
                <w:szCs w:val="20"/>
                <w:color w:val="auto"/>
              </w:rPr>
            </w:pPr>
            <w:r>
              <w:rPr>
                <w:rFonts w:ascii="Arial" w:cs="Arial" w:eastAsia="Arial" w:hAnsi="Arial"/>
                <w:sz w:val="16"/>
                <w:szCs w:val="16"/>
                <w:color w:val="auto"/>
              </w:rPr>
              <w:t>As previously reported</w:t>
            </w:r>
          </w:p>
        </w:tc>
        <w:tc>
          <w:tcPr>
            <w:tcW w:w="2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116,787</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124,957</w:t>
            </w:r>
          </w:p>
        </w:tc>
        <w:tc>
          <w:tcPr>
            <w:tcW w:w="22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136,800</w:t>
            </w:r>
          </w:p>
        </w:tc>
        <w:tc>
          <w:tcPr>
            <w:tcW w:w="2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135,085</w:t>
            </w: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Adjustment</w:t>
            </w:r>
          </w:p>
        </w:tc>
        <w:tc>
          <w:tcPr>
            <w:tcW w:w="22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(5,539)</w:t>
            </w: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(7,852)</w:t>
            </w:r>
          </w:p>
        </w:tc>
        <w:tc>
          <w:tcPr>
            <w:tcW w:w="22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(10,880)</w:t>
            </w: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(13,361)</w:t>
            </w: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color w:val="auto"/>
              </w:rPr>
              <w:t>As revised</w:t>
            </w:r>
          </w:p>
        </w:tc>
        <w:tc>
          <w:tcPr>
            <w:tcW w:w="2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111,248</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117,105</w:t>
            </w:r>
          </w:p>
        </w:tc>
        <w:tc>
          <w:tcPr>
            <w:tcW w:w="22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125,920</w:t>
            </w:r>
          </w:p>
        </w:tc>
        <w:tc>
          <w:tcPr>
            <w:tcW w:w="2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121,724</w:t>
            </w: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7"/>
        </w:trPr>
        <w:tc>
          <w:tcPr>
            <w:tcW w:w="564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180" w:type="dxa"/>
            <w:vAlign w:val="bottom"/>
            <w:shd w:val="clear" w:color="auto" w:fill="CCFFCC"/>
          </w:tcPr>
          <w:p>
            <w:pPr>
              <w:spacing w:after="0"/>
              <w:rPr>
                <w:sz w:val="24"/>
                <w:szCs w:val="24"/>
                <w:color w:val="auto"/>
              </w:rPr>
            </w:pPr>
          </w:p>
        </w:tc>
        <w:tc>
          <w:tcPr>
            <w:tcW w:w="24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12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080" w:type="dxa"/>
            <w:vAlign w:val="bottom"/>
            <w:shd w:val="clear" w:color="auto" w:fill="CCFFCC"/>
          </w:tcPr>
          <w:p>
            <w:pPr>
              <w:spacing w:after="0"/>
              <w:rPr>
                <w:sz w:val="24"/>
                <w:szCs w:val="24"/>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color w:val="auto"/>
              </w:rPr>
              <w:t>Contract acquisition costs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As previously reported</w:t>
            </w:r>
          </w:p>
        </w:tc>
        <w:tc>
          <w:tcPr>
            <w:tcW w:w="22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40" w:type="dxa"/>
            <w:vAlign w:val="bottom"/>
          </w:tcPr>
          <w:p>
            <w:pPr>
              <w:ind w:left="160"/>
              <w:spacing w:after="0"/>
              <w:rPr>
                <w:sz w:val="20"/>
                <w:szCs w:val="20"/>
                <w:color w:val="auto"/>
              </w:rPr>
            </w:pPr>
            <w:r>
              <w:rPr>
                <w:rFonts w:ascii="Arial" w:cs="Arial" w:eastAsia="Arial" w:hAnsi="Arial"/>
                <w:sz w:val="16"/>
                <w:szCs w:val="16"/>
                <w:color w:val="auto"/>
              </w:rPr>
              <w:t>Adjustment</w:t>
            </w:r>
          </w:p>
        </w:tc>
        <w:tc>
          <w:tcPr>
            <w:tcW w:w="2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5,539</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7,852</w:t>
            </w:r>
          </w:p>
        </w:tc>
        <w:tc>
          <w:tcPr>
            <w:tcW w:w="220" w:type="dxa"/>
            <w:vAlign w:val="bottom"/>
          </w:tcPr>
          <w:p>
            <w:pPr>
              <w:spacing w:after="0"/>
              <w:rPr>
                <w:sz w:val="20"/>
                <w:szCs w:val="20"/>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10,880</w:t>
            </w:r>
          </w:p>
        </w:tc>
        <w:tc>
          <w:tcPr>
            <w:tcW w:w="2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13,361</w:t>
            </w:r>
          </w:p>
        </w:tc>
      </w:tr>
      <w:tr>
        <w:trPr>
          <w:trHeight w:val="3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640" w:type="dxa"/>
            <w:vAlign w:val="bottom"/>
            <w:shd w:val="clear" w:color="auto" w:fill="CCFFCC"/>
          </w:tcPr>
          <w:p>
            <w:pPr>
              <w:ind w:left="20"/>
              <w:spacing w:after="0"/>
              <w:rPr>
                <w:sz w:val="20"/>
                <w:szCs w:val="20"/>
                <w:color w:val="auto"/>
              </w:rPr>
            </w:pPr>
            <w:r>
              <w:rPr>
                <w:rFonts w:ascii="Arial" w:cs="Arial" w:eastAsia="Arial" w:hAnsi="Arial"/>
                <w:sz w:val="16"/>
                <w:szCs w:val="16"/>
                <w:color w:val="auto"/>
              </w:rPr>
              <w:t>As revised</w:t>
            </w:r>
          </w:p>
        </w:tc>
        <w:tc>
          <w:tcPr>
            <w:tcW w:w="220" w:type="dxa"/>
            <w:vAlign w:val="bottom"/>
            <w:shd w:val="clear" w:color="auto" w:fill="CCFFCC"/>
          </w:tcPr>
          <w:p>
            <w:pPr>
              <w:spacing w:after="0"/>
              <w:rPr>
                <w:sz w:val="20"/>
                <w:szCs w:val="20"/>
                <w:color w:val="auto"/>
              </w:rPr>
            </w:pPr>
          </w:p>
        </w:tc>
        <w:tc>
          <w:tcPr>
            <w:tcW w:w="118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5,539</w:t>
            </w:r>
          </w:p>
        </w:tc>
        <w:tc>
          <w:tcPr>
            <w:tcW w:w="240" w:type="dxa"/>
            <w:vAlign w:val="bottom"/>
            <w:shd w:val="clear" w:color="auto" w:fill="CCFFCC"/>
          </w:tcPr>
          <w:p>
            <w:pPr>
              <w:spacing w:after="0"/>
              <w:rPr>
                <w:sz w:val="20"/>
                <w:szCs w:val="20"/>
                <w:color w:val="auto"/>
              </w:rPr>
            </w:pPr>
          </w:p>
        </w:tc>
        <w:tc>
          <w:tcPr>
            <w:tcW w:w="12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7,852</w:t>
            </w:r>
          </w:p>
        </w:tc>
        <w:tc>
          <w:tcPr>
            <w:tcW w:w="220" w:type="dxa"/>
            <w:vAlign w:val="bottom"/>
            <w:shd w:val="clear" w:color="auto" w:fill="CCFFCC"/>
          </w:tcPr>
          <w:p>
            <w:pPr>
              <w:spacing w:after="0"/>
              <w:rPr>
                <w:sz w:val="20"/>
                <w:szCs w:val="20"/>
                <w:color w:val="auto"/>
              </w:rPr>
            </w:pPr>
          </w:p>
        </w:tc>
        <w:tc>
          <w:tcPr>
            <w:tcW w:w="122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10,880</w:t>
            </w:r>
          </w:p>
        </w:tc>
        <w:tc>
          <w:tcPr>
            <w:tcW w:w="200" w:type="dxa"/>
            <w:vAlign w:val="bottom"/>
            <w:shd w:val="clear" w:color="auto" w:fill="CCFFCC"/>
          </w:tcPr>
          <w:p>
            <w:pPr>
              <w:spacing w:after="0"/>
              <w:rPr>
                <w:sz w:val="20"/>
                <w:szCs w:val="20"/>
                <w:color w:val="auto"/>
              </w:rPr>
            </w:pPr>
          </w:p>
        </w:tc>
        <w:tc>
          <w:tcPr>
            <w:tcW w:w="10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13,361</w:t>
            </w:r>
          </w:p>
        </w:tc>
      </w:tr>
      <w:tr>
        <w:trPr>
          <w:trHeight w:val="33"/>
        </w:trPr>
        <w:tc>
          <w:tcPr>
            <w:tcW w:w="564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8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2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20" w:type="dxa"/>
            <w:vAlign w:val="bottom"/>
            <w:shd w:val="clear" w:color="auto" w:fill="CCFFCC"/>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80" w:type="dxa"/>
            <w:vAlign w:val="bottom"/>
            <w:shd w:val="clear" w:color="auto" w:fill="CCFFC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20"/>
          </w:cols>
          <w:pgMar w:left="24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w:t>
      </w:r>
    </w:p>
    <w:p>
      <w:pPr>
        <w:spacing w:after="0" w:line="1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Diluted net loss per common share for the year ended December 31, 2019 does not include the effect of options to purchase 8,848,907 shares of common stock awards as the effect of their inclusion is anti-dilutive. Diluted net loss per common share for the year ended December 31, 2018 does not include the effect of options to purchase 8,957,672 shares of common stock awards as the effect of their inclusion is anti-dilutive. Diluted net loss per common share for the year ended December 31, 2017 does not include the effect of options to purchase 8,831,798 shares of common stock awards as the effect of their inclusion is anti-dilutive.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earnings per share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80" w:type="dxa"/>
            <w:vAlign w:val="bottom"/>
            <w:gridSpan w:val="5"/>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68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62,593,026</w:t>
            </w:r>
          </w:p>
        </w:tc>
        <w:tc>
          <w:tcPr>
            <w:tcW w:w="1680" w:type="dxa"/>
            <w:vAlign w:val="bottom"/>
            <w:tcBorders>
              <w:bottom w:val="single" w:sz="8" w:color="CCFFCC"/>
            </w:tcBorders>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59,203,400</w:t>
            </w: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56,358,017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assumed exercised options</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FFC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FFCC"/>
          </w:tcPr>
          <w:p>
            <w:pPr>
              <w:ind w:left="40"/>
              <w:spacing w:after="0"/>
              <w:rPr>
                <w:sz w:val="20"/>
                <w:szCs w:val="20"/>
                <w:color w:val="auto"/>
              </w:rPr>
            </w:pPr>
            <w:r>
              <w:rPr>
                <w:rFonts w:ascii="Arial" w:cs="Arial" w:eastAsia="Arial" w:hAnsi="Arial"/>
                <w:sz w:val="18"/>
                <w:szCs w:val="18"/>
                <w:color w:val="auto"/>
              </w:rPr>
              <w:t>Diluted</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62,593,026</w:t>
            </w:r>
          </w:p>
        </w:tc>
        <w:tc>
          <w:tcPr>
            <w:tcW w:w="16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59,203,400</w:t>
            </w:r>
          </w:p>
        </w:tc>
        <w:tc>
          <w:tcPr>
            <w:tcW w:w="10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118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56,358,017</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1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LiveEngage’s sophisticated intelligence engine to connect with consumers through an integrated suite of mobile and online business messaging technologies. The Consumer segment facilitates online transactions between independent service providers (“Experts”) and individual consumers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5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2019,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225,705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225,705</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24,480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24,480</w:t>
            </w:r>
          </w:p>
        </w:tc>
      </w:tr>
      <w:tr>
        <w:trPr>
          <w:trHeight w:val="243"/>
        </w:trPr>
        <w:tc>
          <w:tcPr>
            <w:tcW w:w="5960" w:type="dxa"/>
            <w:vAlign w:val="bottom"/>
          </w:tcPr>
          <w:p>
            <w:pPr>
              <w:ind w:left="200"/>
              <w:spacing w:after="0"/>
              <w:rPr>
                <w:sz w:val="20"/>
                <w:szCs w:val="20"/>
                <w:color w:val="auto"/>
              </w:rPr>
            </w:pPr>
            <w:r>
              <w:rPr>
                <w:rFonts w:ascii="Arial" w:cs="Arial" w:eastAsia="Arial" w:hAnsi="Arial"/>
                <w:sz w:val="18"/>
                <w:szCs w:val="18"/>
                <w:color w:val="auto"/>
              </w:rPr>
              <w:t>Professional services – Business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41,424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41,424</w:t>
            </w:r>
          </w:p>
        </w:tc>
      </w:tr>
      <w:tr>
        <w:trPr>
          <w:trHeight w:val="27"/>
        </w:trPr>
        <w:tc>
          <w:tcPr>
            <w:tcW w:w="596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267,129</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24,480</w:t>
            </w:r>
          </w:p>
        </w:tc>
        <w:tc>
          <w:tcPr>
            <w:tcW w:w="120" w:type="dxa"/>
            <w:vAlign w:val="bottom"/>
            <w:tcBorders>
              <w:bottom w:val="single" w:sz="8" w:color="CCFFCC"/>
            </w:tcBorders>
            <w:shd w:val="clear" w:color="auto" w:fill="CCFFCC"/>
          </w:tcPr>
          <w:p>
            <w:pPr>
              <w:spacing w:after="0"/>
              <w:rPr>
                <w:sz w:val="22"/>
                <w:szCs w:val="22"/>
                <w:color w:val="auto"/>
              </w:rPr>
            </w:pPr>
          </w:p>
        </w:tc>
        <w:tc>
          <w:tcPr>
            <w:tcW w:w="18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291,609</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78,878</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140,880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15,934</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156,814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1,794</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9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141,155</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141,155</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49,995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(141,155)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(87,032)</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2018,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2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6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197,474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197,474</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19,553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19,553</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Professional services – Business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32,811</w:t>
            </w:r>
          </w:p>
        </w:tc>
      </w:tr>
      <w:tr>
        <w:trPr>
          <w:trHeight w:val="27"/>
        </w:trPr>
        <w:tc>
          <w:tcPr>
            <w:tcW w:w="6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230,285</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19,553</w:t>
            </w:r>
          </w:p>
        </w:tc>
        <w:tc>
          <w:tcPr>
            <w:tcW w:w="12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2"/>
                <w:szCs w:val="22"/>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249,838</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62,479</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94,339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9,005</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103,344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1,670</w:t>
            </w: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1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106,048</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106,048</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75,856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6,489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(106,048)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(23,703)</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year ended December 31, 2017, based on the Company’s internal financial reporting system utilized by the Company’s chief operating decision maker, follows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Consumer</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14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FFCC"/>
            </w:tcBorders>
          </w:tcPr>
          <w:p>
            <w:pPr>
              <w:spacing w:after="0"/>
              <w:rPr>
                <w:sz w:val="2"/>
                <w:szCs w:val="2"/>
                <w:color w:val="auto"/>
              </w:rPr>
            </w:pPr>
          </w:p>
        </w:tc>
        <w:tc>
          <w:tcPr>
            <w:tcW w:w="2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Revenue:</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200"/>
              <w:spacing w:after="0"/>
              <w:rPr>
                <w:sz w:val="20"/>
                <w:szCs w:val="20"/>
                <w:color w:val="auto"/>
              </w:rPr>
            </w:pPr>
            <w:r>
              <w:rPr>
                <w:rFonts w:ascii="Arial" w:cs="Arial" w:eastAsia="Arial" w:hAnsi="Arial"/>
                <w:sz w:val="18"/>
                <w:szCs w:val="18"/>
                <w:color w:val="auto"/>
              </w:rPr>
              <w:t>Hosted services – Business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178,686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178,686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Hosted services – Consumer</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17,450</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243"/>
        </w:trPr>
        <w:tc>
          <w:tcPr>
            <w:tcW w:w="4220" w:type="dxa"/>
            <w:vAlign w:val="bottom"/>
          </w:tcPr>
          <w:p>
            <w:pPr>
              <w:ind w:left="200"/>
              <w:spacing w:after="0"/>
              <w:rPr>
                <w:sz w:val="20"/>
                <w:szCs w:val="20"/>
                <w:color w:val="auto"/>
              </w:rPr>
            </w:pPr>
            <w:r>
              <w:rPr>
                <w:rFonts w:ascii="Arial" w:cs="Arial" w:eastAsia="Arial" w:hAnsi="Arial"/>
                <w:sz w:val="18"/>
                <w:szCs w:val="18"/>
                <w:color w:val="auto"/>
              </w:rPr>
              <w:t>Professional services – Business</w:t>
            </w: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22,740</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FFCC"/>
            </w:tcBorders>
          </w:tcPr>
          <w:p>
            <w:pPr>
              <w:spacing w:after="0"/>
              <w:rPr>
                <w:sz w:val="2"/>
                <w:szCs w:val="2"/>
                <w:color w:val="auto"/>
              </w:rPr>
            </w:pPr>
          </w:p>
        </w:tc>
        <w:tc>
          <w:tcPr>
            <w:tcW w:w="21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revenue</w:t>
            </w:r>
          </w:p>
        </w:tc>
        <w:tc>
          <w:tcPr>
            <w:tcW w:w="218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201,426</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17,450</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2"/>
                <w:szCs w:val="22"/>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218,876</w:t>
            </w: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54,600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58,205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and marketing</w:t>
            </w:r>
          </w:p>
        </w:tc>
        <w:tc>
          <w:tcPr>
            <w:tcW w:w="2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82,420</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8,485</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90,905</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Unallocated corporate expenses</w:t>
            </w:r>
          </w:p>
        </w:tc>
        <w:tc>
          <w:tcPr>
            <w:tcW w:w="218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85,752</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85,752</w:t>
            </w:r>
          </w:p>
        </w:tc>
        <w:tc>
          <w:tcPr>
            <w:tcW w:w="0" w:type="dxa"/>
            <w:vAlign w:val="bottom"/>
          </w:tcPr>
          <w:p>
            <w:pPr>
              <w:spacing w:after="0"/>
              <w:rPr>
                <w:sz w:val="1"/>
                <w:szCs w:val="1"/>
                <w:color w:val="auto"/>
              </w:rPr>
            </w:pP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62,566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180" w:type="dxa"/>
            <w:vAlign w:val="bottom"/>
            <w:vMerge w:val="restart"/>
          </w:tcPr>
          <w:p>
            <w:pPr>
              <w:jc w:val="right"/>
              <w:ind w:right="510"/>
              <w:spacing w:after="0"/>
              <w:rPr>
                <w:sz w:val="20"/>
                <w:szCs w:val="20"/>
                <w:color w:val="auto"/>
              </w:rPr>
            </w:pPr>
            <w:r>
              <w:rPr>
                <w:rFonts w:ascii="Arial" w:cs="Arial" w:eastAsia="Arial" w:hAnsi="Arial"/>
                <w:sz w:val="18"/>
                <w:szCs w:val="18"/>
                <w:color w:val="auto"/>
              </w:rPr>
              <w:t>87</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2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long-lived assets by geographic region for the periods presented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848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FFCC"/>
            </w:tcBorders>
            <w:shd w:val="clear" w:color="auto" w:fill="CCFFC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177,776</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128,647</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Israel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14,140</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13,765</w:t>
            </w:r>
          </w:p>
        </w:tc>
        <w:tc>
          <w:tcPr>
            <w:tcW w:w="1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9,529</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7,452</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8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FFCC"/>
          </w:tcPr>
          <w:p>
            <w:pPr>
              <w:spacing w:after="0"/>
              <w:rPr>
                <w:sz w:val="23"/>
                <w:szCs w:val="23"/>
                <w:color w:val="auto"/>
              </w:rPr>
            </w:pPr>
          </w:p>
        </w:tc>
        <w:tc>
          <w:tcPr>
            <w:tcW w:w="104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18,677</w:t>
            </w:r>
          </w:p>
        </w:tc>
        <w:tc>
          <w:tcPr>
            <w:tcW w:w="100" w:type="dxa"/>
            <w:vAlign w:val="bottom"/>
            <w:shd w:val="clear" w:color="auto" w:fill="CCFFCC"/>
          </w:tcPr>
          <w:p>
            <w:pPr>
              <w:spacing w:after="0"/>
              <w:rPr>
                <w:sz w:val="23"/>
                <w:szCs w:val="23"/>
                <w:color w:val="auto"/>
              </w:rPr>
            </w:pPr>
          </w:p>
        </w:tc>
        <w:tc>
          <w:tcPr>
            <w:tcW w:w="480" w:type="dxa"/>
            <w:vAlign w:val="bottom"/>
            <w:tcBorders>
              <w:bottom w:val="single" w:sz="8" w:color="auto"/>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ind w:right="11"/>
              <w:spacing w:after="0"/>
              <w:rPr>
                <w:sz w:val="20"/>
                <w:szCs w:val="20"/>
                <w:color w:val="auto"/>
              </w:rPr>
            </w:pPr>
            <w:r>
              <w:rPr>
                <w:rFonts w:ascii="Arial" w:cs="Arial" w:eastAsia="Arial" w:hAnsi="Arial"/>
                <w:sz w:val="18"/>
                <w:szCs w:val="18"/>
                <w:color w:val="auto"/>
              </w:rPr>
              <w:t>8,611</w:t>
            </w:r>
          </w:p>
        </w:tc>
      </w:tr>
      <w:tr>
        <w:trPr>
          <w:trHeight w:val="257"/>
        </w:trPr>
        <w:tc>
          <w:tcPr>
            <w:tcW w:w="8480" w:type="dxa"/>
            <w:vAlign w:val="bottom"/>
          </w:tcPr>
          <w:p>
            <w:pPr>
              <w:ind w:left="280"/>
              <w:spacing w:after="0"/>
              <w:rPr>
                <w:sz w:val="20"/>
                <w:szCs w:val="20"/>
                <w:color w:val="auto"/>
              </w:rPr>
            </w:pPr>
            <w:r>
              <w:rPr>
                <w:rFonts w:ascii="Arial" w:cs="Arial" w:eastAsia="Arial" w:hAnsi="Arial"/>
                <w:sz w:val="18"/>
                <w:szCs w:val="18"/>
                <w:color w:val="auto"/>
              </w:rPr>
              <w:t>Total 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234,603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168,379</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Italy, Singapore, Canada, and Spain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92,493</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79,161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16,487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14,132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Internal-use software development costs</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52,544</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19,240</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161,524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112,533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(85,288)</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(68,798)</w:t>
            </w:r>
          </w:p>
        </w:tc>
      </w:tr>
      <w:tr>
        <w:trPr>
          <w:trHeight w:val="257"/>
        </w:trPr>
        <w:tc>
          <w:tcPr>
            <w:tcW w:w="832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76,236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43,735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its policy, the Company reviews the estimated useful lives of its fixed assets on an ongoing basis. As of December 31, 2019 and 2018, there was approximately $25.3 million, and 7.8 million, respectively, of internal-use software development costs related to projects currently still in development, therefore, are not yet subject to amortization. Aggregate depreciation and amortization expense for property and equipment was $16.4 million, $14.2 million and $12.4 million for the years ended December 31, 2019, 2018, and 2017, respectively.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2019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FFCC"/>
            </w:tcBorders>
          </w:tcPr>
          <w:p>
            <w:pPr>
              <w:spacing w:after="0"/>
              <w:rPr>
                <w:sz w:val="2"/>
                <w:szCs w:val="2"/>
                <w:color w:val="auto"/>
              </w:rPr>
            </w:pPr>
          </w:p>
        </w:tc>
        <w:tc>
          <w:tcPr>
            <w:tcW w:w="37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2018</w:t>
            </w:r>
          </w:p>
        </w:tc>
        <w:tc>
          <w:tcPr>
            <w:tcW w:w="39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87,007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95,031</w:t>
            </w:r>
          </w:p>
        </w:tc>
        <w:tc>
          <w:tcPr>
            <w:tcW w:w="0" w:type="dxa"/>
            <w:vAlign w:val="bottom"/>
          </w:tcPr>
          <w:p>
            <w:pPr>
              <w:spacing w:after="0"/>
              <w:rPr>
                <w:sz w:val="1"/>
                <w:szCs w:val="1"/>
                <w:color w:val="auto"/>
              </w:rPr>
            </w:pPr>
          </w:p>
        </w:tc>
      </w:tr>
      <w:tr>
        <w:trPr>
          <w:trHeight w:val="243"/>
        </w:trPr>
        <w:tc>
          <w:tcPr>
            <w:tcW w:w="40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Foreign exchange adjustments</w:t>
            </w:r>
          </w:p>
        </w:tc>
        <w:tc>
          <w:tcPr>
            <w:tcW w:w="37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408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37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86,963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94,987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700" w:type="dxa"/>
            <w:vAlign w:val="bottom"/>
            <w:vMerge w:val="restart"/>
          </w:tcPr>
          <w:p>
            <w:pPr>
              <w:jc w:val="right"/>
              <w:ind w:right="1890"/>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0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year ended December 31, 2018 are as follows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Business</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Consumer</w:t>
            </w: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72,507</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80,531</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Adjustments to goodwill:</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14,606</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14,606</w:t>
            </w:r>
          </w:p>
        </w:tc>
      </w:tr>
      <w:tr>
        <w:trPr>
          <w:trHeight w:val="243"/>
        </w:trPr>
        <w:tc>
          <w:tcPr>
            <w:tcW w:w="7780" w:type="dxa"/>
            <w:vAlign w:val="bottom"/>
          </w:tcPr>
          <w:p>
            <w:pPr>
              <w:ind w:left="360"/>
              <w:spacing w:after="0"/>
              <w:rPr>
                <w:sz w:val="20"/>
                <w:szCs w:val="20"/>
                <w:color w:val="auto"/>
              </w:rPr>
            </w:pPr>
            <w:r>
              <w:rPr>
                <w:rFonts w:ascii="Arial" w:cs="Arial" w:eastAsia="Arial" w:hAnsi="Arial"/>
                <w:sz w:val="18"/>
                <w:szCs w:val="18"/>
                <w:color w:val="auto"/>
              </w:rPr>
              <w:t>Foreign exchange adjustments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78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87,007</w:t>
            </w:r>
          </w:p>
        </w:tc>
        <w:tc>
          <w:tcPr>
            <w:tcW w:w="1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95,031</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accumulated goodwill impairment charges are $23.5 million through December 31, 2019. No impairment was recognized for the years ended December 31, 2019, 2018, and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9"/>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ind w:left="1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7"/>
              </w:rPr>
              <w:t>Net Carrying</w:t>
            </w: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360" w:type="dxa"/>
            <w:vAlign w:val="bottom"/>
            <w:tcBorders>
              <w:bottom w:val="single" w:sz="8" w:color="CCFFC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30,413</w:t>
            </w:r>
          </w:p>
        </w:tc>
        <w:tc>
          <w:tcPr>
            <w:tcW w:w="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(25,187)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6"/>
              </w:rPr>
              <w:t>5.3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16,964</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(12,958)</w:t>
            </w: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4,006</w:t>
            </w:r>
          </w:p>
        </w:tc>
        <w:tc>
          <w:tcPr>
            <w:tcW w:w="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8"/>
                <w:szCs w:val="18"/>
                <w:color w:val="auto"/>
                <w:w w:val="86"/>
              </w:rPr>
              <w:t>8.4 years</w:t>
            </w: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Patents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12.8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8"/>
                <w:szCs w:val="18"/>
                <w:color w:val="auto"/>
                <w:w w:val="86"/>
              </w:rPr>
              <w:t>2.7 years</w:t>
            </w: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50,906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(39,094)</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11,812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83"/>
        </w:trPr>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8"/>
          </w:tcPr>
          <w:p>
            <w:pPr>
              <w:ind w:left="660"/>
              <w:spacing w:after="0"/>
              <w:rPr>
                <w:sz w:val="20"/>
                <w:szCs w:val="20"/>
                <w:color w:val="auto"/>
              </w:rPr>
            </w:pPr>
            <w:r>
              <w:rPr>
                <w:rFonts w:ascii="Arial" w:cs="Arial" w:eastAsia="Arial" w:hAnsi="Arial"/>
                <w:sz w:val="16"/>
                <w:szCs w:val="16"/>
                <w:b w:val="1"/>
                <w:bCs w:val="1"/>
                <w:color w:val="auto"/>
              </w:rPr>
              <w:t>December 31, 2018</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09"/>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7"/>
              </w:rPr>
              <w:t>Net Carrying</w:t>
            </w:r>
          </w:p>
        </w:tc>
        <w:tc>
          <w:tcPr>
            <w:tcW w:w="1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Amortization</w:t>
            </w:r>
          </w:p>
        </w:tc>
      </w:tr>
      <w:tr>
        <w:trPr>
          <w:trHeight w:val="210"/>
        </w:trPr>
        <w:tc>
          <w:tcPr>
            <w:tcW w:w="5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Period</w:t>
            </w:r>
          </w:p>
        </w:tc>
      </w:tr>
      <w:tr>
        <w:trPr>
          <w:trHeight w:val="33"/>
        </w:trPr>
        <w:tc>
          <w:tcPr>
            <w:tcW w:w="5360" w:type="dxa"/>
            <w:vAlign w:val="bottom"/>
            <w:tcBorders>
              <w:bottom w:val="single" w:sz="8" w:color="CCFFCC"/>
            </w:tcBorders>
          </w:tcPr>
          <w:p>
            <w:pPr>
              <w:spacing w:after="0"/>
              <w:rPr>
                <w:sz w:val="2"/>
                <w:szCs w:val="2"/>
                <w:color w:val="auto"/>
              </w:rPr>
            </w:pPr>
          </w:p>
        </w:tc>
        <w:tc>
          <w:tcPr>
            <w:tcW w:w="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5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Amortizing intangible assets: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30,447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6,832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5.3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Customer relationships</w:t>
            </w:r>
          </w:p>
        </w:tc>
        <w:tc>
          <w:tcPr>
            <w:tcW w:w="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17,219</w:t>
            </w: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(11,786)</w:t>
            </w:r>
          </w:p>
        </w:tc>
        <w:tc>
          <w:tcPr>
            <w:tcW w:w="12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5,433</w:t>
            </w:r>
          </w:p>
        </w:tc>
        <w:tc>
          <w:tcPr>
            <w:tcW w:w="120" w:type="dxa"/>
            <w:vAlign w:val="bottom"/>
            <w:tcBorders>
              <w:bottom w:val="single" w:sz="8" w:color="CCFFCC"/>
            </w:tcBorders>
            <w:shd w:val="clear" w:color="auto" w:fill="CCFFCC"/>
          </w:tcPr>
          <w:p>
            <w:pPr>
              <w:spacing w:after="0"/>
              <w:rPr>
                <w:sz w:val="21"/>
                <w:szCs w:val="21"/>
                <w:color w:val="auto"/>
              </w:rPr>
            </w:pPr>
          </w:p>
        </w:tc>
        <w:tc>
          <w:tcPr>
            <w:tcW w:w="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center"/>
              <w:ind w:right="74"/>
              <w:spacing w:after="0"/>
              <w:rPr>
                <w:sz w:val="20"/>
                <w:szCs w:val="20"/>
                <w:color w:val="auto"/>
              </w:rPr>
            </w:pPr>
            <w:r>
              <w:rPr>
                <w:rFonts w:ascii="Arial" w:cs="Arial" w:eastAsia="Arial" w:hAnsi="Arial"/>
                <w:sz w:val="18"/>
                <w:szCs w:val="18"/>
                <w:color w:val="auto"/>
                <w:w w:val="89"/>
              </w:rPr>
              <w:t>8.4 years</w:t>
            </w:r>
          </w:p>
        </w:tc>
        <w:tc>
          <w:tcPr>
            <w:tcW w:w="180" w:type="dxa"/>
            <w:vAlign w:val="bottom"/>
          </w:tcPr>
          <w:p>
            <w:pPr>
              <w:spacing w:after="0"/>
              <w:rPr>
                <w:sz w:val="21"/>
                <w:szCs w:val="21"/>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Patents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12.4 years</w:t>
            </w:r>
          </w:p>
        </w:tc>
      </w:tr>
      <w:tr>
        <w:trPr>
          <w:trHeight w:val="27"/>
        </w:trPr>
        <w:tc>
          <w:tcPr>
            <w:tcW w:w="5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70"/>
        </w:trPr>
        <w:tc>
          <w:tcPr>
            <w:tcW w:w="5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center"/>
              <w:ind w:right="74"/>
              <w:spacing w:after="0"/>
              <w:rPr>
                <w:sz w:val="20"/>
                <w:szCs w:val="20"/>
                <w:color w:val="auto"/>
              </w:rPr>
            </w:pPr>
            <w:r>
              <w:rPr>
                <w:rFonts w:ascii="Arial" w:cs="Arial" w:eastAsia="Arial" w:hAnsi="Arial"/>
                <w:sz w:val="18"/>
                <w:szCs w:val="18"/>
                <w:color w:val="auto"/>
                <w:w w:val="89"/>
              </w:rPr>
              <w:t>2.7 years</w:t>
            </w:r>
          </w:p>
        </w:tc>
        <w:tc>
          <w:tcPr>
            <w:tcW w:w="180" w:type="dxa"/>
            <w:vAlign w:val="bottom"/>
          </w:tcPr>
          <w:p>
            <w:pPr>
              <w:spacing w:after="0"/>
              <w:rPr>
                <w:sz w:val="23"/>
                <w:szCs w:val="23"/>
                <w:color w:val="auto"/>
              </w:rPr>
            </w:pPr>
          </w:p>
        </w:tc>
      </w:tr>
      <w:tr>
        <w:trPr>
          <w:trHeight w:val="257"/>
        </w:trPr>
        <w:tc>
          <w:tcPr>
            <w:tcW w:w="5360" w:type="dxa"/>
            <w:vAlign w:val="bottom"/>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50,002</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13,832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5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43"/>
        </w:trPr>
        <w:tc>
          <w:tcPr>
            <w:tcW w:w="5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75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 - (Continued)</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$2.9 million, $2.8 million and $4.7 million for the years ended December 31, 2019, 2018 and 2017, respectively. For the years ended December 31, 2019, 2018 and 2017, a portion of this amortization is included in cost of revenue. Estimated amortization expense for the next five years are as follows (amounts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Estimated Amortization</w:t>
            </w:r>
          </w:p>
        </w:tc>
      </w:tr>
      <w:tr>
        <w:trPr>
          <w:trHeight w:val="210"/>
        </w:trPr>
        <w:tc>
          <w:tcPr>
            <w:tcW w:w="9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772"/>
              <w:spacing w:after="0"/>
              <w:rPr>
                <w:sz w:val="20"/>
                <w:szCs w:val="20"/>
                <w:color w:val="auto"/>
              </w:rPr>
            </w:pPr>
            <w:r>
              <w:rPr>
                <w:rFonts w:ascii="Arial" w:cs="Arial" w:eastAsia="Arial" w:hAnsi="Arial"/>
                <w:sz w:val="16"/>
                <w:szCs w:val="16"/>
                <w:b w:val="1"/>
                <w:bCs w:val="1"/>
                <w:color w:val="auto"/>
              </w:rPr>
              <w:t>Expense</w:t>
            </w:r>
          </w:p>
        </w:tc>
      </w:tr>
      <w:tr>
        <w:trPr>
          <w:trHeight w:val="33"/>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2,734</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2,520</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2,155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904</w:t>
            </w:r>
          </w:p>
        </w:tc>
      </w:tr>
      <w:tr>
        <w:trPr>
          <w:trHeight w:val="27"/>
        </w:trPr>
        <w:tc>
          <w:tcPr>
            <w:tcW w:w="9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CCFFCC"/>
            </w:tcBorders>
            <w:shd w:val="clear" w:color="auto" w:fill="CCFFCC"/>
          </w:tcPr>
          <w:p>
            <w:pPr>
              <w:spacing w:after="0"/>
              <w:rPr>
                <w:sz w:val="21"/>
                <w:szCs w:val="21"/>
                <w:color w:val="auto"/>
              </w:rPr>
            </w:pPr>
          </w:p>
        </w:tc>
        <w:tc>
          <w:tcPr>
            <w:tcW w:w="20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705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32"/>
              <w:spacing w:after="0"/>
              <w:rPr>
                <w:sz w:val="20"/>
                <w:szCs w:val="20"/>
                <w:color w:val="auto"/>
              </w:rPr>
            </w:pPr>
            <w:r>
              <w:rPr>
                <w:rFonts w:ascii="Arial" w:cs="Arial" w:eastAsia="Arial" w:hAnsi="Arial"/>
                <w:sz w:val="18"/>
                <w:szCs w:val="18"/>
                <w:color w:val="auto"/>
              </w:rPr>
              <w:t>2,794</w:t>
            </w:r>
          </w:p>
        </w:tc>
      </w:tr>
      <w:tr>
        <w:trPr>
          <w:trHeight w:val="27"/>
        </w:trPr>
        <w:tc>
          <w:tcPr>
            <w:tcW w:w="9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11,812</w:t>
            </w:r>
          </w:p>
        </w:tc>
      </w:tr>
      <w:tr>
        <w:trPr>
          <w:trHeight w:val="20"/>
        </w:trPr>
        <w:tc>
          <w:tcPr>
            <w:tcW w:w="9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 and Other Current Liabilities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liabilities and other current liabilities for the periods presented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27,920</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19,014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Professional services, consulting and other vendor fees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20,382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17,461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1,913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6,239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Contingent earn-out (Note 8)</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FFCC"/>
            </w:tcBorders>
            <w:shd w:val="clear" w:color="auto" w:fill="CCFFCC"/>
          </w:tcPr>
          <w:p>
            <w:pPr>
              <w:spacing w:after="0"/>
              <w:rPr>
                <w:sz w:val="21"/>
                <w:szCs w:val="21"/>
                <w:color w:val="auto"/>
              </w:rPr>
            </w:pPr>
          </w:p>
        </w:tc>
        <w:tc>
          <w:tcPr>
            <w:tcW w:w="5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2,372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977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2,686</w:t>
            </w:r>
          </w:p>
        </w:tc>
      </w:tr>
      <w:tr>
        <w:trPr>
          <w:trHeight w:val="257"/>
        </w:trPr>
        <w:tc>
          <w:tcPr>
            <w:tcW w:w="832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62,778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50,662</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 and Capped Call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2019, the Company issued $230.0 million aggregate principal amount of 0.750% Convertible Senior Notes due 2024 in a private placement, which amount includes $30.0 million aggregate principal amount of such Notes pursuant to the exercise in full of the over-allotment options of the initial purchasers (collectively, the “Notes”). The interest on the Notes is payable semi-annually in arrears on March 1 and September 1 of each year, beginning on September 1, 2019.</w:t>
      </w:r>
    </w:p>
    <w:p>
      <w:pPr>
        <w:spacing w:after="0" w:line="79" w:lineRule="exact"/>
        <w:rPr>
          <w:sz w:val="20"/>
          <w:szCs w:val="20"/>
          <w:color w:val="auto"/>
        </w:rPr>
      </w:pPr>
    </w:p>
    <w:p>
      <w:pPr>
        <w:jc w:val="both"/>
        <w:ind w:firstLine="691"/>
        <w:spacing w:after="0" w:line="308" w:lineRule="auto"/>
        <w:rPr>
          <w:sz w:val="20"/>
          <w:szCs w:val="20"/>
          <w:color w:val="auto"/>
        </w:rPr>
      </w:pPr>
      <w:r>
        <w:rPr>
          <w:rFonts w:ascii="Arial" w:cs="Arial" w:eastAsia="Arial" w:hAnsi="Arial"/>
          <w:sz w:val="17"/>
          <w:szCs w:val="17"/>
          <w:color w:val="auto"/>
        </w:rPr>
        <w:t>The Notes will mature on March 1, 2024, unless earlier repurchased or redeemed by the Company or converted pursuant to their terms. The total net proceeds from the debt offering, after deducting debt issuance costs, paid or payable by us, was approximately $221.4 million.</w:t>
      </w:r>
    </w:p>
    <w:p>
      <w:pPr>
        <w:spacing w:after="0" w:line="38" w:lineRule="exact"/>
        <w:rPr>
          <w:sz w:val="20"/>
          <w:szCs w:val="20"/>
          <w:color w:val="auto"/>
        </w:rPr>
      </w:pPr>
    </w:p>
    <w:p>
      <w:pPr>
        <w:jc w:val="both"/>
        <w:ind w:firstLine="700"/>
        <w:spacing w:after="0" w:line="271" w:lineRule="auto"/>
        <w:rPr>
          <w:sz w:val="20"/>
          <w:szCs w:val="20"/>
          <w:color w:val="auto"/>
        </w:rPr>
      </w:pPr>
      <w:r>
        <w:rPr>
          <w:rFonts w:ascii="Arial" w:cs="Arial" w:eastAsia="Arial" w:hAnsi="Arial"/>
          <w:sz w:val="17"/>
          <w:szCs w:val="17"/>
          <w:color w:val="auto"/>
        </w:rPr>
        <w:t>Each $1,000 principal amount of the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Notes in connection with such a corporate event. The Notes are not redeemable prior to the maturity date of the Notes and no sinking fund is provided for the Notes. If we undergo a fundamental change (as defined in the indenture governing the Notes) prior to the maturity date, holders may require us to repurchase for cash all or any portion of their Notes in principal amounts of $1,000 or a multiple thereof at a fundamental change repurchase price equal to 100% of the principal amount of the Notes to be repurchased, plus accrued and unpaid interest to, but excluding, the fundamental change repurchase date.</w:t>
      </w:r>
    </w:p>
    <w:p>
      <w:pPr>
        <w:sectPr>
          <w:pgSz w:w="11900" w:h="16838" w:orient="portrait"/>
          <w:cols w:equalWidth="0" w:num="1">
            <w:col w:w="11420"/>
          </w:cols>
          <w:pgMar w:left="240" w:top="121"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of the Notes may convert their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on each applicable trading day as determined by the Company; (2) during the five business day period after any five consecutive trading day period (the “measurement period”) in which the “trading price” (as defined in the indenture governing the Notes) per $1,000 principal amount of Notes for each trading day of the measurement period was less than 98% of the product of the last reported sale price of the Company’s common stock and the conversion rate for the Notes on each such trading day; or (3) upon the occurrence of specified corporate events. On or after November 1, 2023, holders may convert all or any portion of their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72" w:lineRule="exact"/>
        <w:rPr>
          <w:sz w:val="20"/>
          <w:szCs w:val="20"/>
          <w:color w:val="auto"/>
        </w:rPr>
      </w:pPr>
    </w:p>
    <w:p>
      <w:pPr>
        <w:jc w:val="both"/>
        <w:ind w:firstLine="852"/>
        <w:spacing w:after="0" w:line="277" w:lineRule="auto"/>
        <w:rPr>
          <w:sz w:val="20"/>
          <w:szCs w:val="20"/>
          <w:color w:val="auto"/>
        </w:rPr>
      </w:pPr>
      <w:r>
        <w:rPr>
          <w:rFonts w:ascii="Arial" w:cs="Arial" w:eastAsia="Arial" w:hAnsi="Arial"/>
          <w:sz w:val="18"/>
          <w:szCs w:val="18"/>
          <w:color w:val="auto"/>
        </w:rPr>
        <w:t>It is the Company’s current intent to settle the principal amount of its outstanding Notes in cash and any excess in shares of the Company’s common stock.</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the conditions allowing holders of the Notes to convert were not met.</w:t>
      </w:r>
    </w:p>
    <w:p>
      <w:pPr>
        <w:spacing w:after="0" w:line="117" w:lineRule="exact"/>
        <w:rPr>
          <w:sz w:val="20"/>
          <w:szCs w:val="20"/>
          <w:color w:val="auto"/>
        </w:rPr>
      </w:pPr>
    </w:p>
    <w:p>
      <w:pPr>
        <w:jc w:val="both"/>
        <w:ind w:firstLine="721"/>
        <w:spacing w:after="0" w:line="279" w:lineRule="auto"/>
        <w:rPr>
          <w:sz w:val="20"/>
          <w:szCs w:val="20"/>
          <w:color w:val="auto"/>
        </w:rPr>
      </w:pPr>
      <w:r>
        <w:rPr>
          <w:rFonts w:ascii="Arial" w:cs="Arial" w:eastAsia="Arial" w:hAnsi="Arial"/>
          <w:sz w:val="17"/>
          <w:szCs w:val="17"/>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63" w:lineRule="exact"/>
        <w:rPr>
          <w:sz w:val="20"/>
          <w:szCs w:val="20"/>
          <w:color w:val="auto"/>
        </w:rPr>
      </w:pPr>
    </w:p>
    <w:p>
      <w:pPr>
        <w:jc w:val="both"/>
        <w:ind w:firstLine="709"/>
        <w:spacing w:after="0" w:line="255" w:lineRule="auto"/>
        <w:rPr>
          <w:sz w:val="20"/>
          <w:szCs w:val="20"/>
          <w:color w:val="auto"/>
        </w:rPr>
      </w:pPr>
      <w:r>
        <w:rPr>
          <w:rFonts w:ascii="Arial" w:cs="Arial" w:eastAsia="Arial" w:hAnsi="Arial"/>
          <w:sz w:val="18"/>
          <w:szCs w:val="18"/>
          <w:color w:val="auto"/>
        </w:rPr>
        <w:t>In accounting for the issuance of the Notes, the Company separated the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Notes.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accounting for the transaction costs related to the Notes, the Company allocated the total amount incurred of approximately $8.6 million to the liability and equity components of the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terms of the Notes. Issuance costs attributable to the equity component were approximately $2.0 million and recorded as a reduction of additional paid in capital in stockholders’ equity.</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carrying amount of the liability component of the Notes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100330</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As of December 31, 2019</w:t>
            </w:r>
          </w:p>
        </w:tc>
        <w:tc>
          <w:tcPr>
            <w:tcW w:w="0" w:type="dxa"/>
            <w:vAlign w:val="bottom"/>
          </w:tcPr>
          <w:p>
            <w:pPr>
              <w:spacing w:after="0"/>
              <w:rPr>
                <w:sz w:val="1"/>
                <w:szCs w:val="1"/>
                <w:color w:val="auto"/>
              </w:rPr>
            </w:pP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Principal</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230,000</w:t>
            </w:r>
          </w:p>
        </w:tc>
        <w:tc>
          <w:tcPr>
            <w:tcW w:w="0" w:type="dxa"/>
            <w:vAlign w:val="bottom"/>
          </w:tcPr>
          <w:p>
            <w:pPr>
              <w:spacing w:after="0"/>
              <w:rPr>
                <w:sz w:val="1"/>
                <w:szCs w:val="1"/>
                <w:color w:val="auto"/>
              </w:rPr>
            </w:pP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Unamortized discount</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(45,295)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Unamortized issuance costs</w:t>
            </w:r>
          </w:p>
        </w:tc>
        <w:tc>
          <w:tcPr>
            <w:tcW w:w="200" w:type="dxa"/>
            <w:vAlign w:val="bottom"/>
            <w:tcBorders>
              <w:bottom w:val="single" w:sz="8" w:color="CCFFCC"/>
            </w:tcBorders>
            <w:shd w:val="clear" w:color="auto" w:fill="CCFFCC"/>
          </w:tcPr>
          <w:p>
            <w:pPr>
              <w:spacing w:after="0"/>
              <w:rPr>
                <w:sz w:val="22"/>
                <w:szCs w:val="22"/>
                <w:color w:val="auto"/>
              </w:rPr>
            </w:pPr>
          </w:p>
        </w:tc>
        <w:tc>
          <w:tcPr>
            <w:tcW w:w="1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(5,693)</w:t>
            </w:r>
          </w:p>
        </w:tc>
        <w:tc>
          <w:tcPr>
            <w:tcW w:w="0" w:type="dxa"/>
            <w:vAlign w:val="bottom"/>
          </w:tcPr>
          <w:p>
            <w:pPr>
              <w:spacing w:after="0"/>
              <w:rPr>
                <w:sz w:val="1"/>
                <w:szCs w:val="1"/>
                <w:color w:val="auto"/>
              </w:rPr>
            </w:pPr>
          </w:p>
        </w:tc>
      </w:tr>
      <w:tr>
        <w:trPr>
          <w:trHeight w:val="244"/>
        </w:trPr>
        <w:tc>
          <w:tcPr>
            <w:tcW w:w="9360" w:type="dxa"/>
            <w:vAlign w:val="bottom"/>
          </w:tcPr>
          <w:p>
            <w:pPr>
              <w:ind w:left="280"/>
              <w:spacing w:after="0"/>
              <w:rPr>
                <w:sz w:val="20"/>
                <w:szCs w:val="20"/>
                <w:color w:val="auto"/>
              </w:rPr>
            </w:pPr>
            <w:r>
              <w:rPr>
                <w:rFonts w:ascii="Arial" w:cs="Arial" w:eastAsia="Arial" w:hAnsi="Arial"/>
                <w:sz w:val="16"/>
                <w:szCs w:val="16"/>
                <w:color w:val="auto"/>
              </w:rPr>
              <w:t>Net carrying 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179,012</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500"/>
              <w:spacing w:after="0"/>
              <w:rPr>
                <w:sz w:val="20"/>
                <w:szCs w:val="20"/>
                <w:color w:val="auto"/>
              </w:rPr>
            </w:pPr>
            <w:r>
              <w:rPr>
                <w:rFonts w:ascii="Arial" w:cs="Arial" w:eastAsia="Arial" w:hAnsi="Arial"/>
                <w:sz w:val="18"/>
                <w:szCs w:val="18"/>
                <w:color w:val="auto"/>
              </w:rPr>
              <w:t>The net carrying amount of the equity component of the Notes was as follows (in thousands):</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FFC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As of December 31, 2019</w:t>
            </w:r>
          </w:p>
        </w:tc>
        <w:tc>
          <w:tcPr>
            <w:tcW w:w="0" w:type="dxa"/>
            <w:vAlign w:val="bottom"/>
          </w:tcPr>
          <w:p>
            <w:pPr>
              <w:spacing w:after="0"/>
              <w:rPr>
                <w:sz w:val="1"/>
                <w:szCs w:val="1"/>
                <w:color w:val="auto"/>
              </w:rPr>
            </w:pP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Proceeds allocated to the conversion options (debt discount)</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52,900</w:t>
            </w:r>
          </w:p>
        </w:tc>
        <w:tc>
          <w:tcPr>
            <w:tcW w:w="0" w:type="dxa"/>
            <w:vAlign w:val="bottom"/>
          </w:tcPr>
          <w:p>
            <w:pPr>
              <w:spacing w:after="0"/>
              <w:rPr>
                <w:sz w:val="1"/>
                <w:szCs w:val="1"/>
                <w:color w:val="auto"/>
              </w:rPr>
            </w:pP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Issuance costs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Net carrying amount</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50,914</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interest expense recognized related to the Notes (in thousands):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377825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Contractual interest expense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issuance costs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5"/>
          <w:szCs w:val="15"/>
          <w:color w:val="auto"/>
        </w:rPr>
        <w:t>Amortization of debt discount</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For the Year Ended December</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13335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1,438</w:t>
      </w:r>
    </w:p>
    <w:p>
      <w:pPr>
        <w:spacing w:after="0" w:line="84"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34925</wp:posOffset>
            </wp:positionV>
            <wp:extent cx="72466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7,605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34925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66" w:lineRule="exact"/>
        <w:rPr>
          <w:sz w:val="20"/>
          <w:szCs w:val="20"/>
          <w:color w:val="auto"/>
        </w:rPr>
      </w:pPr>
    </w:p>
    <w:p>
      <w:pPr>
        <w:spacing w:after="0"/>
        <w:tabs>
          <w:tab w:leader="none" w:pos="15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42545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59690</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680" w:space="720"/>
            <w:col w:w="2020"/>
          </w:cols>
          <w:pgMar w:left="240" w:top="121" w:right="239" w:bottom="1440" w:gutter="0" w:footer="0" w:header="0"/>
          <w:type w:val="continuous"/>
        </w:sectPr>
      </w:pPr>
    </w:p>
    <w:p>
      <w:pPr>
        <w:spacing w:after="0" w:line="3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term over which the debt discount and debt issuance costs will be amortized is 4.2 years. The effective interest rate on the debt was 5.88% for the year ended December 31 2019. Interest expense of $10.0 million is reflected as a component of interest (expense) income, net in the accompanying consolidated statement of operations for the year ended December 31, 2019.</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connection with the offering of the Notes, the Company entered into privately-negotiated capped call option transactions with certain counterparties (the “capped calls”). The capped calls each have an initial strike price of approximately $38.58 per share, subject to certain adjustments, which corresponds to the initial conversion price of the Notes. The capped calls have initial cap prices of $57.16 per share, subject to certain adjustment events. The capped calls cover, subject to anti-dilution adjustments, approximately 5.96 million shares of common stock. The capped calls are generally intended to reduce or offset the potential dilution to the common stock upon any conversion of the Notes with such reduction or offset, as the case may be, subject to a cap based on the cap price. The capped calls expire on March 1, 2024, subject to earlier exercise. The capped calls are subject to either adjustment or termination upon the occurrence of specified extraordinary events affecting the Company, including a merger event, a tender offer, and a nationalization, insolvency or delisting involving the Company. In addition, the capped calls are subject to certain specified additional disruption events that may give rise to a termination of the capped calls, including changes in law, failure to deliver, and hedging disruptions. The capped calls are recorded in stockholders’ equity and are not accounted for as derivatives. The net cost of $23.2 million incurred to purchase the capped calls was recorded as a reduction to additional paid-in capital in the accompanying consolidated balance sheet.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AdvantageTec Inc.</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2018, the Company entered into a stock purchase agreement to acquire the outstanding equity interest of AdvantageTec Inc. (“AdvantageTec”), a leading provider of texting solutions for service departments of automotive dealerships that helps enable the conversational experience across the entire dealership, including both front end/variable operations (new and used vehicle sales) and back end/fixed operations (parts and services). The purchase agreement was for total consideration of approximately $11.2 million, which includes approximately $6.0 million in cash, approximately $4.3 million in shares of common stock, and approximately $0.9 million of potential earn-out consideration in cash and shares of common stock. The earn-out is contingent upon achieving certain targeted financial, strategic and integration objectives and milestones and is included as part of the purchase price. During the year, the Company assessed this earn-out and recorded a $0.2 million fair value re-measurement adjustment, which was recorded in loss from operations as an increase in general and administrative expenses. In 2019, the Company made $0.5 million of payments in earn-out consideration, with potential future earn-out payments of $0.4 million.</w:t>
      </w:r>
    </w:p>
    <w:p>
      <w:pPr>
        <w:spacing w:after="0" w:line="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purchase price allocation resulted in approximately $9.1 million of goodwill and approximately $2.2 million of intangible assets. The goodwill will not be deductible for tax purposes. The intangible assets are being amortized over their expected period of benefit. A deferred tax liability for the identified intangibles has been recorded.</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AdvantageTec Inc. enhances the Company’s messaging platform available for the automotive industry and is included in the Company's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Conversable, Inc.</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2018, the Company acquired the employees and technology assets of Conversable, Inc. a SaaS based Artificial Intelligence powered conversational platform, headquartered in Austin, Texas, for an aggregate estimated purchase price of $5.7 million. The estimated purchase price consisted of $1.3 million in cash, approximately $2.9 million in shares of common stock of the Company, and a potential earn-out consideration of $1.5 million in cash, which is based on achieving certain targeted financial, strategic, and integration objectives and milestones and is included as part of the purchase price. In 2019 the Company assessed this earn-out and recorded a $0.5 million fair value re-measurement adjustment, which was recorded in loss from operations as a decrease in general and administrative expenses. This transaction was accounted for under the purchase method of accounting and was based upon the estimated fair value of Conversable, Inc.'s net tangible and identifiable intangible assets as of the date of acquisition.</w:t>
      </w:r>
    </w:p>
    <w:p>
      <w:pPr>
        <w:spacing w:after="0" w:line="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allocation resulted in approximately $5.5 million of goodwill and approximately $0.5 million of intangible assets. The goodwill will be deductible for tax purposes. The intangible assets are being amortized over their expected period of benefit. The allocation of the purchase price to net book value of acquired assets and liabilities resulted in a net liability $0.3 million, which includes accounts receivable, property and equipment, accrued expenses, and deferred revenue.</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Conversable Inc.’s capabilities will accelerate the ongoing expansion of the Company’s Conversational Space solutions and enhance the Company’s ability to deliver proactive and personalized content and services when and where the customer needs it, helping consumers find immediate service through messaging. Conversable, Inc. will be included in the Company’s business segment. The results of this acquisition were not significant to the results of operations for the year ended December 31,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BotCentral, Inc.</w:t>
      </w:r>
    </w:p>
    <w:p>
      <w:pPr>
        <w:spacing w:after="0" w:line="3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2018, the Company acquired the employees and technology assets of BotCentral, Inc., a Silicon Valley based startup, for an approximate purchase price of $1.0 million in common stock of the Company. The Company incurred an additional $0.2 million related to acquisition costs. This transaction was accounted for as an asset purchase. The aggregate amount of approximately $0.2 million is included in intangibles on the Company’s consolidated balance sheet. With the team’s expertise and knowledge of LiveEngage platform, the team is bringing valuable insight for the Company’s customers and partners, and enabling the Company to more rapidly optimize its bot deployment capabilities, and grow the ecosystem. BotCentral, Inc. will be included in the Company’s business segment. The results of this acquisition were not significant to the results of operations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6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9"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2019 and December 31, 2018, are summarized as follows (amounts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16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2,899</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2,899</w:t>
            </w:r>
          </w:p>
        </w:tc>
        <w:tc>
          <w:tcPr>
            <w:tcW w:w="2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2,828</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2,828</w:t>
            </w:r>
          </w:p>
        </w:tc>
      </w:tr>
      <w:tr>
        <w:trPr>
          <w:trHeight w:val="284"/>
        </w:trPr>
        <w:tc>
          <w:tcPr>
            <w:tcW w:w="354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2,899</w:t>
            </w:r>
          </w:p>
        </w:tc>
        <w:tc>
          <w:tcPr>
            <w:tcW w:w="12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2,899</w:t>
            </w:r>
          </w:p>
        </w:tc>
        <w:tc>
          <w:tcPr>
            <w:tcW w:w="200" w:type="dxa"/>
            <w:vAlign w:val="bottom"/>
            <w:tcBorders>
              <w:bottom w:val="single" w:sz="8" w:color="CCFFCC"/>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2,828</w:t>
            </w:r>
          </w:p>
        </w:tc>
        <w:tc>
          <w:tcPr>
            <w:tcW w:w="10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2,828</w:t>
            </w:r>
          </w:p>
        </w:tc>
      </w:tr>
      <w:tr>
        <w:trPr>
          <w:trHeight w:val="284"/>
        </w:trPr>
        <w:tc>
          <w:tcPr>
            <w:tcW w:w="354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74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74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64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6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700" w:type="dxa"/>
            <w:vAlign w:val="bottom"/>
            <w:shd w:val="clear" w:color="auto" w:fill="CCFFCC"/>
          </w:tcPr>
          <w:p>
            <w:pPr>
              <w:spacing w:after="0"/>
              <w:rPr>
                <w:sz w:val="24"/>
                <w:szCs w:val="24"/>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5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Contingent earn-out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557</w:t>
            </w:r>
          </w:p>
        </w:tc>
        <w:tc>
          <w:tcPr>
            <w:tcW w:w="2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2,372</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2,372</w:t>
            </w:r>
          </w:p>
        </w:tc>
      </w:tr>
      <w:tr>
        <w:trPr>
          <w:trHeight w:val="244"/>
        </w:trPr>
        <w:tc>
          <w:tcPr>
            <w:tcW w:w="35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557</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2,372</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the fair value of the Notes, as further described in Note 7 above, was approximately $194.3 million. Management determines the fair value by utilizing an independent valuation specialist using the antithetic variable technique and is considered a Level 2 fair value measurement.</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recorded a contingent earn-out of $2.4 million in December 2018 in connection with the acquisitions of Conversable, Inc. and AdvantageTec Inc. The contingent earn-out is based on achieving certain targeted financial, strategic, and integration objectives. The unobservable inputs considered are probability factors and the time value of money. During the year ended December 31, 2019, the contingent earn-out decreased by $1.8 million due to a decrease in re-measurement to fair value of Conversable, Inc. of $0.5 million and payments of $0.5 million in cash and $1.0 million in shares, offset in part by an increase of re-measurement to fair value of Advantage, Inc.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 (continued)</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Contingent Earn-Out</w:t>
            </w:r>
          </w:p>
        </w:tc>
      </w:tr>
      <w:tr>
        <w:trPr>
          <w:trHeight w:val="250"/>
        </w:trPr>
        <w:tc>
          <w:tcPr>
            <w:tcW w:w="8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1"/>
                <w:szCs w:val="2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Beginning of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Conversable, Inc. fair value adjustment (see Note 7)</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1,496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AdvantageTec, Inc. fair value adjustment (see Note 7)</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Payments</w:t>
            </w:r>
          </w:p>
        </w:tc>
        <w:tc>
          <w:tcPr>
            <w:tcW w:w="32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2,372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 As of December 31 2019 and 2018, the Company is not party to any foreign currency forward contracts and does not have any restricted cash balance.</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certain information regarding the Company’s derivatives that are not designated or are not effective as hedges (in thousands):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7160" w:type="dxa"/>
            <w:vAlign w:val="bottom"/>
            <w:tcBorders>
              <w:bottom w:val="single" w:sz="8" w:color="auto"/>
            </w:tcBorders>
            <w:gridSpan w:val="10"/>
          </w:tcPr>
          <w:p>
            <w:pPr>
              <w:jc w:val="right"/>
              <w:ind w:right="959"/>
              <w:spacing w:after="0"/>
              <w:rPr>
                <w:sz w:val="20"/>
                <w:szCs w:val="20"/>
                <w:color w:val="auto"/>
              </w:rPr>
            </w:pPr>
            <w:r>
              <w:rPr>
                <w:rFonts w:ascii="Arial" w:cs="Arial" w:eastAsia="Arial" w:hAnsi="Arial"/>
                <w:sz w:val="14"/>
                <w:szCs w:val="14"/>
                <w:b w:val="1"/>
                <w:bCs w:val="1"/>
                <w:color w:val="auto"/>
              </w:rPr>
              <w:t>Gain (losses) on Derivative Instruments Recognized in the Statement of Operations</w:t>
            </w:r>
          </w:p>
        </w:tc>
      </w:tr>
      <w:tr>
        <w:trPr>
          <w:trHeight w:val="264"/>
        </w:trPr>
        <w:tc>
          <w:tcPr>
            <w:tcW w:w="4220" w:type="dxa"/>
            <w:vAlign w:val="bottom"/>
            <w:tcBorders>
              <w:bottom w:val="single" w:sz="8" w:color="CCFFCC"/>
            </w:tcBorders>
          </w:tcPr>
          <w:p>
            <w:pPr>
              <w:spacing w:after="0"/>
              <w:rPr>
                <w:sz w:val="22"/>
                <w:szCs w:val="22"/>
                <w:color w:val="auto"/>
              </w:rPr>
            </w:pPr>
          </w:p>
        </w:tc>
        <w:tc>
          <w:tcPr>
            <w:tcW w:w="2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8"/>
              </w:rPr>
              <w:t>Statement of Operations Location</w:t>
            </w:r>
          </w:p>
        </w:tc>
        <w:tc>
          <w:tcPr>
            <w:tcW w:w="1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December 31, 2017</w:t>
            </w:r>
          </w:p>
        </w:tc>
      </w:tr>
      <w:tr>
        <w:trPr>
          <w:trHeight w:val="263"/>
        </w:trPr>
        <w:tc>
          <w:tcPr>
            <w:tcW w:w="4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Foreign currency derivatives contracts</w:t>
            </w:r>
          </w:p>
        </w:tc>
        <w:tc>
          <w:tcPr>
            <w:tcW w:w="25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FFCC"/>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FFCC"/>
          </w:tcPr>
          <w:p>
            <w:pPr>
              <w:jc w:val="right"/>
              <w:ind w:right="19"/>
              <w:spacing w:after="0"/>
              <w:rPr>
                <w:sz w:val="20"/>
                <w:szCs w:val="20"/>
                <w:color w:val="auto"/>
              </w:rPr>
            </w:pPr>
            <w:r>
              <w:rPr>
                <w:rFonts w:ascii="Arial" w:cs="Arial" w:eastAsia="Arial" w:hAnsi="Arial"/>
                <w:sz w:val="18"/>
                <w:szCs w:val="18"/>
                <w:color w:val="auto"/>
              </w:rPr>
              <w:t>236</w:t>
            </w:r>
          </w:p>
        </w:tc>
      </w:tr>
      <w:tr>
        <w:trPr>
          <w:trHeight w:val="20"/>
        </w:trPr>
        <w:tc>
          <w:tcPr>
            <w:tcW w:w="4220" w:type="dxa"/>
            <w:vAlign w:val="bottom"/>
            <w:tcBorders>
              <w:top w:val="single" w:sz="8" w:color="CCFFCC"/>
            </w:tcBorders>
          </w:tcPr>
          <w:p>
            <w:pPr>
              <w:spacing w:after="0" w:line="20" w:lineRule="exact"/>
              <w:rPr>
                <w:sz w:val="1"/>
                <w:szCs w:val="1"/>
                <w:color w:val="auto"/>
              </w:rPr>
            </w:pPr>
          </w:p>
        </w:tc>
        <w:tc>
          <w:tcPr>
            <w:tcW w:w="24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111111"/>
        </w:rPr>
        <w:t xml:space="preserve">The Company leases facilities and certain car leases (the ‘‘leases’’) under agreements accounted for as operating leases. The </w:t>
      </w:r>
      <w:r>
        <w:rPr>
          <w:rFonts w:ascii="Arial" w:cs="Arial" w:eastAsia="Arial" w:hAnsi="Arial"/>
          <w:sz w:val="18"/>
          <w:szCs w:val="18"/>
          <w:color w:val="000000"/>
        </w:rPr>
        <w:t>leases have initial lease</w:t>
      </w:r>
      <w:r>
        <w:rPr>
          <w:rFonts w:ascii="Arial" w:cs="Arial" w:eastAsia="Arial" w:hAnsi="Arial"/>
          <w:sz w:val="18"/>
          <w:szCs w:val="18"/>
          <w:color w:val="111111"/>
        </w:rPr>
        <w:t xml:space="preserve"> </w:t>
      </w:r>
      <w:r>
        <w:rPr>
          <w:rFonts w:ascii="Arial" w:cs="Arial" w:eastAsia="Arial" w:hAnsi="Arial"/>
          <w:sz w:val="18"/>
          <w:szCs w:val="18"/>
          <w:color w:val="000000"/>
        </w:rPr>
        <w:t>terms ranging from 1 to 12 years. Payments due under the lease contracts include primarily fixed payments. The lease terms include periods under options to extend or terminate the lease when it is reasonably certain that we will exercise that option. Currently, there are no operating leases where we believe it is reasonably certain that the Company will exercise any option to extend the initial term.</w:t>
      </w:r>
    </w:p>
    <w:p>
      <w:pPr>
        <w:spacing w:after="0" w:line="1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111111"/>
        </w:rPr>
        <w:t>The Company has evaluated its facility leases and determined which leases met the definition of the new standard in accordance with Topic 842. The Company also performed an evaluation of their other contracts with suppliers in accordance with Topic 842 and have determined that, except for the facilities and car leases described above, none of its supply contracts contain a lease. Further, the Company has made an accounting policy election to keep leases with a term of twelve months or less off the balance sheet. This policy applies to all classes of the underlying assets. The Company will recognize those lease payments and associated interest expense in the consolidated statement of operations evenly over the lease term.</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11111"/>
        </w:rPr>
        <w:t>The Company elected the “package of practical expedients,” which permits the Company not to reassess under ASC 842 its prior conclusions about lease identification, lease classification and initial direct costs. The Company also made a policy election not to separate non-lease components from lease components. Furthermore, the Company elected to not capitalize leases with a term of 12 months or less and recognize the lease expense for such leases generally on a straight-line basis over the lease term.</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 (continued)</w:t>
      </w:r>
    </w:p>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111111"/>
        </w:rPr>
        <w:t xml:space="preserve">In connection with the leases, the Company recognized operating lease right-of-use assets of $15.7 million and an aggregate lease liability of $19.5 million in its consolidated balance sheet as of December </w:t>
      </w:r>
      <w:r>
        <w:rPr>
          <w:rFonts w:ascii="Arial" w:cs="Arial" w:eastAsia="Arial" w:hAnsi="Arial"/>
          <w:sz w:val="18"/>
          <w:szCs w:val="18"/>
          <w:color w:val="000000"/>
        </w:rPr>
        <w:t>31, 2019</w:t>
      </w:r>
      <w:r>
        <w:rPr>
          <w:rFonts w:ascii="Arial" w:cs="Arial" w:eastAsia="Arial" w:hAnsi="Arial"/>
          <w:sz w:val="18"/>
          <w:szCs w:val="18"/>
          <w:color w:val="111111"/>
        </w:rPr>
        <w:t>.</w:t>
      </w:r>
    </w:p>
    <w:p>
      <w:pPr>
        <w:spacing w:after="0" w:line="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111111"/>
        </w:rPr>
        <w:t xml:space="preserve">The determination of the discount rate used to calculate the present value of the right-of-use assets and lease liabilities depends on whether an interest rate is specified in the lease or not. If the lease specifies a rate, that rate is used when calculating the present value of lease payments. </w:t>
      </w:r>
      <w:r>
        <w:rPr>
          <w:rFonts w:ascii="Arial" w:cs="Arial" w:eastAsia="Arial" w:hAnsi="Arial"/>
          <w:sz w:val="17"/>
          <w:szCs w:val="17"/>
          <w:color w:val="000000"/>
        </w:rPr>
        <w:t>If the rate is not</w:t>
      </w:r>
      <w:r>
        <w:rPr>
          <w:rFonts w:ascii="Arial" w:cs="Arial" w:eastAsia="Arial" w:hAnsi="Arial"/>
          <w:sz w:val="17"/>
          <w:szCs w:val="17"/>
          <w:color w:val="111111"/>
        </w:rPr>
        <w:t xml:space="preserve"> </w:t>
      </w:r>
      <w:r>
        <w:rPr>
          <w:rFonts w:ascii="Arial" w:cs="Arial" w:eastAsia="Arial" w:hAnsi="Arial"/>
          <w:sz w:val="17"/>
          <w:szCs w:val="17"/>
          <w:color w:val="000000"/>
        </w:rPr>
        <w:t>readily determinable, which is generally the case for the Company, the Company’s incremental borrowing rate (“IBR”) as of the date of inception of the lease is used (for initial measurement, the IBR was determined as of the adoption date of the standard). The IBR is the rate of interest that the Company would have to pay to borrow on a collateralized basis over a similar term and amount equal to the lease payments in a similar economic environment. The Company used a ratings benchmark report against its peers in the technology sector.</w:t>
      </w:r>
    </w:p>
    <w:p>
      <w:pPr>
        <w:spacing w:after="0" w:line="9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has operating leases for its corporate offices and other service agreements. The Company's leases have remaining lease terms of 1 to 12 years, some of which include options to extend. The Company's lease expense for the year ended December 31, 2019 consisted entirely of operating leases was approximately $13.0 million. Operating lease payments, which reduced operating cash flows for the year ended December 31, 2019 was approximately $7.0 million.</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65"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Leases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Right-of-use asset, net</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operating lease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Long term operating lease liability</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operating lease liability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thousands, except lease term</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5519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58" w:lineRule="exact"/>
        <w:rPr>
          <w:sz w:val="20"/>
          <w:szCs w:val="20"/>
          <w:color w:val="auto"/>
        </w:rPr>
      </w:pPr>
    </w:p>
    <w:p>
      <w:pPr>
        <w:spacing w:after="0"/>
        <w:tabs>
          <w:tab w:leader="none" w:pos="1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15,680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39370</wp:posOffset>
            </wp:positionV>
            <wp:extent cx="7229475"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370"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6,602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34925</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12,865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15519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66" w:lineRule="exact"/>
        <w:rPr>
          <w:sz w:val="20"/>
          <w:szCs w:val="20"/>
          <w:color w:val="auto"/>
        </w:rPr>
      </w:pPr>
    </w:p>
    <w:p>
      <w:pPr>
        <w:spacing w:after="0"/>
        <w:tabs>
          <w:tab w:leader="none" w:pos="18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19,467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42545</wp:posOffset>
            </wp:positionV>
            <wp:extent cx="7229475" cy="1974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260" w:space="720"/>
            <w:col w:w="2440"/>
          </w:cols>
          <w:pgMar w:left="240" w:top="121" w:right="239" w:bottom="1440" w:gutter="0" w:footer="0" w:header="0"/>
          <w:type w:val="continuous"/>
        </w:sectPr>
      </w:pP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460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4600" w:type="dxa"/>
            <w:vAlign w:val="bottom"/>
          </w:tcPr>
          <w:p>
            <w:pPr>
              <w:spacing w:after="0"/>
              <w:rPr>
                <w:sz w:val="2"/>
                <w:szCs w:val="2"/>
                <w:color w:val="auto"/>
              </w:rPr>
            </w:pPr>
          </w:p>
        </w:tc>
      </w:tr>
      <w:tr>
        <w:trPr>
          <w:trHeight w:val="250"/>
        </w:trPr>
        <w:tc>
          <w:tcPr>
            <w:tcW w:w="678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Operating leases</w:t>
            </w:r>
          </w:p>
        </w:tc>
        <w:tc>
          <w:tcPr>
            <w:tcW w:w="460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rPr>
              <w:t>3.5 years</w:t>
            </w:r>
          </w:p>
        </w:tc>
      </w:tr>
      <w:tr>
        <w:trPr>
          <w:trHeight w:val="297"/>
        </w:trPr>
        <w:tc>
          <w:tcPr>
            <w:tcW w:w="67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50"/>
        </w:trPr>
        <w:tc>
          <w:tcPr>
            <w:tcW w:w="6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4600" w:type="dxa"/>
            <w:vAlign w:val="bottom"/>
            <w:tcBorders>
              <w:bottom w:val="single" w:sz="8" w:color="CCFFCC"/>
            </w:tcBorders>
            <w:shd w:val="clear" w:color="auto" w:fill="CCFFCC"/>
          </w:tcPr>
          <w:p>
            <w:pPr>
              <w:spacing w:after="0"/>
              <w:rPr>
                <w:sz w:val="21"/>
                <w:szCs w:val="21"/>
                <w:color w:val="auto"/>
              </w:rPr>
            </w:pPr>
          </w:p>
        </w:tc>
      </w:tr>
      <w:tr>
        <w:trPr>
          <w:trHeight w:val="237"/>
        </w:trPr>
        <w:tc>
          <w:tcPr>
            <w:tcW w:w="6780" w:type="dxa"/>
            <w:vAlign w:val="bottom"/>
          </w:tcPr>
          <w:p>
            <w:pPr>
              <w:ind w:left="200"/>
              <w:spacing w:after="0"/>
              <w:rPr>
                <w:sz w:val="20"/>
                <w:szCs w:val="20"/>
                <w:color w:val="auto"/>
              </w:rPr>
            </w:pPr>
            <w:r>
              <w:rPr>
                <w:rFonts w:ascii="Arial" w:cs="Arial" w:eastAsia="Arial" w:hAnsi="Arial"/>
                <w:sz w:val="16"/>
                <w:szCs w:val="16"/>
                <w:color w:val="auto"/>
              </w:rPr>
              <w:t>Operating leases</w:t>
            </w:r>
          </w:p>
        </w:tc>
        <w:tc>
          <w:tcPr>
            <w:tcW w:w="460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an initial or remaining lease terms in excess of one year) are as follows (amounts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92"/>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992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240" w:type="dxa"/>
            <w:vAlign w:val="bottom"/>
          </w:tcPr>
          <w:p>
            <w:pPr>
              <w:jc w:val="right"/>
              <w:ind w:right="432"/>
              <w:spacing w:after="0"/>
              <w:rPr>
                <w:sz w:val="20"/>
                <w:szCs w:val="20"/>
                <w:color w:val="auto"/>
              </w:rPr>
            </w:pPr>
            <w:r>
              <w:rPr>
                <w:rFonts w:ascii="Arial" w:cs="Arial" w:eastAsia="Arial" w:hAnsi="Arial"/>
                <w:sz w:val="16"/>
                <w:szCs w:val="16"/>
                <w:b w:val="1"/>
                <w:bCs w:val="1"/>
                <w:color w:val="auto"/>
              </w:rPr>
              <w:t>Leases</w:t>
            </w:r>
          </w:p>
        </w:tc>
      </w:tr>
      <w:tr>
        <w:trPr>
          <w:trHeight w:val="33"/>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7,787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6,530</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3,746</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1,925</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1,148</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864</w:t>
            </w:r>
          </w:p>
        </w:tc>
      </w:tr>
      <w:tr>
        <w:trPr>
          <w:trHeight w:val="27"/>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22,000</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Less: present value adjustment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(2,533)</w:t>
            </w:r>
          </w:p>
        </w:tc>
      </w:tr>
      <w:tr>
        <w:trPr>
          <w:trHeight w:val="27"/>
        </w:trPr>
        <w:tc>
          <w:tcPr>
            <w:tcW w:w="9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 operating lease liability</w:t>
            </w:r>
          </w:p>
        </w:tc>
        <w:tc>
          <w:tcPr>
            <w:tcW w:w="2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19,467</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Rental expense for operating leases and other service agreements was approximately $13.0 million, $10.9 million and $9.9 million for the years ended December 31, 2019, 2018 and 2017 respectively.</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 401(k) defined contribution plan covering all eligible employees. In 2018, the Company provided for employer matching contributions equal to 50% of employee contributions, up to the lesser of 5% of eligible compensation or $6,000. Matching contributions are deposited into the employee’s 401(k) account and are subject to 5 year graded vesting. Beginning in 2019, the Company’s 401(k) policy was changed to a Safe Harbor Plan, whereby the Company matches 100% of the first 3% of eligible compensation and 50% of the next 2% of eligible compensation. Furthermore, the match is immediately vested. Total Company matching contributions were $3.2 million, $1.6 million, and $1.4 million for the years ended December 31, 2019, 2018 and 2017,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December 31, 2019 and 2018.</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Non-Income Related Taxes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is in the process of finalizing its sales tax liability analysis for states that it has economic nexus in. Although it is probable that the Company will be subject to sales tax liabilities plus interest in these states, the amount is not estimable at December 31, 2019. The Company expects to finalize its analysis by March 31, 2020.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2019, the Company filed an amendment to its Certificate of Incorporation to authorize an additional 100,000,000 shares of common stock. As December 31, 2019, there were 200,000,000 shares of common stock authorized, and 66,543,073 and 63,833,243 shares issued and outstanding, respectively. As of December 31, 2018, there were 100,000,000 shares of common stock authorized, and 63,676,229 and 60,994,944 shares issued and outstanding, respectively. The par value for common shares is $0.001.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and 2018,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2012 through 2018, the Company had a stock repurchase program in place pursuant to which the Company was authorized to repurchase shares of its common stock, in the open market or privately negotiated transactions, at times and prices considered appropriate by the Board of Directors depending upon prevailing market conditions and other corporate considerations. The timing and actual number of shares repurchased depend on a variety of factors including the timing of open trading windows, price, corporate and regulatory requirements and other market conditions. The program was discontinued at the end of 2018. The Company may or may not enter into a new stock repurchase program in the future.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years ended December 31, 2019, 2018 and 2017 was $12.12, $6.60, and $4.25, respectively. The fair value of each option grant is estimated on the date of grant using the Black-Scholes option-pricing model with the following weighted average assumptions for the years ended December 31, 2019, 2018 and 2017: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674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Dividend yield</w:t>
            </w:r>
          </w:p>
        </w:tc>
        <w:tc>
          <w:tcPr>
            <w:tcW w:w="1620" w:type="dxa"/>
            <w:vAlign w:val="bottom"/>
            <w:tcBorders>
              <w:bottom w:val="single" w:sz="8" w:color="CCFFCC"/>
            </w:tcBorders>
            <w:gridSpan w:val="2"/>
            <w:shd w:val="clear" w:color="auto" w:fill="CCFFCC"/>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FFCC"/>
            </w:tcBorders>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1.66% – 3.05%</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2.5% – 3.1%</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1.7% – 2.1%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Expected life (in years)</w:t>
            </w:r>
          </w:p>
        </w:tc>
        <w:tc>
          <w:tcPr>
            <w:tcW w:w="150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7"/>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Historical volatility</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43.42% – 44%</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43.5% – 48.4%</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46.6% – 48.1%</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stock-based-based compensation awards follows: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established the 2009 Stock Incentive Plan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Plan (the “Amended 2009 Plan”) effective June 7, 2012. The Amended 2009 Plan increased the number of shares authorized for issuance under the plan by an additional 4,250,000. On June 2, 2017, the Company's Board of Directors amended and restated the Amended 2009 Plan effective April 30, 2017. The amended and restated plan increased the number of shares authorized for issuance under the plan by an additional 4,000,000.</w:t>
      </w:r>
    </w:p>
    <w:p>
      <w:pPr>
        <w:spacing w:after="0" w:line="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11, 2019, the Company’s Board of Directors adopted, and on June 6, 2019, the Company’s stockholders approved, the 2019 Stock Incentive Plan (‘‘2019 Stock Incentive Plan’’) to replace the Amended 2009 Plan, which was set to expire under its terms on June 9, 2019. Under the 2019 Stock Incentive Plan, the number of shares underlying options and other equity awards which remain outstanding, as well as the number of shares that remained available for grant, under the Amended 2009 Plan and under the Amended 2000 Plan were incorporated, as of June 6, 2019, into the 2019 Stock Incentive Plan. In addition, under the 2019 Stock Incentive Plan, 4,250,000 new shares were authorized for issuance. The number of shares authorized for issuance under the 2019 Stock Incentive Plan, the Amended 2009 Plan, and the 2000 Plan is 32,067,744 shares in the aggregate. Options to acquire common stock granted thereunder have 10-year terms. As of December 31, 2019, approximately 4.1 million shares of common stock remained available for issuance under the 2019 Stock Incentive Plan (taking into account all option exercises and other equity award settlements through December 31, 2019).</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2010, the Company’s stockholders approved the 2010 Employee Stock Purchase Plan with 1,000,000 shares of common stock initially reserved for issuance. Subject to stockholder approval, which was obtained on June 2, 2017, the Company's Board of Directors amended and restated the 2010 Employee Stock Purchase Plan effective April 30, 2017. The amended and restated plan increased the number of shares authorized for issuance under the plan by an additional 1,000,000, thereby reserving for issuance 2,000,000 shares of common stock in the aggregate.</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11, 2019, the Company’s Board of Directors adopted, and on June 6, 2019, the Company’s stockholders approved, the 2019 Employee Stock Purchase Plan (the ‘‘2019 Employee Stock Purchase Plan’’) to replace the Amended and Restated 2010 Employee Stock Purchase Plan which was set to expire under its terms in June 2020. There are 1,000,000 shares authorized and reserved for issuance under the 2019 Employee Stock Purchase Plan. As of December 31, 2019, approximately 0.9 million shares of common stock remain available for issuance under the 2019 Employee Stock Purchase Plan (taking into account all share purchases through December 31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Plan</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January 2018, the Company established the Inducement Plan (the “2018 Plan”). Under the 2018 Plan, the Board of Directors can issue nonqualified stock options or other equity-based awards in respect of up to 1,500,000 shares of common stock. On April 25, 2018, the Company’s Board of Directors amended and restated the 2018 Plan (the ‘‘Amended 2018 Plan’’). The Amended 2018 Plan increased the number of shares authorized for issuance under the plan by an additional 500,000 shares, and subsequently the Board of Directors has approved and ratified, effective as of July 31, 2018, October 29, 2018 and February 13, 2019, increases of the number of shares authorized for issuance under the Amended 2018 Plan by 500,000, 250,000 and 618,048 shares, respectively, constituting 3,368,048 shares of common stock in the aggregate being reserved for issuance pursuant to grants under the Amended 2018 Plan. As of December 31, 2019, approximately 0.8 million shares of common stock remained available for issuance under the Amended 2018 Plan (taking into account all option exercises and other equity award settlements through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20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92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Remaining Contractual</w:t>
            </w: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 (in</w:t>
            </w:r>
          </w:p>
        </w:tc>
      </w:tr>
      <w:tr>
        <w:trPr>
          <w:trHeight w:val="210"/>
        </w:trPr>
        <w:tc>
          <w:tcPr>
            <w:tcW w:w="4920" w:type="dxa"/>
            <w:vAlign w:val="bottom"/>
          </w:tcPr>
          <w:p>
            <w:pPr>
              <w:spacing w:after="0"/>
              <w:rPr>
                <w:sz w:val="18"/>
                <w:szCs w:val="18"/>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Exercise Price</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Term (in years)</w:t>
            </w:r>
          </w:p>
        </w:tc>
        <w:tc>
          <w:tcPr>
            <w:tcW w:w="200" w:type="dxa"/>
            <w:vAlign w:val="bottom"/>
          </w:tcPr>
          <w:p>
            <w:pPr>
              <w:spacing w:after="0"/>
              <w:rPr>
                <w:sz w:val="18"/>
                <w:szCs w:val="18"/>
                <w:color w:val="auto"/>
              </w:rPr>
            </w:pPr>
          </w:p>
        </w:tc>
        <w:tc>
          <w:tcPr>
            <w:tcW w:w="1160" w:type="dxa"/>
            <w:vAlign w:val="bottom"/>
          </w:tcPr>
          <w:p>
            <w:pPr>
              <w:jc w:val="center"/>
              <w:ind w:right="112"/>
              <w:spacing w:after="0"/>
              <w:rPr>
                <w:sz w:val="20"/>
                <w:szCs w:val="20"/>
                <w:color w:val="auto"/>
              </w:rPr>
            </w:pPr>
            <w:r>
              <w:rPr>
                <w:rFonts w:ascii="Arial" w:cs="Arial" w:eastAsia="Arial" w:hAnsi="Arial"/>
                <w:sz w:val="16"/>
                <w:szCs w:val="16"/>
                <w:b w:val="1"/>
                <w:bCs w:val="1"/>
                <w:color w:val="auto"/>
                <w:w w:val="88"/>
              </w:rPr>
              <w:t>thousands)</w:t>
            </w:r>
          </w:p>
        </w:tc>
      </w:tr>
      <w:tr>
        <w:trPr>
          <w:trHeight w:val="33"/>
        </w:trPr>
        <w:tc>
          <w:tcPr>
            <w:tcW w:w="49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Balance outstanding at December 31, 2016</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7,769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FFCC"/>
            </w:tcBorders>
            <w:shd w:val="clear" w:color="auto" w:fill="CCFFCC"/>
          </w:tcPr>
          <w:p>
            <w:pPr>
              <w:spacing w:after="0"/>
              <w:rPr>
                <w:sz w:val="23"/>
                <w:szCs w:val="23"/>
                <w:color w:val="auto"/>
              </w:rPr>
            </w:pPr>
          </w:p>
        </w:tc>
        <w:tc>
          <w:tcPr>
            <w:tcW w:w="1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r>
      <w:tr>
        <w:trPr>
          <w:trHeight w:val="297"/>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2017</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7,959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14,881</w:t>
            </w:r>
          </w:p>
        </w:tc>
      </w:tr>
      <w:tr>
        <w:trPr>
          <w:trHeight w:val="251"/>
        </w:trPr>
        <w:tc>
          <w:tcPr>
            <w:tcW w:w="4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7,163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13,197</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1"/>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2017</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5,163</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8,648</w:t>
            </w:r>
          </w:p>
        </w:tc>
      </w:tr>
      <w:tr>
        <w:trPr>
          <w:trHeight w:val="284"/>
        </w:trPr>
        <w:tc>
          <w:tcPr>
            <w:tcW w:w="492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8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Balance outstanding at December 31, 2017</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7,959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FFCC"/>
            </w:tcBorders>
            <w:shd w:val="clear" w:color="auto" w:fill="CCFFCC"/>
          </w:tcPr>
          <w:p>
            <w:pPr>
              <w:spacing w:after="0"/>
              <w:rPr>
                <w:sz w:val="23"/>
                <w:szCs w:val="23"/>
                <w:color w:val="auto"/>
              </w:rPr>
            </w:pPr>
          </w:p>
        </w:tc>
        <w:tc>
          <w:tcPr>
            <w:tcW w:w="1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r>
      <w:tr>
        <w:trPr>
          <w:trHeight w:val="297"/>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2018</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6,266</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43,348</w:t>
            </w:r>
          </w:p>
        </w:tc>
      </w:tr>
      <w:tr>
        <w:trPr>
          <w:trHeight w:val="251"/>
        </w:trPr>
        <w:tc>
          <w:tcPr>
            <w:tcW w:w="4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5,550</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39,521</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1"/>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Options exercisable at December 31, 2018</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25,367</w:t>
            </w:r>
          </w:p>
        </w:tc>
      </w:tr>
      <w:tr>
        <w:trPr>
          <w:trHeight w:val="284"/>
        </w:trPr>
        <w:tc>
          <w:tcPr>
            <w:tcW w:w="4920" w:type="dxa"/>
            <w:vAlign w:val="bottom"/>
            <w:shd w:val="clear" w:color="auto" w:fill="CCFFCC"/>
          </w:tcPr>
          <w:p>
            <w:pPr>
              <w:spacing w:after="0"/>
              <w:rPr>
                <w:sz w:val="24"/>
                <w:szCs w:val="24"/>
                <w:color w:val="auto"/>
              </w:rPr>
            </w:pPr>
          </w:p>
        </w:tc>
        <w:tc>
          <w:tcPr>
            <w:tcW w:w="15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18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182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160" w:type="dxa"/>
            <w:vAlign w:val="bottom"/>
            <w:shd w:val="clear" w:color="auto" w:fill="CCFFCC"/>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Balance outstanding at December 31, 2018</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6,266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29.76</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spacing w:after="0"/>
              <w:rPr>
                <w:sz w:val="21"/>
                <w:szCs w:val="2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Cancelled or expired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FFCC"/>
            </w:tcBorders>
            <w:shd w:val="clear" w:color="auto" w:fill="CCFFCC"/>
          </w:tcPr>
          <w:p>
            <w:pPr>
              <w:spacing w:after="0"/>
              <w:rPr>
                <w:sz w:val="23"/>
                <w:szCs w:val="23"/>
                <w:color w:val="auto"/>
              </w:rPr>
            </w:pPr>
          </w:p>
        </w:tc>
        <w:tc>
          <w:tcPr>
            <w:tcW w:w="18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shd w:val="clear" w:color="auto" w:fill="CCFFCC"/>
          </w:tcPr>
          <w:p>
            <w:pPr>
              <w:spacing w:after="0"/>
              <w:rPr>
                <w:sz w:val="23"/>
                <w:szCs w:val="23"/>
                <w:color w:val="auto"/>
              </w:rPr>
            </w:pPr>
          </w:p>
        </w:tc>
      </w:tr>
      <w:tr>
        <w:trPr>
          <w:trHeight w:val="297"/>
        </w:trPr>
        <w:tc>
          <w:tcPr>
            <w:tcW w:w="4920" w:type="dxa"/>
            <w:vAlign w:val="bottom"/>
            <w:tcBorders>
              <w:bottom w:val="single" w:sz="8" w:color="CCFFCC"/>
            </w:tcBorders>
          </w:tcPr>
          <w:p>
            <w:pPr>
              <w:ind w:left="40"/>
              <w:spacing w:after="0"/>
              <w:rPr>
                <w:sz w:val="20"/>
                <w:szCs w:val="20"/>
                <w:color w:val="auto"/>
              </w:rPr>
            </w:pPr>
            <w:r>
              <w:rPr>
                <w:rFonts w:ascii="Arial" w:cs="Arial" w:eastAsia="Arial" w:hAnsi="Arial"/>
                <w:sz w:val="18"/>
                <w:szCs w:val="18"/>
                <w:color w:val="auto"/>
              </w:rPr>
              <w:t>Balance outstanding at December 31, 2019</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5,799</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FFCC"/>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119,064</w:t>
            </w:r>
          </w:p>
        </w:tc>
      </w:tr>
      <w:tr>
        <w:trPr>
          <w:trHeight w:val="251"/>
        </w:trPr>
        <w:tc>
          <w:tcPr>
            <w:tcW w:w="4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5,096</w:t>
            </w:r>
          </w:p>
        </w:tc>
        <w:tc>
          <w:tcPr>
            <w:tcW w:w="120" w:type="dxa"/>
            <w:vAlign w:val="bottom"/>
            <w:tcBorders>
              <w:bottom w:val="single" w:sz="8" w:color="auto"/>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8"/>
                <w:szCs w:val="18"/>
                <w:color w:val="auto"/>
              </w:rPr>
              <w:t>110,934</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8"/>
                <w:szCs w:val="18"/>
                <w:color w:val="auto"/>
              </w:rPr>
              <w:t>Options exercisable at December 31, 2019</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2,901</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72,424</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total fair value of stock options exercised during the years ended December 31, 2019 and 2018 was approximately $8.0 million and $16.1 million, respectively. As of December 31, 2019, there was approximately $22.7 million of total unrecognized compensation cost related to nonvested share-based compensation arrangements. That cost is expected to be recognized over a weighted average period of approximately 2.4 years.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December 31, 2019:</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Options Outstanding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5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12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Weighted-Average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2"/>
              </w:rPr>
              <w:t>Number of Shares</w:t>
            </w: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w:t>
            </w:r>
          </w:p>
        </w:tc>
      </w:tr>
      <w:tr>
        <w:trPr>
          <w:trHeight w:val="210"/>
        </w:trPr>
        <w:tc>
          <w:tcPr>
            <w:tcW w:w="412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thousands)</w:t>
            </w: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340" w:type="dxa"/>
            <w:vAlign w:val="bottom"/>
          </w:tcPr>
          <w:p>
            <w:pPr>
              <w:jc w:val="right"/>
              <w:ind w:right="92"/>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1"/>
              </w:rPr>
              <w:t>Exercise Price</w:t>
            </w:r>
          </w:p>
        </w:tc>
      </w:tr>
      <w:tr>
        <w:trPr>
          <w:trHeight w:val="33"/>
        </w:trPr>
        <w:tc>
          <w:tcPr>
            <w:tcW w:w="4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$6.23 - $7.6</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643</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392</w:t>
            </w:r>
          </w:p>
        </w:tc>
        <w:tc>
          <w:tcPr>
            <w:tcW w:w="260" w:type="dxa"/>
            <w:vAlign w:val="bottom"/>
            <w:tcBorders>
              <w:bottom w:val="single" w:sz="8" w:color="CCFFCC"/>
            </w:tcBorders>
            <w:gridSpan w:val="2"/>
            <w:shd w:val="clear" w:color="auto" w:fill="CCFFCC"/>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7.40</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$7.95 - $10.05</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648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9.48</w:t>
            </w:r>
          </w:p>
        </w:tc>
      </w:tr>
      <w:tr>
        <w:trPr>
          <w:trHeight w:val="27"/>
        </w:trPr>
        <w:tc>
          <w:tcPr>
            <w:tcW w:w="4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$10.13 - $11.95</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621</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10.53</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$11.96 - $12.32</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12.10</w:t>
            </w:r>
          </w:p>
        </w:tc>
      </w:tr>
      <w:tr>
        <w:trPr>
          <w:trHeight w:val="27"/>
        </w:trPr>
        <w:tc>
          <w:tcPr>
            <w:tcW w:w="4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$12.45 - $12.45</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782</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12.45</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$12.46</w:t>
            </w:r>
          </w:p>
        </w:tc>
        <w:tc>
          <w:tcPr>
            <w:tcW w:w="3440" w:type="dxa"/>
            <w:vAlign w:val="bottom"/>
          </w:tcPr>
          <w:p>
            <w:pPr>
              <w:ind w:left="20"/>
              <w:spacing w:after="0"/>
              <w:rPr>
                <w:sz w:val="20"/>
                <w:szCs w:val="20"/>
                <w:color w:val="auto"/>
              </w:rPr>
            </w:pPr>
            <w:r>
              <w:rPr>
                <w:rFonts w:ascii="Arial" w:cs="Arial" w:eastAsia="Arial" w:hAnsi="Arial"/>
                <w:sz w:val="18"/>
                <w:szCs w:val="18"/>
                <w:color w:val="auto"/>
              </w:rPr>
              <w:t>- $14.3</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758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13.41</w:t>
            </w:r>
          </w:p>
        </w:tc>
      </w:tr>
      <w:tr>
        <w:trPr>
          <w:trHeight w:val="27"/>
        </w:trPr>
        <w:tc>
          <w:tcPr>
            <w:tcW w:w="4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$14.5 - $17.88</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580</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16.11</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16.60</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$18.09</w:t>
            </w:r>
          </w:p>
        </w:tc>
        <w:tc>
          <w:tcPr>
            <w:tcW w:w="3440" w:type="dxa"/>
            <w:vAlign w:val="bottom"/>
          </w:tcPr>
          <w:p>
            <w:pPr>
              <w:ind w:left="20"/>
              <w:spacing w:after="0"/>
              <w:rPr>
                <w:sz w:val="20"/>
                <w:szCs w:val="20"/>
                <w:color w:val="auto"/>
              </w:rPr>
            </w:pPr>
            <w:r>
              <w:rPr>
                <w:rFonts w:ascii="Arial" w:cs="Arial" w:eastAsia="Arial" w:hAnsi="Arial"/>
                <w:sz w:val="18"/>
                <w:szCs w:val="18"/>
                <w:color w:val="auto"/>
              </w:rPr>
              <w:t>- $28.18</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21.55</w:t>
            </w:r>
          </w:p>
        </w:tc>
      </w:tr>
      <w:tr>
        <w:trPr>
          <w:trHeight w:val="27"/>
        </w:trPr>
        <w:tc>
          <w:tcPr>
            <w:tcW w:w="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w w:val="90"/>
              </w:rPr>
              <w:t>$28.23</w:t>
            </w:r>
          </w:p>
        </w:tc>
        <w:tc>
          <w:tcPr>
            <w:tcW w:w="34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 $32.37</w:t>
            </w:r>
          </w:p>
        </w:tc>
        <w:tc>
          <w:tcPr>
            <w:tcW w:w="1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756</w:t>
            </w:r>
          </w:p>
        </w:tc>
        <w:tc>
          <w:tcPr>
            <w:tcW w:w="15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0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29.93</w:t>
            </w:r>
          </w:p>
        </w:tc>
        <w:tc>
          <w:tcPr>
            <w:tcW w:w="1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$40.61</w:t>
            </w:r>
          </w:p>
        </w:tc>
        <w:tc>
          <w:tcPr>
            <w:tcW w:w="3440" w:type="dxa"/>
            <w:vAlign w:val="bottom"/>
          </w:tcPr>
          <w:p>
            <w:pPr>
              <w:ind w:left="20"/>
              <w:spacing w:after="0"/>
              <w:rPr>
                <w:sz w:val="20"/>
                <w:szCs w:val="20"/>
                <w:color w:val="auto"/>
              </w:rPr>
            </w:pPr>
            <w:r>
              <w:rPr>
                <w:rFonts w:ascii="Arial" w:cs="Arial" w:eastAsia="Arial" w:hAnsi="Arial"/>
                <w:sz w:val="18"/>
                <w:szCs w:val="18"/>
                <w:color w:val="auto"/>
              </w:rPr>
              <w:t>- $40.61</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560" w:type="dxa"/>
            <w:vAlign w:val="bottom"/>
            <w:shd w:val="clear" w:color="auto" w:fill="CCFFCC"/>
          </w:tcPr>
          <w:p>
            <w:pPr>
              <w:spacing w:after="0"/>
              <w:rPr>
                <w:sz w:val="18"/>
                <w:szCs w:val="18"/>
                <w:color w:val="auto"/>
              </w:rPr>
            </w:pPr>
          </w:p>
        </w:tc>
        <w:tc>
          <w:tcPr>
            <w:tcW w:w="34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r>
      <w:tr>
        <w:trPr>
          <w:trHeight w:val="257"/>
        </w:trPr>
        <w:tc>
          <w:tcPr>
            <w:tcW w:w="5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5,799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12.03</w:t>
            </w:r>
          </w:p>
        </w:tc>
      </w:tr>
      <w:tr>
        <w:trPr>
          <w:trHeight w:val="20"/>
        </w:trPr>
        <w:tc>
          <w:tcPr>
            <w:tcW w:w="5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640" w:type="dxa"/>
            <w:vAlign w:val="bottom"/>
            <w:gridSpan w:val="5"/>
          </w:tcPr>
          <w:p>
            <w:pPr>
              <w:ind w:left="74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00" w:type="dxa"/>
            <w:vAlign w:val="bottom"/>
          </w:tcPr>
          <w:p>
            <w:pPr>
              <w:spacing w:after="0"/>
              <w:rPr>
                <w:sz w:val="17"/>
                <w:szCs w:val="17"/>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 Shares (in</w:t>
            </w:r>
          </w:p>
        </w:tc>
        <w:tc>
          <w:tcPr>
            <w:tcW w:w="18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w w:val="91"/>
              </w:rPr>
              <w:t>Aggregate Fair Value (in</w:t>
            </w:r>
          </w:p>
        </w:tc>
      </w:tr>
      <w:tr>
        <w:trPr>
          <w:trHeight w:val="210"/>
        </w:trPr>
        <w:tc>
          <w:tcPr>
            <w:tcW w:w="580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51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2016</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8,968</w:t>
            </w: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2017</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10,053</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5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2017</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10,053</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2,568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9.49</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2018</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2,690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50,756</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311"/>
        </w:trPr>
        <w:tc>
          <w:tcPr>
            <w:tcW w:w="58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outstanding at December 31, 2018</w:t>
            </w:r>
          </w:p>
        </w:tc>
        <w:tc>
          <w:tcPr>
            <w:tcW w:w="17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2,690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50,756</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Awarded</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Released</w:t>
            </w:r>
          </w:p>
        </w:tc>
        <w:tc>
          <w:tcPr>
            <w:tcW w:w="1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(1,197)</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14.24</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80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72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800" w:type="dxa"/>
            <w:vAlign w:val="bottom"/>
            <w:tcBorders>
              <w:bottom w:val="single" w:sz="8" w:color="CCFFC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2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Non-vested and outstanding at December 31, 2019</w:t>
            </w:r>
          </w:p>
        </w:tc>
        <w:tc>
          <w:tcPr>
            <w:tcW w:w="172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3,049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24.73</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112,848</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00" w:type="dxa"/>
            <w:vAlign w:val="bottom"/>
          </w:tcPr>
          <w:p>
            <w:pPr>
              <w:ind w:left="20"/>
              <w:spacing w:after="0"/>
              <w:rPr>
                <w:sz w:val="20"/>
                <w:szCs w:val="20"/>
                <w:color w:val="auto"/>
              </w:rPr>
            </w:pPr>
            <w:r>
              <w:rPr>
                <w:rFonts w:ascii="Arial" w:cs="Arial" w:eastAsia="Arial" w:hAnsi="Arial"/>
                <w:sz w:val="16"/>
                <w:szCs w:val="16"/>
                <w:color w:val="auto"/>
              </w:rPr>
              <w:t>Expected to vest</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2,059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76,185</w:t>
            </w:r>
          </w:p>
        </w:tc>
      </w:tr>
      <w:tr>
        <w:trPr>
          <w:trHeight w:val="20"/>
        </w:trPr>
        <w:tc>
          <w:tcPr>
            <w:tcW w:w="58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1"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 (continued)</w:t>
      </w:r>
    </w:p>
    <w:p>
      <w:pPr>
        <w:spacing w:after="0" w:line="3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granted to employees generally vest over a three to four-year period, or upon achievement of certain performance conditions. As of December 31, 2019, total unrecognized compensation cost, adjusted for estimated forfeitures, related to nonvested RSUs was approximately $76.2 million and the weighted-average remaining vesting period was 2.8 years.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the Company accrued approximately $19.0 million in cash awards to be settled in shares of the Company's stock and recorded a corresponding expense, which is included as a component of stock-based compensation expense in the accompanying consolidated financial statements.</w:t>
      </w:r>
    </w:p>
    <w:p>
      <w:pPr>
        <w:spacing w:after="0" w:line="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Stock-based compensation expense recognized in the Company’s consolidated statements of operations and cash flows was $44.1 million and $14.8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we believe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2019, there was an increase in the valuation recorded of $19.1 million.</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Section 382 of the Internal Revenue Code of 1986, as amended (the ‘‘Code’’), the Company’s use of its federal net operating loss (“NOL”) carryforwards may be limited if the Company experiences an ownership change, as defined in Section 382 of the Code. Such an annual limitation could result in the expiration of the NOL carryforwards before utilization. Corresponding provisions of state law may limit the Company’s ability to utilize NOL carryforwards for state tax purposes. As of December 31, 2019, the Company had approximately $203.5 million of federal NOL carryforwards available to offset future taxable income. Included in this amount is $5.1 million of federal NOL carryovers from the Company’s acquisition of Proficient. Approximately $41.2 million of these federal NOL carryforwards were generated in taxable years ending on or before December 31, 2017 and will expire in various years through 2037. Federal NOL carryforwards generated in taxable years ending after December 31, 2017, do not expire, but generally may only offset up to 80% of federal taxable income earned in a taxable year.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domestic and foreign components of (loss) before provision for income taxes consist of the following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(105,961)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(38,078)</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(25,585)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Israel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3,458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United Kingdom</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5,377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2,087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1,568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Australia</w:t>
            </w:r>
          </w:p>
        </w:tc>
        <w:tc>
          <w:tcPr>
            <w:tcW w:w="3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shd w:val="clear" w:color="auto" w:fill="CCFFCC"/>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2,424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FFCC"/>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FFCC"/>
          </w:tcPr>
          <w:p>
            <w:pPr>
              <w:spacing w:after="0"/>
              <w:rPr>
                <w:sz w:val="23"/>
                <w:szCs w:val="23"/>
                <w:color w:val="auto"/>
              </w:rPr>
            </w:pPr>
          </w:p>
        </w:tc>
        <w:tc>
          <w:tcPr>
            <w:tcW w:w="11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4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337</w:t>
            </w:r>
          </w:p>
        </w:tc>
      </w:tr>
      <w:tr>
        <w:trPr>
          <w:trHeight w:val="237"/>
        </w:trPr>
        <w:tc>
          <w:tcPr>
            <w:tcW w:w="67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(93,226)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(24,174)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38" w:lineRule="exact"/>
        <w:rPr>
          <w:sz w:val="20"/>
          <w:szCs w:val="20"/>
          <w:color w:val="auto"/>
        </w:rPr>
      </w:pPr>
    </w:p>
    <w:p>
      <w:pPr>
        <w:ind w:left="220" w:hanging="185"/>
        <w:spacing w:after="0"/>
        <w:tabs>
          <w:tab w:leader="none" w:pos="22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Includes Japan, Italy, Singapore, Canada, France, India and Spain</w:t>
      </w:r>
    </w:p>
    <w:p>
      <w:pPr>
        <w:spacing w:after="0" w:line="3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additional provision has been made for U.S. income taxes on the undistributed earnings of its Israeli subsidiary, LivePerson Ltd. (formerly HumanClick Ltd.), as such earnings have been taxed in the U.S. and accumulated earnings of the Company’s other foreign subsidiaries are immaterial through December 31, 2019.</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consists of the following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60" w:type="dxa"/>
            <w:vAlign w:val="bottom"/>
          </w:tcPr>
          <w:p>
            <w:pPr>
              <w:spacing w:after="0"/>
              <w:rPr>
                <w:sz w:val="20"/>
                <w:szCs w:val="20"/>
                <w:color w:val="auto"/>
              </w:rPr>
            </w:pPr>
          </w:p>
        </w:tc>
        <w:tc>
          <w:tcPr>
            <w:tcW w:w="36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60" w:type="dxa"/>
            <w:vAlign w:val="bottom"/>
            <w:tcBorders>
              <w:bottom w:val="single" w:sz="8" w:color="CCFFCC"/>
            </w:tcBorders>
          </w:tcPr>
          <w:p>
            <w:pPr>
              <w:spacing w:after="0"/>
              <w:rPr>
                <w:sz w:val="2"/>
                <w:szCs w:val="2"/>
                <w:color w:val="auto"/>
              </w:rPr>
            </w:pPr>
          </w:p>
        </w:tc>
        <w:tc>
          <w:tcPr>
            <w:tcW w:w="268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Current income taxes:</w:t>
            </w:r>
          </w:p>
        </w:tc>
        <w:tc>
          <w:tcPr>
            <w:tcW w:w="268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36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State and local</w:t>
            </w:r>
          </w:p>
        </w:tc>
        <w:tc>
          <w:tcPr>
            <w:tcW w:w="268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Foreign</w:t>
            </w:r>
          </w:p>
        </w:tc>
        <w:tc>
          <w:tcPr>
            <w:tcW w:w="2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w w:val="97"/>
              </w:rPr>
              <w:t>4,415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FFCC"/>
            </w:tcBorders>
          </w:tcPr>
          <w:p>
            <w:pPr>
              <w:spacing w:after="0"/>
              <w:rPr>
                <w:sz w:val="2"/>
                <w:szCs w:val="2"/>
                <w:color w:val="auto"/>
              </w:rPr>
            </w:pPr>
          </w:p>
        </w:tc>
        <w:tc>
          <w:tcPr>
            <w:tcW w:w="268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Total current income taxes</w:t>
            </w:r>
          </w:p>
        </w:tc>
        <w:tc>
          <w:tcPr>
            <w:tcW w:w="268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CCFFCC"/>
            </w:tcBorders>
            <w:shd w:val="clear" w:color="auto" w:fill="CCFFCC"/>
          </w:tcPr>
          <w:p>
            <w:pPr>
              <w:spacing w:after="0"/>
              <w:rPr>
                <w:sz w:val="22"/>
                <w:szCs w:val="22"/>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w w:val="97"/>
              </w:rPr>
              <w:t>4,052</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534"/>
        </w:trPr>
        <w:tc>
          <w:tcPr>
            <w:tcW w:w="40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U.S. Federal</w:t>
            </w:r>
          </w:p>
        </w:tc>
        <w:tc>
          <w:tcPr>
            <w:tcW w:w="268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2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Foreign</w:t>
            </w:r>
          </w:p>
        </w:tc>
        <w:tc>
          <w:tcPr>
            <w:tcW w:w="268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spacing w:after="0"/>
              <w:rPr>
                <w:sz w:val="23"/>
                <w:szCs w:val="23"/>
                <w:color w:val="auto"/>
              </w:rPr>
            </w:pPr>
          </w:p>
        </w:tc>
        <w:tc>
          <w:tcPr>
            <w:tcW w:w="5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(1,468)</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060" w:type="dxa"/>
            <w:vAlign w:val="bottom"/>
          </w:tcPr>
          <w:p>
            <w:pPr>
              <w:ind w:left="200"/>
              <w:spacing w:after="0"/>
              <w:rPr>
                <w:sz w:val="20"/>
                <w:szCs w:val="20"/>
                <w:color w:val="auto"/>
              </w:rPr>
            </w:pPr>
            <w:r>
              <w:rPr>
                <w:rFonts w:ascii="Arial" w:cs="Arial" w:eastAsia="Arial" w:hAnsi="Arial"/>
                <w:sz w:val="18"/>
                <w:szCs w:val="18"/>
                <w:color w:val="auto"/>
              </w:rPr>
              <w:t>Total deferred income taxes</w:t>
            </w:r>
          </w:p>
        </w:tc>
        <w:tc>
          <w:tcPr>
            <w:tcW w:w="26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FFCC"/>
            </w:tcBorders>
          </w:tcPr>
          <w:p>
            <w:pPr>
              <w:spacing w:after="0"/>
              <w:rPr>
                <w:sz w:val="2"/>
                <w:szCs w:val="2"/>
                <w:color w:val="auto"/>
              </w:rPr>
            </w:pPr>
          </w:p>
        </w:tc>
        <w:tc>
          <w:tcPr>
            <w:tcW w:w="2680" w:type="dxa"/>
            <w:vAlign w:val="bottom"/>
            <w:tcBorders>
              <w:bottom w:val="single" w:sz="8" w:color="CCFFC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provision for income taxes</w:t>
            </w:r>
          </w:p>
        </w:tc>
        <w:tc>
          <w:tcPr>
            <w:tcW w:w="3600" w:type="dxa"/>
            <w:vAlign w:val="bottom"/>
            <w:gridSpan w:val="2"/>
            <w:shd w:val="clear" w:color="auto" w:fill="CCFFCC"/>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w w:val="97"/>
              </w:rPr>
              <w:t>2,845</w:t>
            </w: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FFCC"/>
          </w:tcPr>
          <w:p>
            <w:pPr>
              <w:spacing w:after="0"/>
              <w:rPr>
                <w:sz w:val="22"/>
                <w:szCs w:val="22"/>
                <w:color w:val="auto"/>
              </w:rPr>
            </w:pPr>
          </w:p>
        </w:tc>
        <w:tc>
          <w:tcPr>
            <w:tcW w:w="3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FFCC"/>
          </w:tcPr>
          <w:p>
            <w:pPr>
              <w:jc w:val="right"/>
              <w:ind w:right="3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4060" w:type="dxa"/>
            <w:vAlign w:val="bottom"/>
            <w:tcBorders>
              <w:top w:val="single" w:sz="8" w:color="CCFFCC"/>
            </w:tcBorders>
          </w:tcPr>
          <w:p>
            <w:pPr>
              <w:spacing w:after="0" w:line="20" w:lineRule="exact"/>
              <w:rPr>
                <w:sz w:val="1"/>
                <w:szCs w:val="1"/>
                <w:color w:val="auto"/>
              </w:rPr>
            </w:pPr>
          </w:p>
        </w:tc>
        <w:tc>
          <w:tcPr>
            <w:tcW w:w="2680" w:type="dxa"/>
            <w:vAlign w:val="bottom"/>
            <w:tcBorders>
              <w:top w:val="single" w:sz="8" w:color="CCFFCC"/>
              <w:bottom w:val="single" w:sz="8" w:color="CCFFCC"/>
            </w:tcBorders>
            <w:vMerge w:val="restart"/>
          </w:tcPr>
          <w:p>
            <w:pPr>
              <w:jc w:val="right"/>
              <w:ind w:right="812"/>
              <w:spacing w:after="0"/>
              <w:rPr>
                <w:sz w:val="20"/>
                <w:szCs w:val="20"/>
                <w:color w:val="auto"/>
              </w:rPr>
            </w:pPr>
            <w:r>
              <w:rPr>
                <w:rFonts w:ascii="Arial" w:cs="Arial" w:eastAsia="Arial" w:hAnsi="Arial"/>
                <w:sz w:val="18"/>
                <w:szCs w:val="18"/>
                <w:color w:val="auto"/>
              </w:rPr>
              <w:t>103</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0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difference between the total income taxes computed at the federal statutory rate and the provision for income taxes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20" w:type="dxa"/>
            <w:vAlign w:val="bottom"/>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Pr>
          <w:p>
            <w:pPr>
              <w:spacing w:after="0"/>
              <w:rPr>
                <w:sz w:val="18"/>
                <w:szCs w:val="18"/>
                <w:color w:val="auto"/>
              </w:rPr>
            </w:pPr>
          </w:p>
        </w:tc>
      </w:tr>
      <w:tr>
        <w:trPr>
          <w:trHeight w:val="33"/>
        </w:trPr>
        <w:tc>
          <w:tcPr>
            <w:tcW w:w="64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646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168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33"/>
        </w:trPr>
        <w:tc>
          <w:tcPr>
            <w:tcW w:w="6460" w:type="dxa"/>
            <w:vAlign w:val="bottom"/>
            <w:tcBorders>
              <w:bottom w:val="single" w:sz="8" w:color="CCFFC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Federal statutory rate</w:t>
            </w:r>
          </w:p>
        </w:tc>
        <w:tc>
          <w:tcPr>
            <w:tcW w:w="1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21.00 %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21.00 %</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34.00 %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right"/>
              <w:spacing w:after="0"/>
              <w:rPr>
                <w:sz w:val="20"/>
                <w:szCs w:val="20"/>
                <w:color w:val="auto"/>
              </w:rPr>
            </w:pPr>
            <w:r>
              <w:rPr>
                <w:rFonts w:ascii="Arial" w:cs="Arial" w:eastAsia="Arial" w:hAnsi="Arial"/>
                <w:sz w:val="18"/>
                <w:szCs w:val="18"/>
                <w:color w:val="auto"/>
              </w:rPr>
              <w:t>2.95 %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3.30 %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4.09 %</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Non-deductible expenses – stock based compensation</w:t>
            </w:r>
          </w:p>
        </w:tc>
        <w:tc>
          <w:tcPr>
            <w:tcW w:w="1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1.82 %</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4.73 %</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(0.78)%</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Global Intangible Low Tax Income Inclusion</w:t>
            </w:r>
          </w:p>
        </w:tc>
        <w:tc>
          <w:tcPr>
            <w:tcW w:w="1560" w:type="dxa"/>
            <w:vAlign w:val="bottom"/>
          </w:tcPr>
          <w:p>
            <w:pPr>
              <w:jc w:val="right"/>
              <w:spacing w:after="0"/>
              <w:rPr>
                <w:sz w:val="20"/>
                <w:szCs w:val="20"/>
                <w:color w:val="auto"/>
              </w:rPr>
            </w:pPr>
            <w:r>
              <w:rPr>
                <w:rFonts w:ascii="Arial" w:cs="Arial" w:eastAsia="Arial" w:hAnsi="Arial"/>
                <w:sz w:val="18"/>
                <w:szCs w:val="18"/>
                <w:color w:val="auto"/>
              </w:rPr>
              <w:t>(2.29)%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Non-deductible expenses – Other</w:t>
            </w:r>
          </w:p>
        </w:tc>
        <w:tc>
          <w:tcPr>
            <w:tcW w:w="1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(1.57)%</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Foreign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(1.86)%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Valuation allowance</w:t>
            </w:r>
          </w:p>
        </w:tc>
        <w:tc>
          <w:tcPr>
            <w:tcW w:w="1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(26.42)%</w:t>
            </w:r>
          </w:p>
        </w:tc>
        <w:tc>
          <w:tcPr>
            <w:tcW w:w="16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26.12 %</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Stock based compensation - excess tax benefit</w:t>
            </w:r>
          </w:p>
        </w:tc>
        <w:tc>
          <w:tcPr>
            <w:tcW w:w="1560" w:type="dxa"/>
            <w:vAlign w:val="bottom"/>
          </w:tcPr>
          <w:p>
            <w:pPr>
              <w:jc w:val="right"/>
              <w:spacing w:after="0"/>
              <w:rPr>
                <w:sz w:val="20"/>
                <w:szCs w:val="20"/>
                <w:color w:val="auto"/>
              </w:rPr>
            </w:pPr>
            <w:r>
              <w:rPr>
                <w:rFonts w:ascii="Arial" w:cs="Arial" w:eastAsia="Arial" w:hAnsi="Arial"/>
                <w:sz w:val="18"/>
                <w:szCs w:val="18"/>
                <w:color w:val="auto"/>
              </w:rPr>
              <w:t>6.18 %</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6.10 %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Effect of new tax legislation</w:t>
            </w:r>
          </w:p>
        </w:tc>
        <w:tc>
          <w:tcPr>
            <w:tcW w:w="1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FFCC"/>
            </w:tcBorders>
            <w:shd w:val="clear" w:color="auto" w:fill="CCFFCC"/>
          </w:tcPr>
          <w:p>
            <w:pPr>
              <w:spacing w:after="0"/>
              <w:rPr>
                <w:sz w:val="21"/>
                <w:szCs w:val="21"/>
                <w:color w:val="auto"/>
              </w:rPr>
            </w:pPr>
          </w:p>
        </w:tc>
        <w:tc>
          <w:tcPr>
            <w:tcW w:w="2020" w:type="dxa"/>
            <w:vAlign w:val="bottom"/>
            <w:tcBorders>
              <w:bottom w:val="single" w:sz="8" w:color="CCFFCC"/>
            </w:tcBorders>
            <w:gridSpan w:val="3"/>
            <w:shd w:val="clear" w:color="auto" w:fill="CCFFCC"/>
          </w:tcPr>
          <w:p>
            <w:pPr>
              <w:ind w:left="11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(56.84)%</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Pr>
          <w:p>
            <w:pPr>
              <w:jc w:val="right"/>
              <w:spacing w:after="0"/>
              <w:rPr>
                <w:sz w:val="20"/>
                <w:szCs w:val="20"/>
                <w:color w:val="auto"/>
              </w:rPr>
            </w:pPr>
            <w:r>
              <w:rPr>
                <w:rFonts w:ascii="Arial" w:cs="Arial" w:eastAsia="Arial" w:hAnsi="Arial"/>
                <w:sz w:val="18"/>
                <w:szCs w:val="18"/>
                <w:color w:val="auto"/>
              </w:rPr>
              <w:t>(2.86)%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6460" w:type="dxa"/>
            <w:vAlign w:val="bottom"/>
            <w:tcBorders>
              <w:bottom w:val="single" w:sz="8" w:color="CCFFC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4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provision</w:t>
            </w:r>
          </w:p>
        </w:tc>
        <w:tc>
          <w:tcPr>
            <w:tcW w:w="1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(3.05)%</w:t>
            </w:r>
          </w:p>
        </w:tc>
        <w:tc>
          <w:tcPr>
            <w:tcW w:w="1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w:t>
            </w:r>
          </w:p>
        </w:tc>
      </w:tr>
      <w:tr>
        <w:trPr>
          <w:trHeight w:val="20"/>
        </w:trPr>
        <w:tc>
          <w:tcPr>
            <w:tcW w:w="6460" w:type="dxa"/>
            <w:vAlign w:val="bottom"/>
            <w:tcBorders>
              <w:top w:val="single" w:sz="8" w:color="CCFFC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effects of temporary differences and federal NOL carryforwards that give rise to significant portions of federal deferred tax assets and deferred tax liabilities at December 31, 2019 and 2018 are presented below (amounts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53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49,423</w:t>
            </w:r>
          </w:p>
        </w:tc>
        <w:tc>
          <w:tcPr>
            <w:tcW w:w="440" w:type="dxa"/>
            <w:vAlign w:val="bottom"/>
            <w:tcBorders>
              <w:bottom w:val="single" w:sz="8" w:color="CCFFCC"/>
            </w:tcBorders>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Original Issue Discount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5,934</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Non-cash compensation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Intangibles amortization</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72,626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37,710</w:t>
            </w:r>
          </w:p>
        </w:tc>
        <w:tc>
          <w:tcPr>
            <w:tcW w:w="0" w:type="dxa"/>
            <w:vAlign w:val="bottom"/>
          </w:tcPr>
          <w:p>
            <w:pPr>
              <w:spacing w:after="0"/>
              <w:rPr>
                <w:sz w:val="1"/>
                <w:szCs w:val="1"/>
                <w:color w:val="auto"/>
              </w:rPr>
            </w:pPr>
          </w:p>
        </w:tc>
      </w:tr>
      <w:tr>
        <w:trPr>
          <w:trHeight w:val="243"/>
        </w:trPr>
        <w:tc>
          <w:tcPr>
            <w:tcW w:w="8320" w:type="dxa"/>
            <w:vAlign w:val="bottom"/>
          </w:tcPr>
          <w:p>
            <w:pPr>
              <w:ind w:left="40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(30,185)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24,175</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(6,361)</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Goodwill amortization and contingent earn-out adjustments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Convertible Notes Issuance</w:t>
            </w:r>
          </w:p>
        </w:tc>
        <w:tc>
          <w:tcPr>
            <w:tcW w:w="3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(11,055)</w:t>
            </w:r>
          </w:p>
        </w:tc>
        <w:tc>
          <w:tcPr>
            <w:tcW w:w="100" w:type="dxa"/>
            <w:vAlign w:val="bottom"/>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200"/>
              <w:spacing w:after="0"/>
              <w:rPr>
                <w:sz w:val="20"/>
                <w:szCs w:val="20"/>
                <w:color w:val="auto"/>
              </w:rPr>
            </w:pPr>
            <w:r>
              <w:rPr>
                <w:rFonts w:ascii="Arial" w:cs="Arial" w:eastAsia="Arial" w:hAnsi="Arial"/>
                <w:sz w:val="18"/>
                <w:szCs w:val="18"/>
                <w:color w:val="auto"/>
              </w:rPr>
              <w:t>Operating lease right of use asset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FFCC"/>
            </w:tcBorders>
            <w:shd w:val="clear" w:color="auto" w:fill="CCFFCC"/>
          </w:tcPr>
          <w:p>
            <w:pPr>
              <w:ind w:left="36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(23,350)</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Net deferred tax assets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income tax NOL carryforwards related to federal and Australian income tax carryforwards of $203.5 million and $5.3 million respectively. The Australian NOLs can be carried forward indefinitely. $162.3 million of the federal NOLs can be carried forward indefinitely. $6.0 million of the federal NOLs will expire between 2023 and 2026, and $34.9 million will expire between 2036 and 2037.</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Topic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w:t>
      </w:r>
    </w:p>
    <w:p>
      <w:pPr>
        <w:sectPr>
          <w:pgSz w:w="11900" w:h="16838" w:orient="portrait"/>
          <w:cols w:equalWidth="0" w:num="1">
            <w:col w:w="11420"/>
          </w:cols>
          <w:pgMar w:left="240" w:top="121"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upon ultimate audit settlement. The Company had unrecognized tax benefits of $2 million and $1.9 million as of December 31,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and penalties included in the Company's liability related to unrecognized tax benefits were immaterial at December 31, 2019 and 2018.</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980" w:type="dxa"/>
            <w:vAlign w:val="bottom"/>
            <w:gridSpan w:val="5"/>
          </w:tcPr>
          <w:p>
            <w:pPr>
              <w:jc w:val="right"/>
              <w:ind w:right="491"/>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r>
      <w:tr>
        <w:trPr>
          <w:trHeight w:val="33"/>
        </w:trPr>
        <w:tc>
          <w:tcPr>
            <w:tcW w:w="8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Unrecognized tax benefits balance at January 1</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1,921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4,924</w:t>
            </w:r>
          </w:p>
        </w:tc>
      </w:tr>
      <w:tr>
        <w:trPr>
          <w:trHeight w:val="27"/>
        </w:trPr>
        <w:tc>
          <w:tcPr>
            <w:tcW w:w="8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Gross increase for tax positions of prior years</w:t>
            </w:r>
          </w:p>
        </w:tc>
        <w:tc>
          <w:tcPr>
            <w:tcW w:w="90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020" w:type="dxa"/>
            <w:vAlign w:val="bottom"/>
          </w:tcPr>
          <w:p>
            <w:pPr>
              <w:ind w:left="320"/>
              <w:spacing w:after="0"/>
              <w:rPr>
                <w:sz w:val="20"/>
                <w:szCs w:val="20"/>
                <w:color w:val="auto"/>
              </w:rPr>
            </w:pPr>
            <w:r>
              <w:rPr>
                <w:rFonts w:ascii="Arial" w:cs="Arial" w:eastAsia="Arial" w:hAnsi="Arial"/>
                <w:sz w:val="18"/>
                <w:szCs w:val="18"/>
                <w:color w:val="auto"/>
              </w:rPr>
              <w:t>Gross increase for tax positions of current years</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405</w:t>
            </w:r>
          </w:p>
        </w:tc>
      </w:tr>
      <w:tr>
        <w:trPr>
          <w:trHeight w:val="27"/>
        </w:trPr>
        <w:tc>
          <w:tcPr>
            <w:tcW w:w="8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Decrease due to expiration of statue</w:t>
            </w:r>
          </w:p>
        </w:tc>
        <w:tc>
          <w:tcPr>
            <w:tcW w:w="90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(445)</w:t>
            </w:r>
          </w:p>
        </w:tc>
      </w:tr>
      <w:tr>
        <w:trPr>
          <w:trHeight w:val="243"/>
        </w:trPr>
        <w:tc>
          <w:tcPr>
            <w:tcW w:w="8020" w:type="dxa"/>
            <w:vAlign w:val="bottom"/>
          </w:tcPr>
          <w:p>
            <w:pPr>
              <w:ind w:left="320"/>
              <w:spacing w:after="0"/>
              <w:rPr>
                <w:sz w:val="20"/>
                <w:szCs w:val="20"/>
                <w:color w:val="auto"/>
              </w:rPr>
            </w:pPr>
            <w:r>
              <w:rPr>
                <w:rFonts w:ascii="Arial" w:cs="Arial" w:eastAsia="Arial" w:hAnsi="Arial"/>
                <w:sz w:val="18"/>
                <w:szCs w:val="18"/>
                <w:color w:val="auto"/>
              </w:rPr>
              <w:t>Decrease due to settlement</w:t>
            </w:r>
          </w:p>
        </w:tc>
        <w:tc>
          <w:tcPr>
            <w:tcW w:w="90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(2,963)</w:t>
            </w:r>
          </w:p>
        </w:tc>
      </w:tr>
      <w:tr>
        <w:trPr>
          <w:trHeight w:val="27"/>
        </w:trPr>
        <w:tc>
          <w:tcPr>
            <w:tcW w:w="8020" w:type="dxa"/>
            <w:vAlign w:val="bottom"/>
            <w:tcBorders>
              <w:bottom w:val="single" w:sz="8" w:color="CCFFC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Gross unrecognized tax benefits at December 31</w:t>
            </w:r>
          </w:p>
        </w:tc>
        <w:tc>
          <w:tcPr>
            <w:tcW w:w="900" w:type="dxa"/>
            <w:vAlign w:val="bottom"/>
            <w:tcBorders>
              <w:bottom w:val="single" w:sz="8" w:color="auto"/>
            </w:tcBorders>
            <w:shd w:val="clear" w:color="auto" w:fill="CCFFCC"/>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88"/>
              </w:rPr>
              <w:t>2,053</w:t>
            </w:r>
          </w:p>
        </w:tc>
        <w:tc>
          <w:tcPr>
            <w:tcW w:w="10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FFCC"/>
          </w:tcPr>
          <w:p>
            <w:pPr>
              <w:jc w:val="right"/>
              <w:ind w:right="31"/>
              <w:spacing w:after="0"/>
              <w:rPr>
                <w:sz w:val="20"/>
                <w:szCs w:val="20"/>
                <w:color w:val="auto"/>
              </w:rPr>
            </w:pPr>
            <w:r>
              <w:rPr>
                <w:rFonts w:ascii="Arial" w:cs="Arial" w:eastAsia="Arial" w:hAnsi="Arial"/>
                <w:sz w:val="18"/>
                <w:szCs w:val="18"/>
                <w:color w:val="auto"/>
              </w:rPr>
              <w:t>1,921</w:t>
            </w:r>
          </w:p>
        </w:tc>
      </w:tr>
      <w:tr>
        <w:trPr>
          <w:trHeight w:val="20"/>
        </w:trPr>
        <w:tc>
          <w:tcPr>
            <w:tcW w:w="8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tax years subject to examination by major tax jurisdictions include the years 2015 and forward for U.S states and New York City, the years 2016 and forward for U.S. Federal, and the years 2015 and forward for certain foreign jurisdictions. The decrease of $0.5 million was related to expiration of the statute of limitations.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Cuts and Jobs Act makes broad and complex changes to the U.S. federal tax laws that affect fiscal 2017, including, but not limited to requiring a one-time repatriation tax on certain unrepatriated earnings of foreign subsidiaries that is payable over eight years (the ‘‘Repatriation Tax’’). The Tax Cuts and Jobs Act also establishes new tax laws that will affect 2018 and later years, including, but not limited to, a reduction of the U.S. federal corporate income tax rate from a maximum of 34% to a flat rate of 21%, a general elimination of U.S. federal income taxes on certain dividends from foreign subsidiaries and a new provision designed to tax global intangible low-taxed income (‘‘GILTI’’).</w:t>
      </w:r>
    </w:p>
    <w:p>
      <w:pPr>
        <w:spacing w:after="0" w:line="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legislation reduced the U.S. corporate tax rate from the current rate of 35% to 21% for tax years beginning after December 31, 2017. Under the Tax Cuts and Jobs Act, the Company’s $32.8 million in federal NOL carryforwards generated as of December 31, 2017 will continue to be carried forward for 20 years following their incurrence and are expected to be available to fully offset taxable income earned in future tax years. Federal net operating losses generated after 2017 will be carried forward indefinitely, but generally may only offset up to 80% of taxable income earned in a tax year. In the quarter ending December 31, 2017, the Company revalued its deferred tax assets and liabilities due to these changes, including (a) revaluing the Company’s federal net deferred tax assets before valuation allowance using the 21% tax rate, resulting in a decreased federal deferred tax provision of $10.1 million; (b) revaluing the Company’s federal valuation allowance using the 21% tax rate, including the impact of tax planning strategies, resulting in a federal deferred tax benefit to continuing operations of $12.6 million; (c) recognizing a federal deferred tax benefit of $2.0 million for 80% of indefinite lived deferred tax liabilities, which are anticipated to be available as a source of taxable income upon reversal of deferred tax assets that would also have indefinite lives; and (d) recognizing a $1.2 million state deferred tax provision unaffected by the changes in the Tax Cuts and Jobs Act. The new legislation requires the Company to pay federal income tax on the unremitted earnings of its foreign subsidiaries though December 31, 2017. Pursuant to SAB 118, the Company estimated the tax on unremitted earnings is zero due to an overall accumulated deficit in earnings and profits. As of the fourth quarter of 2018, the Company has finalized the preparation and analysis of the required information and has not changed from the estimate.</w:t>
      </w:r>
    </w:p>
    <w:p>
      <w:pPr>
        <w:spacing w:after="0" w:line="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Tax Cuts and Jobs Act creates a new requirement that certain income earned by a foreign subsidiary must be included in the federal taxable income of the U.S. shareholder. This income (called Global Intangible Low-Taxed Income, or GILTI) is defined as the excess of a foreign subsidiaries income over a nominal return on fixed assets. The Company expects to be subject to this inclusion in future years. Under U.S. GAAP, the Company is allowed to make an accounting policy choice of either accounting for the effects of the GILTI inclusion as a current period expense, when incurred, or factoring such amounts into the Company’s measurement of its deferred taxes. The Company has elected to treat the effects of this provision as a period cost, and therefore, has not considered the impacts of GILTI on its deferred tax liabilities at December 31, 2019.</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 (continued)</w:t>
      </w:r>
    </w:p>
    <w:p>
      <w:pPr>
        <w:spacing w:after="0" w:line="200" w:lineRule="exact"/>
        <w:rPr>
          <w:sz w:val="20"/>
          <w:szCs w:val="20"/>
          <w:color w:val="auto"/>
        </w:rPr>
      </w:pPr>
    </w:p>
    <w:p>
      <w:pPr>
        <w:spacing w:after="0" w:line="35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consolidated financial statements do not provide for any related tax liability on amounts that may be repatriated from foreign operations as the Company intends for these earnings to be indefinitely reinvested in operations outside the U.S. Accordingly, no deferred taxes have been provided for the basis difference in the foreign subsidiaries.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1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Trial for the Company’s intellectual property and other claims asserted against [24]7 in the original litigation </w:t>
      </w:r>
      <w:r>
        <w:rPr>
          <w:rFonts w:ascii="Arial" w:cs="Arial" w:eastAsia="Arial" w:hAnsi="Arial"/>
          <w:sz w:val="17"/>
          <w:szCs w:val="17"/>
          <w:color w:val="212529"/>
        </w:rPr>
        <w:t>is currently set for April 27, 2020</w:t>
      </w:r>
      <w:r>
        <w:rPr>
          <w:rFonts w:ascii="Arial" w:cs="Arial" w:eastAsia="Arial" w:hAnsi="Arial"/>
          <w:sz w:val="17"/>
          <w:szCs w:val="17"/>
          <w:color w:val="auto"/>
        </w:rPr>
        <w:t>. Trial for [24]7’s patent infringement claims is currently set for March 15, 2021. The Company believes the claims filed by [24]7 are entirely without merit and intends to defend them vigorously.</w:t>
      </w:r>
    </w:p>
    <w:p>
      <w:pPr>
        <w:spacing w:after="0" w:line="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restructuring costs relate to wind-down and severance costs associated with re-prioritizing and reallocating resources to focus on areas showing high growth potential, as well as the termination of a large customer contract. In 2019, we undertook a restructuring related primarily to a reorganization in order to promote continued globalization of our technology operations, drive improvements in quality assurance of existing products and creation of new add-on features to LiveEngage. The expense associated with this restructuring was approximately $2.0 million, $4.5 million, and $2.6 million during the years ended December 31, 2019, 2018, and 2017, respectively, and is classified in the consolidated statements of operations as restructuring costs. The restructuring liability was approximately $0.3 million and $1.0 million as of December 31, 2019 and 2018, respectively, and is classified as accrued expenses and other current liabilities on the consolidated balance sheets.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detail of the liability for the Company’s restructuring charges for the periods presented (amounts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FFCC"/>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December 31, 2018</w:t>
            </w:r>
          </w:p>
        </w:tc>
      </w:tr>
      <w:tr>
        <w:trPr>
          <w:trHeight w:val="236"/>
        </w:trPr>
        <w:tc>
          <w:tcPr>
            <w:tcW w:w="67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Balance, Beginning of the year</w:t>
            </w:r>
          </w:p>
        </w:tc>
        <w:tc>
          <w:tcPr>
            <w:tcW w:w="1740" w:type="dxa"/>
            <w:vAlign w:val="bottom"/>
            <w:tcBorders>
              <w:bottom w:val="single" w:sz="8" w:color="CCFFCC"/>
            </w:tcBorders>
            <w:shd w:val="clear" w:color="auto" w:fill="CCFFCC"/>
          </w:tcPr>
          <w:p>
            <w:pPr>
              <w:jc w:val="right"/>
              <w:ind w:right="15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2,338</w:t>
            </w:r>
          </w:p>
        </w:tc>
      </w:tr>
      <w:tr>
        <w:trPr>
          <w:trHeight w:val="237"/>
        </w:trPr>
        <w:tc>
          <w:tcPr>
            <w:tcW w:w="670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7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2,043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41"/>
              <w:spacing w:after="0"/>
              <w:rPr>
                <w:sz w:val="20"/>
                <w:szCs w:val="20"/>
                <w:color w:val="auto"/>
              </w:rPr>
            </w:pPr>
            <w:r>
              <w:rPr>
                <w:rFonts w:ascii="Arial" w:cs="Arial" w:eastAsia="Arial" w:hAnsi="Arial"/>
                <w:sz w:val="16"/>
                <w:szCs w:val="16"/>
                <w:color w:val="auto"/>
              </w:rPr>
              <w:t>4,468</w:t>
            </w:r>
          </w:p>
        </w:tc>
      </w:tr>
      <w:tr>
        <w:trPr>
          <w:trHeight w:val="33"/>
        </w:trPr>
        <w:tc>
          <w:tcPr>
            <w:tcW w:w="6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74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0"/>
              </w:rPr>
              <w:t>(2,706)</w:t>
            </w:r>
          </w:p>
        </w:tc>
        <w:tc>
          <w:tcPr>
            <w:tcW w:w="12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(5,829)</w:t>
            </w:r>
          </w:p>
        </w:tc>
      </w:tr>
      <w:tr>
        <w:trPr>
          <w:trHeight w:val="244"/>
        </w:trPr>
        <w:tc>
          <w:tcPr>
            <w:tcW w:w="6700" w:type="dxa"/>
            <w:vAlign w:val="bottom"/>
          </w:tcPr>
          <w:p>
            <w:pPr>
              <w:ind w:left="20"/>
              <w:spacing w:after="0"/>
              <w:rPr>
                <w:sz w:val="20"/>
                <w:szCs w:val="20"/>
                <w:color w:val="auto"/>
              </w:rPr>
            </w:pPr>
            <w:r>
              <w:rPr>
                <w:rFonts w:ascii="Arial" w:cs="Arial" w:eastAsia="Arial" w:hAnsi="Arial"/>
                <w:sz w:val="16"/>
                <w:szCs w:val="16"/>
                <w:color w:val="auto"/>
              </w:rPr>
              <w:t>Balance, End of year</w:t>
            </w:r>
          </w:p>
        </w:tc>
        <w:tc>
          <w:tcPr>
            <w:tcW w:w="1740" w:type="dxa"/>
            <w:vAlign w:val="bottom"/>
            <w:tcBorders>
              <w:top w:val="single" w:sz="8" w:color="auto"/>
              <w:bottom w:val="single" w:sz="8" w:color="auto"/>
            </w:tcBorders>
          </w:tcPr>
          <w:p>
            <w:pPr>
              <w:jc w:val="right"/>
              <w:ind w:right="156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977</w:t>
            </w:r>
          </w:p>
        </w:tc>
      </w:tr>
      <w:tr>
        <w:trPr>
          <w:trHeight w:val="20"/>
        </w:trPr>
        <w:tc>
          <w:tcPr>
            <w:tcW w:w="67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expenses for the Company’s restructuring charges for the periods presented (amounts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Arial" w:cs="Arial" w:eastAsia="Arial" w:hAnsi="Arial"/>
                <w:sz w:val="14"/>
                <w:szCs w:val="14"/>
                <w:b w:val="1"/>
                <w:bCs w:val="1"/>
                <w:color w:val="auto"/>
                <w:w w:val="95"/>
              </w:rPr>
              <w:t>December 31, 2017</w:t>
            </w:r>
          </w:p>
        </w:tc>
      </w:tr>
      <w:tr>
        <w:trPr>
          <w:trHeight w:val="236"/>
        </w:trPr>
        <w:tc>
          <w:tcPr>
            <w:tcW w:w="640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CCFFCC"/>
            </w:tcBorders>
            <w:shd w:val="clear" w:color="auto" w:fill="CCFFCC"/>
          </w:tcPr>
          <w:p>
            <w:pPr>
              <w:jc w:val="right"/>
              <w:ind w:right="61"/>
              <w:spacing w:after="0"/>
              <w:rPr>
                <w:sz w:val="20"/>
                <w:szCs w:val="20"/>
                <w:color w:val="auto"/>
              </w:rPr>
            </w:pPr>
            <w:r>
              <w:rPr>
                <w:rFonts w:ascii="Arial" w:cs="Arial" w:eastAsia="Arial" w:hAnsi="Arial"/>
                <w:sz w:val="16"/>
                <w:szCs w:val="16"/>
                <w:color w:val="auto"/>
              </w:rPr>
              <w:t>2,043</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4,468</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648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Wind down costs of legacy platform</w:t>
            </w:r>
          </w:p>
        </w:tc>
        <w:tc>
          <w:tcPr>
            <w:tcW w:w="18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1,946</w:t>
            </w:r>
          </w:p>
        </w:tc>
      </w:tr>
      <w:tr>
        <w:trPr>
          <w:trHeight w:val="33"/>
        </w:trPr>
        <w:tc>
          <w:tcPr>
            <w:tcW w:w="64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FFCC"/>
          </w:tcPr>
          <w:p>
            <w:pPr>
              <w:jc w:val="right"/>
              <w:ind w:right="61"/>
              <w:spacing w:after="0"/>
              <w:rPr>
                <w:sz w:val="20"/>
                <w:szCs w:val="20"/>
                <w:color w:val="auto"/>
              </w:rPr>
            </w:pPr>
            <w:r>
              <w:rPr>
                <w:rFonts w:ascii="Arial" w:cs="Arial" w:eastAsia="Arial" w:hAnsi="Arial"/>
                <w:sz w:val="16"/>
                <w:szCs w:val="16"/>
                <w:color w:val="auto"/>
              </w:rPr>
              <w:t>2,043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4,468</w:t>
            </w:r>
          </w:p>
        </w:tc>
        <w:tc>
          <w:tcPr>
            <w:tcW w:w="1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2,594</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including the Chief Executive Officer and Chief Financial Officer,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including the Chief Executive Officer and Chief Financial Officer, evaluated the effectiveness of our internal control over financial reporting as of December 31, 2019 based on the framework established in “Internal Control — Integrated Framework (2013),” issued by the Committee of Sponsoring Organizations of the Treadway Commission (COSO). Based on its evaluation, our management, including the Chief Executive Officer and Chief Financial Officer, concluded that as of December 31, 2019, our internal control over financial reporting was effective based on those criteria.</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BDO USA, LLP, an independent registered public accounting firm. Their attestation is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the Effectiveness of Internal Control</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2019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Exchange Act, as of December 31, 2019. Based on that evaluation, the Chief Executive Officer and Chief Financial Officer concluded that our disclosure controls and procedures were effective as of December 31, 2019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985" w:right="239" w:bottom="1440" w:gutter="0" w:footer="0" w:header="0"/>
        </w:sectPr>
      </w:pPr>
    </w:p>
    <w:bookmarkStart w:id="112" w:name="page113"/>
    <w:bookmarkEnd w:id="11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LivePerson, Inc.’s (the “Company’s”) internal control over financial reporting as of December 31, 2019,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opinion, the Company maintained, in all material respects, effective internal control over financial reporting as of December 31, 2019, based on the COSO criteria</w:t>
      </w:r>
      <w:r>
        <w:rPr>
          <w:rFonts w:ascii="Arial" w:cs="Arial" w:eastAsia="Arial" w:hAnsi="Arial"/>
          <w:sz w:val="18"/>
          <w:szCs w:val="18"/>
          <w:i w:val="1"/>
          <w:iCs w:val="1"/>
          <w:color w:val="auto"/>
        </w:rPr>
        <w:t>.</w:t>
      </w:r>
    </w:p>
    <w:p>
      <w:pPr>
        <w:spacing w:after="0" w:line="18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2019 and 2018, the related consolidated statements of operations, comprehensive loss, stockholders’ equity, and cash flows for each of the three years in the period ended December 31, 2019, and the related notes and our report dated March 2,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98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10 is incorporated by reference to the sections captioned “Matters to be Considered at Annual Meeting — Election of Directors,” “Executive Officers,” “Board Committees and Meetings — Audit Committee,” “Codes of Conduct and Corporate Governance Documents” and “Section 16(a) Beneficial Ownership Reporting Compliance” in the definitive proxy statement for our 2020 Annual Meeting of Stockholders.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the procedures by which stockholders may recommend nominees to our Board of Directors since our last disclosure of such procedures, which appeared in the definitive proxy statement for our 2019 Annual Meeting of Stockholders.</w:t>
      </w:r>
    </w:p>
    <w:p>
      <w:pPr>
        <w:spacing w:after="0" w:line="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have adopted a Code of Ethics that applies to our Chief Executive Officer, who is our principal executive officer, and other senior financial officers. Our Code of Ethics is available at: </w:t>
      </w:r>
      <w:r>
        <w:rPr>
          <w:rFonts w:ascii="Arial" w:cs="Arial" w:eastAsia="Arial" w:hAnsi="Arial"/>
          <w:sz w:val="16"/>
          <w:szCs w:val="16"/>
          <w:i w:val="1"/>
          <w:iCs w:val="1"/>
          <w:color w:val="auto"/>
        </w:rPr>
        <w:t>www.liveperson.com</w:t>
      </w:r>
      <w:r>
        <w:rPr>
          <w:rFonts w:ascii="Arial" w:cs="Arial" w:eastAsia="Arial" w:hAnsi="Arial"/>
          <w:sz w:val="16"/>
          <w:szCs w:val="16"/>
          <w:color w:val="auto"/>
        </w:rPr>
        <w:t xml:space="preserve"> under “Investor Relations / Corporate Governance.” </w:t>
      </w:r>
      <w:r>
        <w:rPr>
          <w:rFonts w:ascii="Arial" w:cs="Arial" w:eastAsia="Arial" w:hAnsi="Arial"/>
          <w:sz w:val="16"/>
          <w:szCs w:val="16"/>
          <w:i w:val="1"/>
          <w:iCs w:val="1"/>
          <w:color w:val="auto"/>
        </w:rPr>
        <w:t>The Company’s web site address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above is not intended to function as a hyperlink, and the information on the Company’s web site is not and should not be considered part of this Annual Report on Form 10-K and is not incorporated by reference herein. </w:t>
      </w:r>
      <w:r>
        <w:rPr>
          <w:rFonts w:ascii="Arial" w:cs="Arial" w:eastAsia="Arial" w:hAnsi="Arial"/>
          <w:sz w:val="16"/>
          <w:szCs w:val="16"/>
          <w:color w:val="auto"/>
        </w:rPr>
        <w:t>The Company will post on this website any amendments to our Code of Ethics.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required by this Item 11 is incorporated by reference to the sections captioned “Compensation Discussion and Analysis,” “Compensation Committee Report” (which information shall be deemed furnished in this Annual Report on Form 10-K), “Executive and Director Compensation” and “Compensation Committee Interlocks and Insider Participation” in the definitive proxy statement for our 2020 Annual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12 is incorporated by reference to the sections captioned “Ownership of Securities,” “Potential Payments Upon Termination or Change-in-Control” and “Securities Authorized for Issuance Under Equity Compensation Plans” in the definitive proxy statement for our 2020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985"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13 is incorporated by reference to the sections captioned “Certain Relationships and Related Transactions” and “Director Independence” in the definitive proxy statement for our 2020 Annual Meeting of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14 is incorporated by reference to the section captioned “Independent Registered Public Accounting Firm Fees and Pre-Approval Policies and Procedures” in the definitive proxy statement for our 2020 Annual Meeting of Stockholders.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left="1300" w:hanging="32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index of consolidated financial statements included in Item 8 of this Annual Report on Form 10-K.</w:t>
      </w:r>
    </w:p>
    <w:p>
      <w:pPr>
        <w:spacing w:after="0" w:line="117" w:lineRule="exact"/>
        <w:rPr>
          <w:sz w:val="20"/>
          <w:szCs w:val="20"/>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Statements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Exhibit Index immediately preceding the exhibits attached to this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March 2, 2020.</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LIVEPERSON, INC.</w:t>
      </w:r>
    </w:p>
    <w:p>
      <w:pPr>
        <w:spacing w:after="0" w:line="360"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P. LoCascio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Robert P. LoCascio</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Chief Executive Officer</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indicated on March 2,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986"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3900" w:type="dxa"/>
            <w:vAlign w:val="bottom"/>
          </w:tcPr>
          <w:p>
            <w:pPr>
              <w:ind w:left="1580"/>
              <w:spacing w:after="0"/>
              <w:rPr>
                <w:sz w:val="20"/>
                <w:szCs w:val="20"/>
                <w:color w:val="auto"/>
              </w:rPr>
            </w:pPr>
            <w:r>
              <w:rPr>
                <w:rFonts w:ascii="Arial" w:cs="Arial" w:eastAsia="Arial" w:hAnsi="Arial"/>
                <w:sz w:val="18"/>
                <w:szCs w:val="18"/>
                <w:b w:val="1"/>
                <w:bCs w:val="1"/>
                <w:color w:val="auto"/>
              </w:rPr>
              <w:t>Signature</w:t>
            </w:r>
          </w:p>
        </w:tc>
        <w:tc>
          <w:tcPr>
            <w:tcW w:w="800" w:type="dxa"/>
            <w:vAlign w:val="bottom"/>
          </w:tcPr>
          <w:p>
            <w:pPr>
              <w:spacing w:after="0"/>
              <w:rPr>
                <w:sz w:val="20"/>
                <w:szCs w:val="20"/>
                <w:color w:val="auto"/>
              </w:rPr>
            </w:pPr>
          </w:p>
        </w:tc>
        <w:tc>
          <w:tcPr>
            <w:tcW w:w="6720" w:type="dxa"/>
            <w:vAlign w:val="bottom"/>
          </w:tcPr>
          <w:p>
            <w:pPr>
              <w:ind w:left="3080"/>
              <w:spacing w:after="0"/>
              <w:rPr>
                <w:sz w:val="20"/>
                <w:szCs w:val="20"/>
                <w:color w:val="auto"/>
              </w:rPr>
            </w:pPr>
            <w:r>
              <w:rPr>
                <w:rFonts w:ascii="Arial" w:cs="Arial" w:eastAsia="Arial" w:hAnsi="Arial"/>
                <w:sz w:val="18"/>
                <w:szCs w:val="18"/>
                <w:b w:val="1"/>
                <w:bCs w:val="1"/>
                <w:color w:val="auto"/>
              </w:rPr>
              <w:t>Title(s)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r>
      <w:tr>
        <w:trPr>
          <w:trHeight w:val="534"/>
        </w:trPr>
        <w:tc>
          <w:tcPr>
            <w:tcW w:w="3900" w:type="dxa"/>
            <w:vAlign w:val="bottom"/>
          </w:tcPr>
          <w:p>
            <w:pPr>
              <w:ind w:left="40"/>
              <w:spacing w:after="0"/>
              <w:rPr>
                <w:sz w:val="20"/>
                <w:szCs w:val="20"/>
                <w:color w:val="auto"/>
              </w:rPr>
            </w:pPr>
            <w:r>
              <w:rPr>
                <w:rFonts w:ascii="Arial" w:cs="Arial" w:eastAsia="Arial" w:hAnsi="Arial"/>
                <w:sz w:val="18"/>
                <w:szCs w:val="18"/>
                <w:color w:val="auto"/>
              </w:rPr>
              <w:t>/s/Robert P. LoCascio</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Robert P. LoCascio</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Christopher E. Greiner</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Christopher E. Greiner</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Daryl J. Carlough</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Senior Vice President, Global and Corporate Controller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Daryl J. Carlough</w:t>
            </w:r>
          </w:p>
        </w:tc>
        <w:tc>
          <w:tcPr>
            <w:tcW w:w="80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Peter Block</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Peter Block</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Kevin C. Lavan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Kevin C. Lavan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Jill Layfield</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Jill Layfield</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Fred Mossler</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Fred Mossler</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567"/>
        </w:trPr>
        <w:tc>
          <w:tcPr>
            <w:tcW w:w="3900" w:type="dxa"/>
            <w:vAlign w:val="bottom"/>
          </w:tcPr>
          <w:p>
            <w:pPr>
              <w:ind w:left="40"/>
              <w:spacing w:after="0"/>
              <w:rPr>
                <w:sz w:val="20"/>
                <w:szCs w:val="20"/>
                <w:color w:val="auto"/>
              </w:rPr>
            </w:pPr>
            <w:r>
              <w:rPr>
                <w:rFonts w:ascii="Arial" w:cs="Arial" w:eastAsia="Arial" w:hAnsi="Arial"/>
                <w:sz w:val="18"/>
                <w:szCs w:val="18"/>
                <w:color w:val="auto"/>
              </w:rPr>
              <w:t>/s/ William G. Wesemann</w:t>
            </w:r>
          </w:p>
        </w:tc>
        <w:tc>
          <w:tcPr>
            <w:tcW w:w="80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39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William G. Wesemann</w:t>
            </w:r>
          </w:p>
        </w:tc>
        <w:tc>
          <w:tcPr>
            <w:tcW w:w="800" w:type="dxa"/>
            <w:vAlign w:val="bottom"/>
          </w:tcPr>
          <w:p>
            <w:pPr>
              <w:spacing w:after="0"/>
              <w:rPr>
                <w:sz w:val="20"/>
                <w:szCs w:val="20"/>
                <w:color w:val="auto"/>
              </w:rPr>
            </w:pPr>
          </w:p>
        </w:tc>
        <w:tc>
          <w:tcPr>
            <w:tcW w:w="6720" w:type="dxa"/>
            <w:vAlign w:val="bottom"/>
          </w:tcPr>
          <w:p>
            <w:pPr>
              <w:spacing w:after="0"/>
              <w:rPr>
                <w:sz w:val="20"/>
                <w:szCs w:val="20"/>
                <w:color w:val="auto"/>
              </w:rPr>
            </w:pPr>
          </w:p>
        </w:tc>
      </w:tr>
      <w:tr>
        <w:trPr>
          <w:trHeight w:val="621"/>
        </w:trPr>
        <w:tc>
          <w:tcPr>
            <w:tcW w:w="3900" w:type="dxa"/>
            <w:vAlign w:val="bottom"/>
          </w:tcPr>
          <w:p>
            <w:pPr>
              <w:spacing w:after="0"/>
              <w:rPr>
                <w:sz w:val="24"/>
                <w:szCs w:val="24"/>
                <w:color w:val="auto"/>
              </w:rPr>
            </w:pPr>
          </w:p>
        </w:tc>
        <w:tc>
          <w:tcPr>
            <w:tcW w:w="7520" w:type="dxa"/>
            <w:vAlign w:val="bottom"/>
            <w:gridSpan w:val="2"/>
          </w:tcPr>
          <w:p>
            <w:pPr>
              <w:jc w:val="right"/>
              <w:ind w:right="5490"/>
              <w:spacing w:after="0"/>
              <w:rPr>
                <w:sz w:val="20"/>
                <w:szCs w:val="20"/>
                <w:color w:val="auto"/>
              </w:rPr>
            </w:pPr>
            <w:r>
              <w:rPr>
                <w:rFonts w:ascii="Arial" w:cs="Arial" w:eastAsia="Arial" w:hAnsi="Arial"/>
                <w:sz w:val="18"/>
                <w:szCs w:val="18"/>
                <w:color w:val="auto"/>
              </w:rPr>
              <w:t>112</w:t>
            </w:r>
          </w:p>
        </w:tc>
      </w:tr>
    </w:tbl>
    <w:p>
      <w:pPr>
        <w:sectPr>
          <w:pgSz w:w="11900" w:h="16838" w:orient="portrait"/>
          <w:cols w:equalWidth="0" w:num="1">
            <w:col w:w="11420"/>
          </w:cols>
          <w:pgMar w:left="240" w:top="1148"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20" w:type="dxa"/>
            <w:vAlign w:val="bottom"/>
            <w:gridSpan w:val="19"/>
          </w:tcPr>
          <w:p>
            <w:pPr>
              <w:ind w:left="12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6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9180" w:type="dxa"/>
            <w:vAlign w:val="bottom"/>
            <w:gridSpan w:val="25"/>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2.1</w:t>
            </w:r>
          </w:p>
        </w:tc>
        <w:tc>
          <w:tcPr>
            <w:tcW w:w="9180" w:type="dxa"/>
            <w:vAlign w:val="bottom"/>
            <w:gridSpan w:val="25"/>
          </w:tcPr>
          <w:p>
            <w:pPr>
              <w:spacing w:after="0"/>
              <w:rPr>
                <w:rFonts w:ascii="Arial" w:cs="Arial" w:eastAsia="Arial" w:hAnsi="Arial"/>
                <w:sz w:val="18"/>
                <w:szCs w:val="18"/>
                <w:color w:val="0000FF"/>
                <w:w w:val="97"/>
              </w:rPr>
            </w:pPr>
            <w:hyperlink r:id="rId68">
              <w:r>
                <w:rPr>
                  <w:rFonts w:ascii="Arial" w:cs="Arial" w:eastAsia="Arial" w:hAnsi="Arial"/>
                  <w:sz w:val="18"/>
                  <w:szCs w:val="18"/>
                  <w:color w:val="0000FF"/>
                  <w:w w:val="97"/>
                </w:rPr>
                <w:t>Agreement and Plan of Merger, dated as of June 22, 2006, among LivePerson, Inc., Soho Acquisition Corp., Proficient</w:t>
              </w:r>
            </w:hyperlink>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78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68">
              <w:r>
                <w:rPr>
                  <w:rFonts w:ascii="Arial" w:cs="Arial" w:eastAsia="Arial" w:hAnsi="Arial"/>
                  <w:sz w:val="18"/>
                  <w:szCs w:val="18"/>
                  <w:color w:val="0000FF"/>
                  <w:w w:val="89"/>
                </w:rPr>
                <w:t>Systems, Inc. and Gregg Freishtat as Shareholders’ Representative (incorporated by reference to the identically numbered</w:t>
              </w:r>
            </w:hyperlink>
          </w:p>
        </w:tc>
        <w:tc>
          <w:tcPr>
            <w:tcW w:w="400" w:type="dxa"/>
            <w:vAlign w:val="bottom"/>
            <w:gridSpan w:val="7"/>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in the Current Report on Form 8-K filed on June 22, 2006)</w:t>
              </w:r>
            </w:hyperlink>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2.2</w:t>
            </w:r>
          </w:p>
        </w:tc>
        <w:tc>
          <w:tcPr>
            <w:tcW w:w="9180" w:type="dxa"/>
            <w:vAlign w:val="bottom"/>
            <w:tcBorders>
              <w:bottom w:val="single" w:sz="8" w:color="0000FF"/>
            </w:tcBorders>
            <w:gridSpan w:val="25"/>
          </w:tcPr>
          <w:p>
            <w:pPr>
              <w:spacing w:after="0"/>
              <w:rPr>
                <w:rFonts w:ascii="Arial" w:cs="Arial" w:eastAsia="Arial" w:hAnsi="Arial"/>
                <w:sz w:val="18"/>
                <w:szCs w:val="18"/>
                <w:color w:val="0000FF"/>
                <w:w w:val="96"/>
              </w:rPr>
            </w:pPr>
            <w:hyperlink r:id="rId69">
              <w:r>
                <w:rPr>
                  <w:rFonts w:ascii="Arial" w:cs="Arial" w:eastAsia="Arial" w:hAnsi="Arial"/>
                  <w:sz w:val="18"/>
                  <w:szCs w:val="18"/>
                  <w:color w:val="0000FF"/>
                  <w:w w:val="96"/>
                </w:rPr>
                <w:t>Agreement and Plan Merger, dated as of November 5, 2014, among LivePerson,Inc. Catalyst Lightning LLC, Contact At</w:t>
              </w:r>
            </w:hyperlink>
          </w:p>
        </w:tc>
      </w:tr>
      <w:tr>
        <w:trPr>
          <w:trHeight w:val="196"/>
        </w:trPr>
        <w:tc>
          <w:tcPr>
            <w:tcW w:w="1660" w:type="dxa"/>
            <w:vAlign w:val="bottom"/>
          </w:tcPr>
          <w:p>
            <w:pPr>
              <w:spacing w:after="0"/>
              <w:rPr>
                <w:sz w:val="17"/>
                <w:szCs w:val="17"/>
                <w:color w:val="auto"/>
              </w:rPr>
            </w:pPr>
          </w:p>
        </w:tc>
        <w:tc>
          <w:tcPr>
            <w:tcW w:w="91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Once!, LLC and Fulcrum Growth Fund II QP, LLC(incorporated by reference to Exhibit 2.1 to LivePerson’s Current Report on</w:t>
              </w:r>
            </w:hyperlink>
          </w:p>
        </w:tc>
      </w:tr>
      <w:tr>
        <w:trPr>
          <w:trHeight w:val="196"/>
        </w:trPr>
        <w:tc>
          <w:tcPr>
            <w:tcW w:w="1660" w:type="dxa"/>
            <w:vAlign w:val="bottom"/>
          </w:tcPr>
          <w:p>
            <w:pPr>
              <w:spacing w:after="0"/>
              <w:rPr>
                <w:sz w:val="17"/>
                <w:szCs w:val="17"/>
                <w:color w:val="auto"/>
              </w:rPr>
            </w:pPr>
          </w:p>
        </w:tc>
        <w:tc>
          <w:tcPr>
            <w:tcW w:w="44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Form 8-K filed onNovember 12, 2014 (File No. 000-30141))</w:t>
              </w:r>
            </w:hyperlink>
          </w:p>
        </w:tc>
        <w:tc>
          <w:tcPr>
            <w:tcW w:w="4780" w:type="dxa"/>
            <w:vAlign w:val="bottom"/>
            <w:gridSpan w:val="18"/>
          </w:tcPr>
          <w:p>
            <w:pPr>
              <w:spacing w:after="0"/>
              <w:rPr>
                <w:sz w:val="17"/>
                <w:szCs w:val="17"/>
                <w:color w:val="auto"/>
              </w:rPr>
            </w:pPr>
          </w:p>
        </w:tc>
      </w:tr>
      <w:tr>
        <w:trPr>
          <w:trHeight w:val="588"/>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9"/>
              </w:rPr>
              <w:t>3.1(a)</w:t>
            </w:r>
          </w:p>
        </w:tc>
        <w:tc>
          <w:tcPr>
            <w:tcW w:w="9180" w:type="dxa"/>
            <w:vAlign w:val="bottom"/>
            <w:gridSpan w:val="25"/>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Fourth Amended and Restated Certificate of Incorporation (incorporated by reference to the identically-numbered exhibit to</w:t>
              </w:r>
            </w:hyperlink>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0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LivePerson’s Annual Report on Form 10-K for the fiscal year ended December 31, 2000 and filed March 30, 2001 (the “2000</w:t>
              </w:r>
            </w:hyperlink>
          </w:p>
        </w:tc>
        <w:tc>
          <w:tcPr>
            <w:tcW w:w="120" w:type="dxa"/>
            <w:vAlign w:val="bottom"/>
            <w:gridSpan w:val="3"/>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1020" w:type="dxa"/>
            <w:vAlign w:val="bottom"/>
            <w:tcBorders>
              <w:bottom w:val="single" w:sz="8" w:color="0000FF"/>
            </w:tcBorders>
            <w:gridSpan w:val="3"/>
          </w:tcPr>
          <w:p>
            <w:pPr>
              <w:spacing w:after="0" w:line="196" w:lineRule="exact"/>
              <w:rPr>
                <w:rFonts w:ascii="Arial" w:cs="Arial" w:eastAsia="Arial" w:hAnsi="Arial"/>
                <w:sz w:val="18"/>
                <w:szCs w:val="18"/>
                <w:color w:val="0000FF"/>
                <w:w w:val="97"/>
              </w:rPr>
            </w:pPr>
            <w:hyperlink r:id="rId70">
              <w:r>
                <w:rPr>
                  <w:rFonts w:ascii="Arial" w:cs="Arial" w:eastAsia="Arial" w:hAnsi="Arial"/>
                  <w:sz w:val="18"/>
                  <w:szCs w:val="18"/>
                  <w:color w:val="0000FF"/>
                  <w:w w:val="97"/>
                </w:rPr>
                <w:t>Form 10-K”))</w:t>
              </w:r>
            </w:hyperlink>
          </w:p>
        </w:tc>
        <w:tc>
          <w:tcPr>
            <w:tcW w:w="8160" w:type="dxa"/>
            <w:vAlign w:val="bottom"/>
            <w:gridSpan w:val="22"/>
          </w:tcPr>
          <w:p>
            <w:pPr>
              <w:spacing w:after="0"/>
              <w:rPr>
                <w:sz w:val="17"/>
                <w:szCs w:val="17"/>
                <w:color w:val="auto"/>
              </w:rPr>
            </w:pPr>
          </w:p>
        </w:tc>
      </w:tr>
      <w:tr>
        <w:trPr>
          <w:trHeight w:val="37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3"/>
              </w:rPr>
              <w:t>3.1(b)</w:t>
            </w:r>
          </w:p>
        </w:tc>
        <w:tc>
          <w:tcPr>
            <w:tcW w:w="9180" w:type="dxa"/>
            <w:vAlign w:val="bottom"/>
            <w:gridSpan w:val="25"/>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Certificate of Amendment to the Fourth Amended and Restated Certificate of Incorporation effectiveas of November 12, 2019</w:t>
              </w:r>
            </w:hyperlink>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18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(incorporated by reference to Exhibit 4.2 to LivePerson’s RegistrationStatement on Form S-8 filed on November 13, 2019 (File</w:t>
              </w:r>
            </w:hyperlink>
          </w:p>
        </w:tc>
      </w:tr>
      <w:tr>
        <w:trPr>
          <w:trHeight w:val="196"/>
        </w:trPr>
        <w:tc>
          <w:tcPr>
            <w:tcW w:w="166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No. 333-234676))</w:t>
              </w:r>
            </w:hyperlink>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3.2</w:t>
            </w:r>
          </w:p>
        </w:tc>
        <w:tc>
          <w:tcPr>
            <w:tcW w:w="9180" w:type="dxa"/>
            <w:vAlign w:val="bottom"/>
            <w:gridSpan w:val="25"/>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Second Amended and Restated Bylaws, as amended (incorporated by reference to the identically-numbered exhibit to the 2000</w:t>
              </w:r>
            </w:hyperlink>
          </w:p>
        </w:tc>
      </w:tr>
      <w:tr>
        <w:trPr>
          <w:trHeight w:val="196"/>
        </w:trPr>
        <w:tc>
          <w:tcPr>
            <w:tcW w:w="1660" w:type="dxa"/>
            <w:vAlign w:val="bottom"/>
          </w:tcPr>
          <w:p>
            <w:pPr>
              <w:spacing w:after="0"/>
              <w:rPr>
                <w:sz w:val="17"/>
                <w:szCs w:val="17"/>
                <w:color w:val="auto"/>
              </w:rPr>
            </w:pPr>
          </w:p>
        </w:tc>
        <w:tc>
          <w:tcPr>
            <w:tcW w:w="8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Form 10-K)</w:t>
              </w:r>
            </w:hyperlink>
          </w:p>
        </w:tc>
        <w:tc>
          <w:tcPr>
            <w:tcW w:w="8280" w:type="dxa"/>
            <w:vAlign w:val="bottom"/>
            <w:tcBorders>
              <w:top w:val="single" w:sz="8" w:color="0000FF"/>
            </w:tcBorders>
            <w:gridSpan w:val="2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4.1</w:t>
            </w:r>
          </w:p>
        </w:tc>
        <w:tc>
          <w:tcPr>
            <w:tcW w:w="9180" w:type="dxa"/>
            <w:vAlign w:val="bottom"/>
            <w:gridSpan w:val="25"/>
          </w:tcPr>
          <w:p>
            <w:pPr>
              <w:spacing w:after="0"/>
              <w:rPr>
                <w:rFonts w:ascii="Arial" w:cs="Arial" w:eastAsia="Arial" w:hAnsi="Arial"/>
                <w:sz w:val="18"/>
                <w:szCs w:val="18"/>
                <w:color w:val="0000FF"/>
              </w:rPr>
            </w:pPr>
            <w:hyperlink r:id="rId73">
              <w:r>
                <w:rPr>
                  <w:rFonts w:ascii="Arial" w:cs="Arial" w:eastAsia="Arial" w:hAnsi="Arial"/>
                  <w:sz w:val="18"/>
                  <w:szCs w:val="18"/>
                  <w:color w:val="0000FF"/>
                </w:rPr>
                <w:t>Specimen common stock certificate (incorporated by reference to the identically-numbered exhibit to LivePerson’s</w:t>
              </w:r>
            </w:hyperlink>
          </w:p>
        </w:tc>
      </w:tr>
      <w:tr>
        <w:trPr>
          <w:trHeight w:val="196"/>
        </w:trPr>
        <w:tc>
          <w:tcPr>
            <w:tcW w:w="1660" w:type="dxa"/>
            <w:vAlign w:val="bottom"/>
          </w:tcPr>
          <w:p>
            <w:pPr>
              <w:spacing w:after="0"/>
              <w:rPr>
                <w:sz w:val="17"/>
                <w:szCs w:val="17"/>
                <w:color w:val="auto"/>
              </w:rPr>
            </w:pPr>
          </w:p>
        </w:tc>
        <w:tc>
          <w:tcPr>
            <w:tcW w:w="8280" w:type="dxa"/>
            <w:vAlign w:val="bottom"/>
            <w:tcBorders>
              <w:top w:val="single" w:sz="8" w:color="0000FF"/>
            </w:tcBorders>
            <w:gridSpan w:val="15"/>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Registration Statement on Form S-1, as amended (Registration No. 333-96689) (“Registration No. 333-96689”))</w:t>
              </w:r>
            </w:hyperlink>
          </w:p>
        </w:tc>
        <w:tc>
          <w:tcPr>
            <w:tcW w:w="900" w:type="dxa"/>
            <w:vAlign w:val="bottom"/>
            <w:gridSpan w:val="10"/>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4.2</w:t>
            </w:r>
          </w:p>
        </w:tc>
        <w:tc>
          <w:tcPr>
            <w:tcW w:w="8980" w:type="dxa"/>
            <w:vAlign w:val="bottom"/>
            <w:tcBorders>
              <w:bottom w:val="single" w:sz="8" w:color="0000FF"/>
            </w:tcBorders>
            <w:gridSpan w:val="21"/>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Second Amended and Restated Registration Rights Agreement, dated as of January 27, 2000, by and among LivePerson, the</w:t>
              </w:r>
            </w:hyperlink>
          </w:p>
        </w:tc>
        <w:tc>
          <w:tcPr>
            <w:tcW w:w="200" w:type="dxa"/>
            <w:vAlign w:val="bottom"/>
            <w:gridSpan w:val="4"/>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tcBorders>
              <w:bottom w:val="single" w:sz="8" w:color="0000FF"/>
            </w:tcBorders>
            <w:gridSpan w:val="25"/>
          </w:tcPr>
          <w:p>
            <w:pPr>
              <w:spacing w:after="0" w:line="196" w:lineRule="exact"/>
              <w:rPr>
                <w:rFonts w:ascii="Arial" w:cs="Arial" w:eastAsia="Arial" w:hAnsi="Arial"/>
                <w:sz w:val="18"/>
                <w:szCs w:val="18"/>
                <w:color w:val="0000FF"/>
                <w:w w:val="88"/>
              </w:rPr>
            </w:pPr>
            <w:hyperlink r:id="rId73">
              <w:r>
                <w:rPr>
                  <w:rFonts w:ascii="Arial" w:cs="Arial" w:eastAsia="Arial" w:hAnsi="Arial"/>
                  <w:sz w:val="18"/>
                  <w:szCs w:val="18"/>
                  <w:color w:val="0000FF"/>
                  <w:w w:val="88"/>
                </w:rPr>
                <w:t>several persons and entities named on the signature pages thereto as Investors, and Robert LoCascio (incorporated by reference</w:t>
              </w:r>
            </w:hyperlink>
          </w:p>
        </w:tc>
      </w:tr>
      <w:tr>
        <w:trPr>
          <w:trHeight w:val="196"/>
        </w:trPr>
        <w:tc>
          <w:tcPr>
            <w:tcW w:w="166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to the identically-numbered exhibit to Registration No. 333-96689)</w:t>
              </w:r>
            </w:hyperlink>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4.3</w:t>
            </w:r>
          </w:p>
        </w:tc>
        <w:tc>
          <w:tcPr>
            <w:tcW w:w="9180" w:type="dxa"/>
            <w:vAlign w:val="bottom"/>
            <w:gridSpan w:val="25"/>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Indenture, dated as of March 4, 2019, by and between LivePerson, Inc. and U.S. Bank NationalAssociation, as Trustee</w:t>
              </w:r>
            </w:hyperlink>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(incorporated by reference to Exhibit 4.1 to LivePerson’s Current Report onForm 8-K filed on March 5, 2019 (File No. 000-</w:t>
              </w:r>
            </w:hyperlink>
          </w:p>
        </w:tc>
      </w:tr>
      <w:tr>
        <w:trPr>
          <w:trHeight w:val="196"/>
        </w:trPr>
        <w:tc>
          <w:tcPr>
            <w:tcW w:w="166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3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8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28"/>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4.4</w:t>
            </w:r>
          </w:p>
        </w:tc>
        <w:tc>
          <w:tcPr>
            <w:tcW w:w="7980" w:type="dxa"/>
            <w:vAlign w:val="bottom"/>
            <w:tcBorders>
              <w:bottom w:val="single" w:sz="8" w:color="0000FF"/>
            </w:tcBorders>
            <w:gridSpan w:val="12"/>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Form of 0.750% Convertible Senior Notes due 2024 (included within the Indenture filed as Exhibit 4.3 hereto)</w:t>
              </w:r>
            </w:hyperlink>
          </w:p>
        </w:tc>
        <w:tc>
          <w:tcPr>
            <w:tcW w:w="1200" w:type="dxa"/>
            <w:vAlign w:val="bottom"/>
            <w:gridSpan w:val="13"/>
          </w:tcPr>
          <w:p>
            <w:pPr>
              <w:spacing w:after="0"/>
              <w:rPr>
                <w:sz w:val="24"/>
                <w:szCs w:val="24"/>
                <w:color w:val="auto"/>
              </w:rPr>
            </w:pPr>
          </w:p>
        </w:tc>
      </w:tr>
      <w:tr>
        <w:trPr>
          <w:trHeight w:val="628"/>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87"/>
              </w:rPr>
              <w:t>4.5</w:t>
            </w:r>
          </w:p>
        </w:tc>
        <w:tc>
          <w:tcPr>
            <w:tcW w:w="9180" w:type="dxa"/>
            <w:vAlign w:val="bottom"/>
            <w:gridSpan w:val="25"/>
          </w:tcPr>
          <w:p>
            <w:pPr>
              <w:spacing w:after="0"/>
              <w:rPr>
                <w:rFonts w:ascii="Arial" w:cs="Arial" w:eastAsia="Arial" w:hAnsi="Arial"/>
                <w:sz w:val="18"/>
                <w:szCs w:val="18"/>
                <w:color w:val="0000FF"/>
                <w:w w:val="99"/>
              </w:rPr>
            </w:pPr>
            <w:hyperlink w:anchor="page120">
              <w:r>
                <w:rPr>
                  <w:rFonts w:ascii="Arial" w:cs="Arial" w:eastAsia="Arial" w:hAnsi="Arial"/>
                  <w:sz w:val="18"/>
                  <w:szCs w:val="18"/>
                  <w:color w:val="0000FF"/>
                  <w:w w:val="99"/>
                </w:rPr>
                <w:t>Description of the Registrant’s Securities Registered Pursuant to Section 12 of the Securities Exchange Act of 1934</w:t>
              </w:r>
            </w:hyperlink>
          </w:p>
        </w:tc>
      </w:tr>
      <w:tr>
        <w:trPr>
          <w:trHeight w:val="20"/>
        </w:trPr>
        <w:tc>
          <w:tcPr>
            <w:tcW w:w="166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660" w:type="dxa"/>
            <w:vAlign w:val="bottom"/>
          </w:tcPr>
          <w:p>
            <w:pPr>
              <w:jc w:val="center"/>
              <w:ind w:right="930"/>
              <w:spacing w:after="0"/>
              <w:rPr>
                <w:sz w:val="20"/>
                <w:szCs w:val="20"/>
                <w:color w:val="auto"/>
              </w:rPr>
            </w:pPr>
            <w:r>
              <w:rPr>
                <w:rFonts w:ascii="Arial" w:cs="Arial" w:eastAsia="Arial" w:hAnsi="Arial"/>
                <w:sz w:val="18"/>
                <w:szCs w:val="18"/>
                <w:color w:val="auto"/>
                <w:w w:val="93"/>
              </w:rPr>
              <w:t>10.1(a)*</w:t>
            </w:r>
          </w:p>
        </w:tc>
        <w:tc>
          <w:tcPr>
            <w:tcW w:w="9180" w:type="dxa"/>
            <w:vAlign w:val="bottom"/>
            <w:gridSpan w:val="25"/>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2009 Stock Incentive Plan (incorporated by reference to Exhibit 99.1 to LivePerson’s Registration Statement on Form S-8 filed</w:t>
              </w:r>
            </w:hyperlink>
          </w:p>
        </w:tc>
      </w:tr>
      <w:tr>
        <w:trPr>
          <w:trHeight w:val="196"/>
        </w:trPr>
        <w:tc>
          <w:tcPr>
            <w:tcW w:w="1660" w:type="dxa"/>
            <w:vAlign w:val="bottom"/>
          </w:tcPr>
          <w:p>
            <w:pPr>
              <w:spacing w:after="0"/>
              <w:rPr>
                <w:sz w:val="17"/>
                <w:szCs w:val="17"/>
                <w:color w:val="auto"/>
              </w:rPr>
            </w:pPr>
          </w:p>
        </w:tc>
        <w:tc>
          <w:tcPr>
            <w:tcW w:w="9160" w:type="dxa"/>
            <w:vAlign w:val="bottom"/>
            <w:tcBorders>
              <w:top w:val="single" w:sz="8" w:color="0000FF"/>
            </w:tcBorders>
            <w:gridSpan w:val="24"/>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 xml:space="preserve">on June 9, 2009) </w:t>
              </w:r>
              <w:r>
                <w:rPr>
                  <w:rFonts w:ascii="Arial" w:cs="Arial" w:eastAsia="Arial" w:hAnsi="Arial"/>
                  <w:sz w:val="18"/>
                  <w:szCs w:val="18"/>
                  <w:color w:val="000000"/>
                  <w:w w:val="92"/>
                </w:rPr>
                <w:t>and</w:t>
              </w:r>
              <w:r>
                <w:rPr>
                  <w:rFonts w:ascii="Arial" w:cs="Arial" w:eastAsia="Arial" w:hAnsi="Arial"/>
                  <w:sz w:val="18"/>
                  <w:szCs w:val="18"/>
                  <w:color w:val="0000FF"/>
                  <w:w w:val="92"/>
                </w:rPr>
                <w:t xml:space="preserve"> Forms of Grant Agreements under the 2009 Stock Incentive Plan (incorporated by reference to Exhibit</w:t>
              </w:r>
            </w:hyperlink>
          </w:p>
        </w:tc>
        <w:tc>
          <w:tcPr>
            <w:tcW w:w="2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704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10.</w:t>
              </w:r>
              <w:r>
                <w:rPr>
                  <w:rFonts w:ascii="Arial" w:cs="Arial" w:eastAsia="Arial" w:hAnsi="Arial"/>
                  <w:sz w:val="18"/>
                  <w:szCs w:val="18"/>
                  <w:u w:val="single" w:color="auto"/>
                  <w:color w:val="0000FF"/>
                  <w:w w:val="92"/>
                </w:rPr>
                <w:t>1</w:t>
              </w:r>
              <w:r>
                <w:rPr>
                  <w:rFonts w:ascii="Arial" w:cs="Arial" w:eastAsia="Arial" w:hAnsi="Arial"/>
                  <w:sz w:val="18"/>
                  <w:szCs w:val="18"/>
                  <w:color w:val="0000FF"/>
                  <w:w w:val="92"/>
                </w:rPr>
                <w:t xml:space="preserve"> to LivePerson’s Quarterly Report on Form 10-Q filed on May 6, 2011 (File No. 000-30141))</w:t>
              </w:r>
            </w:hyperlink>
          </w:p>
        </w:tc>
        <w:tc>
          <w:tcPr>
            <w:tcW w:w="2140" w:type="dxa"/>
            <w:vAlign w:val="bottom"/>
            <w:gridSpan w:val="14"/>
          </w:tcPr>
          <w:p>
            <w:pPr>
              <w:spacing w:after="0"/>
              <w:rPr>
                <w:sz w:val="17"/>
                <w:szCs w:val="17"/>
                <w:color w:val="auto"/>
              </w:rPr>
            </w:pPr>
          </w:p>
        </w:tc>
      </w:tr>
      <w:tr>
        <w:trPr>
          <w:trHeight w:val="628"/>
        </w:trPr>
        <w:tc>
          <w:tcPr>
            <w:tcW w:w="1660" w:type="dxa"/>
            <w:vAlign w:val="bottom"/>
          </w:tcPr>
          <w:p>
            <w:pPr>
              <w:jc w:val="center"/>
              <w:ind w:right="910"/>
              <w:spacing w:after="0"/>
              <w:rPr>
                <w:sz w:val="20"/>
                <w:szCs w:val="20"/>
                <w:color w:val="auto"/>
              </w:rPr>
            </w:pPr>
            <w:r>
              <w:rPr>
                <w:rFonts w:ascii="Arial" w:cs="Arial" w:eastAsia="Arial" w:hAnsi="Arial"/>
                <w:sz w:val="18"/>
                <w:szCs w:val="18"/>
                <w:color w:val="auto"/>
                <w:w w:val="96"/>
              </w:rPr>
              <w:t>10.1(b)*</w:t>
            </w:r>
          </w:p>
        </w:tc>
        <w:tc>
          <w:tcPr>
            <w:tcW w:w="8240" w:type="dxa"/>
            <w:vAlign w:val="bottom"/>
            <w:tcBorders>
              <w:bottom w:val="single" w:sz="8" w:color="0000FF"/>
            </w:tcBorders>
            <w:gridSpan w:val="14"/>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2009 Stock Incentive Plan (amended and restated as of June 7, 2012) (incorporated by reference to Exhibit 99.1 to</w:t>
              </w:r>
            </w:hyperlink>
          </w:p>
        </w:tc>
        <w:tc>
          <w:tcPr>
            <w:tcW w:w="940" w:type="dxa"/>
            <w:vAlign w:val="bottom"/>
            <w:gridSpan w:val="11"/>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9180" w:type="dxa"/>
            <w:vAlign w:val="bottom"/>
            <w:gridSpan w:val="25"/>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LivePerson’s Current Report on Form 8-K filed on June 8, 2012 (File No. 000-30141))</w:t>
              </w:r>
            </w:hyperlink>
          </w:p>
        </w:tc>
      </w:tr>
      <w:tr>
        <w:trPr>
          <w:trHeight w:val="20"/>
        </w:trPr>
        <w:tc>
          <w:tcPr>
            <w:tcW w:w="16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540" w:type="dxa"/>
            <w:vAlign w:val="bottom"/>
          </w:tcPr>
          <w:p>
            <w:pPr>
              <w:jc w:val="right"/>
              <w:ind w:right="1050"/>
              <w:spacing w:after="0"/>
              <w:rPr>
                <w:sz w:val="20"/>
                <w:szCs w:val="20"/>
                <w:color w:val="auto"/>
              </w:rPr>
            </w:pPr>
            <w:r>
              <w:rPr>
                <w:rFonts w:ascii="Arial" w:cs="Arial" w:eastAsia="Arial" w:hAnsi="Arial"/>
                <w:sz w:val="18"/>
                <w:szCs w:val="18"/>
                <w:color w:val="auto"/>
                <w:w w:val="90"/>
              </w:rPr>
              <w:t>10.2*</w:t>
            </w:r>
          </w:p>
        </w:tc>
        <w:tc>
          <w:tcPr>
            <w:tcW w:w="9060" w:type="dxa"/>
            <w:vAlign w:val="bottom"/>
            <w:tcBorders>
              <w:bottom w:val="single" w:sz="8" w:color="0000FF"/>
            </w:tcBorders>
            <w:gridSpan w:val="5"/>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LivePerson, Inc. 2010 Employee Stock Purchase Plan (incorporated by reference to Exhibit 99.1 to LivePerson’s Registration</w:t>
              </w:r>
            </w:hyperlink>
          </w:p>
        </w:tc>
      </w:tr>
      <w:tr>
        <w:trPr>
          <w:trHeight w:val="196"/>
        </w:trPr>
        <w:tc>
          <w:tcPr>
            <w:tcW w:w="1540" w:type="dxa"/>
            <w:vAlign w:val="bottom"/>
          </w:tcPr>
          <w:p>
            <w:pPr>
              <w:spacing w:after="0"/>
              <w:rPr>
                <w:sz w:val="17"/>
                <w:szCs w:val="17"/>
                <w:color w:val="auto"/>
              </w:rPr>
            </w:pPr>
          </w:p>
        </w:tc>
        <w:tc>
          <w:tcPr>
            <w:tcW w:w="9060" w:type="dxa"/>
            <w:vAlign w:val="bottom"/>
            <w:gridSpan w:val="5"/>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Statement on Form S-8 filed on August 19, 2010 (File No. 000-30141))</w:t>
              </w:r>
            </w:hyperlink>
          </w:p>
        </w:tc>
      </w:tr>
      <w:tr>
        <w:trPr>
          <w:trHeight w:val="20"/>
        </w:trPr>
        <w:tc>
          <w:tcPr>
            <w:tcW w:w="154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8"/>
        </w:trPr>
        <w:tc>
          <w:tcPr>
            <w:tcW w:w="1540" w:type="dxa"/>
            <w:vAlign w:val="bottom"/>
          </w:tcPr>
          <w:p>
            <w:pPr>
              <w:jc w:val="right"/>
              <w:ind w:right="1050"/>
              <w:spacing w:after="0"/>
              <w:rPr>
                <w:sz w:val="20"/>
                <w:szCs w:val="20"/>
                <w:color w:val="auto"/>
              </w:rPr>
            </w:pPr>
            <w:r>
              <w:rPr>
                <w:rFonts w:ascii="Arial" w:cs="Arial" w:eastAsia="Arial" w:hAnsi="Arial"/>
                <w:sz w:val="18"/>
                <w:szCs w:val="18"/>
                <w:color w:val="auto"/>
                <w:w w:val="90"/>
              </w:rPr>
              <w:t>10.3*</w:t>
            </w:r>
          </w:p>
        </w:tc>
        <w:tc>
          <w:tcPr>
            <w:tcW w:w="9060" w:type="dxa"/>
            <w:vAlign w:val="bottom"/>
            <w:tcBorders>
              <w:bottom w:val="single" w:sz="8" w:color="0000FF"/>
            </w:tcBorders>
            <w:gridSpan w:val="5"/>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Employment Agreement between LivePerson and Robert P. LoCascio, dated as of January 1, 1999 (incorporated by reference</w:t>
              </w:r>
            </w:hyperlink>
          </w:p>
        </w:tc>
      </w:tr>
      <w:tr>
        <w:trPr>
          <w:trHeight w:val="196"/>
        </w:trPr>
        <w:tc>
          <w:tcPr>
            <w:tcW w:w="1540" w:type="dxa"/>
            <w:vAlign w:val="bottom"/>
          </w:tcPr>
          <w:p>
            <w:pPr>
              <w:spacing w:after="0"/>
              <w:rPr>
                <w:sz w:val="17"/>
                <w:szCs w:val="17"/>
                <w:color w:val="auto"/>
              </w:rPr>
            </w:pPr>
          </w:p>
        </w:tc>
        <w:tc>
          <w:tcPr>
            <w:tcW w:w="9060" w:type="dxa"/>
            <w:vAlign w:val="bottom"/>
            <w:gridSpan w:val="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to Exhibit 10.1 to Registration No. 333-96689)</w:t>
              </w:r>
            </w:hyperlink>
          </w:p>
        </w:tc>
      </w:tr>
      <w:tr>
        <w:trPr>
          <w:trHeight w:val="20"/>
        </w:trPr>
        <w:tc>
          <w:tcPr>
            <w:tcW w:w="154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540" w:type="dxa"/>
            <w:vAlign w:val="bottom"/>
          </w:tcPr>
          <w:p>
            <w:pPr>
              <w:jc w:val="right"/>
              <w:ind w:right="1050"/>
              <w:spacing w:after="0"/>
              <w:rPr>
                <w:sz w:val="20"/>
                <w:szCs w:val="20"/>
                <w:color w:val="auto"/>
              </w:rPr>
            </w:pPr>
            <w:r>
              <w:rPr>
                <w:rFonts w:ascii="Arial" w:cs="Arial" w:eastAsia="Arial" w:hAnsi="Arial"/>
                <w:sz w:val="18"/>
                <w:szCs w:val="18"/>
                <w:color w:val="auto"/>
                <w:w w:val="90"/>
              </w:rPr>
              <w:t>10.4*</w:t>
            </w:r>
          </w:p>
        </w:tc>
        <w:tc>
          <w:tcPr>
            <w:tcW w:w="8900" w:type="dxa"/>
            <w:vAlign w:val="bottom"/>
            <w:tcBorders>
              <w:bottom w:val="single" w:sz="8" w:color="0000FF"/>
            </w:tcBorders>
            <w:gridSpan w:val="4"/>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Agreement between LivePerson and Dan Murphy, dated as of March 27, 2011 (incorporated by reference to Exhibit 10.5 to</w:t>
              </w:r>
            </w:hyperlink>
          </w:p>
        </w:tc>
        <w:tc>
          <w:tcPr>
            <w:tcW w:w="160" w:type="dxa"/>
            <w:vAlign w:val="bottom"/>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060" w:type="dxa"/>
            <w:vAlign w:val="bottom"/>
            <w:gridSpan w:val="5"/>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LivePerson’s Annual Report on Form 10-K for the year ended December 31, 2011 and filed March 13, 2012)</w:t>
              </w:r>
            </w:hyperlink>
          </w:p>
        </w:tc>
      </w:tr>
      <w:tr>
        <w:trPr>
          <w:trHeight w:val="20"/>
        </w:trPr>
        <w:tc>
          <w:tcPr>
            <w:tcW w:w="1540" w:type="dxa"/>
            <w:vAlign w:val="bottom"/>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780" w:top="98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840"/>
          </w:cols>
          <w:pgMar w:left="780" w:top="985" w:right="279" w:bottom="1440" w:gutter="0" w:footer="0" w:header="0"/>
          <w:type w:val="continuous"/>
        </w:sectPr>
      </w:pPr>
    </w:p>
    <w:bookmarkStart w:id="117" w:name="page118"/>
    <w:bookmarkEnd w:id="117"/>
    <w:tbl>
      <w:tblPr>
        <w:tblLayout w:type="fixed"/>
        <w:tblInd w:w="40" w:type="dxa"/>
        <w:tblCellMar>
          <w:top w:w="0" w:type="dxa"/>
          <w:left w:w="0" w:type="dxa"/>
          <w:bottom w:w="0" w:type="dxa"/>
          <w:right w:w="0" w:type="dxa"/>
        </w:tblCellMar>
      </w:tblPr>
      <w:tr>
        <w:trPr>
          <w:trHeight w:val="207"/>
        </w:trPr>
        <w:tc>
          <w:tcPr>
            <w:tcW w:w="1540" w:type="dxa"/>
            <w:vAlign w:val="bottom"/>
          </w:tcPr>
          <w:p>
            <w:pPr>
              <w:jc w:val="right"/>
              <w:ind w:right="1050"/>
              <w:spacing w:after="0"/>
              <w:rPr>
                <w:sz w:val="20"/>
                <w:szCs w:val="20"/>
                <w:color w:val="auto"/>
              </w:rPr>
            </w:pPr>
            <w:r>
              <w:rPr>
                <w:rFonts w:ascii="Arial" w:cs="Arial" w:eastAsia="Arial" w:hAnsi="Arial"/>
                <w:sz w:val="18"/>
                <w:szCs w:val="18"/>
                <w:color w:val="auto"/>
                <w:w w:val="90"/>
              </w:rPr>
              <w:t>10.5*</w:t>
            </w:r>
          </w:p>
        </w:tc>
        <w:tc>
          <w:tcPr>
            <w:tcW w:w="8620" w:type="dxa"/>
            <w:vAlign w:val="bottom"/>
            <w:tcBorders>
              <w:bottom w:val="single" w:sz="8" w:color="0000FF"/>
            </w:tcBorders>
            <w:gridSpan w:val="4"/>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Form of Indemnification Agreement entered into with Executive Officers and Directors of LivePerson (incorporated by</w:t>
              </w:r>
            </w:hyperlink>
          </w:p>
        </w:tc>
        <w:tc>
          <w:tcPr>
            <w:tcW w:w="540" w:type="dxa"/>
            <w:vAlign w:val="bottom"/>
            <w:gridSpan w:val="4"/>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160" w:type="dxa"/>
            <w:vAlign w:val="bottom"/>
            <w:gridSpan w:val="8"/>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reference to Exhibit 10.6 to LivePerson’s Annual Report on Form 10-K for the year ended December 31, 2011 and filed March</w:t>
              </w:r>
            </w:hyperlink>
          </w:p>
        </w:tc>
      </w:tr>
      <w:tr>
        <w:trPr>
          <w:trHeight w:val="196"/>
        </w:trPr>
        <w:tc>
          <w:tcPr>
            <w:tcW w:w="1540" w:type="dxa"/>
            <w:vAlign w:val="bottom"/>
          </w:tcPr>
          <w:p>
            <w:pPr>
              <w:spacing w:after="0"/>
              <w:rPr>
                <w:sz w:val="17"/>
                <w:szCs w:val="17"/>
                <w:color w:val="auto"/>
              </w:rPr>
            </w:pPr>
          </w:p>
        </w:tc>
        <w:tc>
          <w:tcPr>
            <w:tcW w:w="7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80">
              <w:r>
                <w:rPr>
                  <w:rFonts w:ascii="Arial" w:cs="Arial" w:eastAsia="Arial" w:hAnsi="Arial"/>
                  <w:sz w:val="18"/>
                  <w:szCs w:val="18"/>
                  <w:color w:val="0000FF"/>
                  <w:w w:val="89"/>
                </w:rPr>
                <w:t>13, 2012)</w:t>
              </w:r>
            </w:hyperlink>
          </w:p>
        </w:tc>
        <w:tc>
          <w:tcPr>
            <w:tcW w:w="69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540" w:type="dxa"/>
            <w:vAlign w:val="bottom"/>
          </w:tcPr>
          <w:p>
            <w:pPr>
              <w:jc w:val="right"/>
              <w:ind w:right="1050"/>
              <w:spacing w:after="0"/>
              <w:rPr>
                <w:sz w:val="20"/>
                <w:szCs w:val="20"/>
                <w:color w:val="auto"/>
              </w:rPr>
            </w:pPr>
            <w:r>
              <w:rPr>
                <w:rFonts w:ascii="Arial" w:cs="Arial" w:eastAsia="Arial" w:hAnsi="Arial"/>
                <w:sz w:val="18"/>
                <w:szCs w:val="18"/>
                <w:color w:val="auto"/>
                <w:w w:val="90"/>
              </w:rPr>
              <w:t>10.6*</w:t>
            </w:r>
          </w:p>
        </w:tc>
        <w:tc>
          <w:tcPr>
            <w:tcW w:w="9120" w:type="dxa"/>
            <w:vAlign w:val="bottom"/>
            <w:tcBorders>
              <w:bottom w:val="single" w:sz="8" w:color="0000FF"/>
            </w:tcBorders>
            <w:gridSpan w:val="6"/>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Agreement between LivePerson and Monica L. Greenberg, dated as of October 25, 2006 (incorporated by reference to Exhibit</w:t>
              </w:r>
            </w:hyperlink>
          </w:p>
        </w:tc>
        <w:tc>
          <w:tcPr>
            <w:tcW w:w="40" w:type="dxa"/>
            <w:vAlign w:val="bottom"/>
            <w:gridSpan w:val="2"/>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842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8</w:t>
              </w:r>
              <w:r>
                <w:rPr>
                  <w:rFonts w:ascii="Arial" w:cs="Arial" w:eastAsia="Arial" w:hAnsi="Arial"/>
                  <w:sz w:val="18"/>
                  <w:szCs w:val="18"/>
                  <w:color w:val="0000FF"/>
                  <w:w w:val="91"/>
                </w:rPr>
                <w:t xml:space="preserve"> to LivePerson’s Annual Report on Form 10-K for the year ended December 31, 2011 and filed March 13, 2012)</w:t>
              </w:r>
            </w:hyperlink>
          </w:p>
        </w:tc>
        <w:tc>
          <w:tcPr>
            <w:tcW w:w="740" w:type="dxa"/>
            <w:vAlign w:val="bottom"/>
            <w:gridSpan w:val="5"/>
          </w:tcPr>
          <w:p>
            <w:pPr>
              <w:spacing w:after="0"/>
              <w:rPr>
                <w:sz w:val="17"/>
                <w:szCs w:val="17"/>
                <w:color w:val="auto"/>
              </w:rPr>
            </w:pPr>
          </w:p>
        </w:tc>
      </w:tr>
      <w:tr>
        <w:trPr>
          <w:trHeight w:val="412"/>
        </w:trPr>
        <w:tc>
          <w:tcPr>
            <w:tcW w:w="1540" w:type="dxa"/>
            <w:vAlign w:val="bottom"/>
          </w:tcPr>
          <w:p>
            <w:pPr>
              <w:jc w:val="right"/>
              <w:ind w:right="1050"/>
              <w:spacing w:after="0"/>
              <w:rPr>
                <w:sz w:val="20"/>
                <w:szCs w:val="20"/>
                <w:color w:val="auto"/>
              </w:rPr>
            </w:pPr>
            <w:r>
              <w:rPr>
                <w:rFonts w:ascii="Arial" w:cs="Arial" w:eastAsia="Arial" w:hAnsi="Arial"/>
                <w:sz w:val="18"/>
                <w:szCs w:val="18"/>
                <w:color w:val="auto"/>
                <w:w w:val="90"/>
              </w:rPr>
              <w:t>10.7*</w:t>
            </w:r>
          </w:p>
        </w:tc>
        <w:tc>
          <w:tcPr>
            <w:tcW w:w="9160" w:type="dxa"/>
            <w:vAlign w:val="bottom"/>
            <w:tcBorders>
              <w:bottom w:val="single" w:sz="8" w:color="0000FF"/>
            </w:tcBorders>
            <w:gridSpan w:val="8"/>
          </w:tcPr>
          <w:p>
            <w:pPr>
              <w:spacing w:after="0"/>
              <w:rPr>
                <w:rFonts w:ascii="Arial" w:cs="Arial" w:eastAsia="Arial" w:hAnsi="Arial"/>
                <w:sz w:val="18"/>
                <w:szCs w:val="18"/>
                <w:color w:val="0000FF"/>
                <w:w w:val="92"/>
              </w:rPr>
            </w:pPr>
            <w:hyperlink r:id="rId82">
              <w:r>
                <w:rPr>
                  <w:rFonts w:ascii="Arial" w:cs="Arial" w:eastAsia="Arial" w:hAnsi="Arial"/>
                  <w:sz w:val="18"/>
                  <w:szCs w:val="18"/>
                  <w:color w:val="0000FF"/>
                  <w:w w:val="92"/>
                </w:rPr>
                <w:t>Incentive Plan (incorporated by reference to Exhibit 10.1 to LivePerson’s Current Report on Form 8-K filed on April 28, 2011)</w:t>
              </w:r>
            </w:hyperlink>
          </w:p>
        </w:tc>
      </w:tr>
      <w:tr>
        <w:trPr>
          <w:trHeight w:val="412"/>
        </w:trPr>
        <w:tc>
          <w:tcPr>
            <w:tcW w:w="1540" w:type="dxa"/>
            <w:vAlign w:val="bottom"/>
          </w:tcPr>
          <w:p>
            <w:pPr>
              <w:jc w:val="right"/>
              <w:ind w:right="1050"/>
              <w:spacing w:after="0"/>
              <w:rPr>
                <w:sz w:val="20"/>
                <w:szCs w:val="20"/>
                <w:color w:val="auto"/>
              </w:rPr>
            </w:pPr>
            <w:r>
              <w:rPr>
                <w:rFonts w:ascii="Arial" w:cs="Arial" w:eastAsia="Arial" w:hAnsi="Arial"/>
                <w:sz w:val="18"/>
                <w:szCs w:val="18"/>
                <w:color w:val="auto"/>
                <w:w w:val="90"/>
              </w:rPr>
              <w:t>10.8*</w:t>
            </w:r>
          </w:p>
        </w:tc>
        <w:tc>
          <w:tcPr>
            <w:tcW w:w="9100" w:type="dxa"/>
            <w:vAlign w:val="bottom"/>
            <w:tcBorders>
              <w:bottom w:val="single" w:sz="8" w:color="0000FF"/>
            </w:tcBorders>
            <w:gridSpan w:val="5"/>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Employment Agreement between LivePerson and Eran Vanounou, dated as of February 22, 2014(incorporated by reference to</w:t>
              </w:r>
            </w:hyperlink>
          </w:p>
        </w:tc>
        <w:tc>
          <w:tcPr>
            <w:tcW w:w="60" w:type="dxa"/>
            <w:vAlign w:val="bottom"/>
            <w:gridSpan w:val="3"/>
          </w:tcPr>
          <w:p>
            <w:pPr>
              <w:spacing w:after="0"/>
              <w:rPr>
                <w:sz w:val="24"/>
                <w:szCs w:val="24"/>
                <w:color w:val="auto"/>
              </w:rPr>
            </w:pPr>
          </w:p>
        </w:tc>
      </w:tr>
      <w:tr>
        <w:trPr>
          <w:trHeight w:val="196"/>
        </w:trPr>
        <w:tc>
          <w:tcPr>
            <w:tcW w:w="1540" w:type="dxa"/>
            <w:vAlign w:val="bottom"/>
          </w:tcPr>
          <w:p>
            <w:pPr>
              <w:spacing w:after="0"/>
              <w:rPr>
                <w:sz w:val="17"/>
                <w:szCs w:val="17"/>
                <w:color w:val="auto"/>
              </w:rPr>
            </w:pPr>
          </w:p>
        </w:tc>
        <w:tc>
          <w:tcPr>
            <w:tcW w:w="9160" w:type="dxa"/>
            <w:vAlign w:val="bottom"/>
            <w:gridSpan w:val="8"/>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Exhibit 10.2 to LivePerson’s Quarterly Report on Form 10-Q filed onMay 9, 2014) (File No. 000-30141))</w:t>
              </w:r>
            </w:hyperlink>
          </w:p>
        </w:tc>
      </w:tr>
      <w:tr>
        <w:trPr>
          <w:trHeight w:val="20"/>
        </w:trPr>
        <w:tc>
          <w:tcPr>
            <w:tcW w:w="15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9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jc w:val="center"/>
              <w:ind w:right="1010"/>
              <w:spacing w:after="0"/>
              <w:rPr>
                <w:sz w:val="20"/>
                <w:szCs w:val="20"/>
                <w:color w:val="auto"/>
              </w:rPr>
            </w:pPr>
            <w:r>
              <w:rPr>
                <w:rFonts w:ascii="Arial" w:cs="Arial" w:eastAsia="Arial" w:hAnsi="Arial"/>
                <w:sz w:val="18"/>
                <w:szCs w:val="18"/>
                <w:color w:val="auto"/>
                <w:w w:val="95"/>
              </w:rPr>
              <w:t>10.9*</w:t>
            </w:r>
          </w:p>
        </w:tc>
        <w:tc>
          <w:tcPr>
            <w:tcW w:w="9080" w:type="dxa"/>
            <w:vAlign w:val="bottom"/>
            <w:tcBorders>
              <w:bottom w:val="single" w:sz="8" w:color="0000FF"/>
            </w:tcBorders>
            <w:gridSpan w:val="22"/>
          </w:tcPr>
          <w:p>
            <w:pPr>
              <w:spacing w:after="0"/>
              <w:rPr>
                <w:rFonts w:ascii="Arial" w:cs="Arial" w:eastAsia="Arial" w:hAnsi="Arial"/>
                <w:sz w:val="18"/>
                <w:szCs w:val="18"/>
                <w:color w:val="0000FF"/>
                <w:w w:val="89"/>
              </w:rPr>
            </w:pPr>
            <w:hyperlink r:id="rId84">
              <w:r>
                <w:rPr>
                  <w:rFonts w:ascii="Arial" w:cs="Arial" w:eastAsia="Arial" w:hAnsi="Arial"/>
                  <w:sz w:val="18"/>
                  <w:szCs w:val="18"/>
                  <w:color w:val="0000FF"/>
                  <w:w w:val="89"/>
                </w:rPr>
                <w:t>Separation Agreement General Release between LivePerson and Daniel Murphy, dated as of November 9, 2017 (incorporated</w:t>
              </w:r>
            </w:hyperlink>
          </w:p>
        </w:tc>
        <w:tc>
          <w:tcPr>
            <w:tcW w:w="100" w:type="dxa"/>
            <w:vAlign w:val="bottom"/>
            <w:gridSpan w:val="4"/>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w w:val="94"/>
              </w:rPr>
            </w:pPr>
            <w:hyperlink r:id="rId84">
              <w:r>
                <w:rPr>
                  <w:rFonts w:ascii="Arial" w:cs="Arial" w:eastAsia="Arial" w:hAnsi="Arial"/>
                  <w:sz w:val="18"/>
                  <w:szCs w:val="18"/>
                  <w:color w:val="0000FF"/>
                  <w:w w:val="94"/>
                </w:rPr>
                <w:t>by reference to Exhibit 10.5 (B) to LivePerson’s Quarterly Report on Form 10-Q filed on November 9, 2017) (File No. 000-</w:t>
              </w:r>
            </w:hyperlink>
          </w:p>
        </w:tc>
      </w:tr>
      <w:tr>
        <w:trPr>
          <w:trHeight w:val="196"/>
        </w:trPr>
        <w:tc>
          <w:tcPr>
            <w:tcW w:w="158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88"/>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10.10*</w:t>
            </w:r>
          </w:p>
        </w:tc>
        <w:tc>
          <w:tcPr>
            <w:tcW w:w="9080" w:type="dxa"/>
            <w:vAlign w:val="bottom"/>
            <w:tcBorders>
              <w:bottom w:val="single" w:sz="8" w:color="0000FF"/>
            </w:tcBorders>
            <w:gridSpan w:val="22"/>
          </w:tcPr>
          <w:p>
            <w:pPr>
              <w:spacing w:after="0"/>
              <w:rPr>
                <w:rFonts w:ascii="Arial" w:cs="Arial" w:eastAsia="Arial" w:hAnsi="Arial"/>
                <w:sz w:val="18"/>
                <w:szCs w:val="18"/>
                <w:color w:val="0000FF"/>
                <w:w w:val="89"/>
              </w:rPr>
            </w:pPr>
            <w:hyperlink r:id="rId85">
              <w:r>
                <w:rPr>
                  <w:rFonts w:ascii="Arial" w:cs="Arial" w:eastAsia="Arial" w:hAnsi="Arial"/>
                  <w:sz w:val="18"/>
                  <w:szCs w:val="18"/>
                  <w:color w:val="0000FF"/>
                  <w:w w:val="89"/>
                </w:rPr>
                <w:t>Amendment to Separation Agreement General Release between LivePerson and Daniel Murphy, dated as of February 9, 2018</w:t>
              </w:r>
            </w:hyperlink>
          </w:p>
        </w:tc>
        <w:tc>
          <w:tcPr>
            <w:tcW w:w="100" w:type="dxa"/>
            <w:vAlign w:val="bottom"/>
            <w:gridSpan w:val="4"/>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888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(incorporated by reference to Exhibit 10.11 to LivePerson’s Annual Report on Form 10-K for the year ended December 31,</w:t>
              </w:r>
            </w:hyperlink>
          </w:p>
        </w:tc>
        <w:tc>
          <w:tcPr>
            <w:tcW w:w="300" w:type="dxa"/>
            <w:vAlign w:val="bottom"/>
            <w:gridSpan w:val="10"/>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2017, filed on March 15, 2018 (File No. 000-30141))</w:t>
              </w:r>
            </w:hyperlink>
          </w:p>
        </w:tc>
      </w:tr>
      <w:tr>
        <w:trPr>
          <w:trHeight w:val="20"/>
        </w:trPr>
        <w:tc>
          <w:tcPr>
            <w:tcW w:w="15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580" w:type="dxa"/>
            <w:vAlign w:val="bottom"/>
          </w:tcPr>
          <w:p>
            <w:pPr>
              <w:jc w:val="center"/>
              <w:ind w:right="1010"/>
              <w:spacing w:after="0"/>
              <w:rPr>
                <w:sz w:val="20"/>
                <w:szCs w:val="20"/>
                <w:color w:val="auto"/>
              </w:rPr>
            </w:pPr>
            <w:r>
              <w:rPr>
                <w:rFonts w:ascii="Arial" w:cs="Arial" w:eastAsia="Arial" w:hAnsi="Arial"/>
                <w:sz w:val="18"/>
                <w:szCs w:val="18"/>
                <w:color w:val="auto"/>
                <w:w w:val="92"/>
              </w:rPr>
              <w:t>10.11*</w:t>
            </w:r>
          </w:p>
        </w:tc>
        <w:tc>
          <w:tcPr>
            <w:tcW w:w="9020" w:type="dxa"/>
            <w:vAlign w:val="bottom"/>
            <w:tcBorders>
              <w:bottom w:val="single" w:sz="8" w:color="0000FF"/>
            </w:tcBorders>
            <w:gridSpan w:val="19"/>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Form of Restricted Stock Unit Award Agreement (incorporated by reference to Exhibit 10.12 to LivePerson’s Annual Report</w:t>
              </w:r>
            </w:hyperlink>
          </w:p>
        </w:tc>
        <w:tc>
          <w:tcPr>
            <w:tcW w:w="160" w:type="dxa"/>
            <w:vAlign w:val="bottom"/>
            <w:gridSpan w:val="7"/>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on Form 10-K for the year ended December 31, 2017, filed on March 15, 2018 (File No. 000-30141))</w:t>
              </w:r>
            </w:hyperlink>
          </w:p>
        </w:tc>
      </w:tr>
      <w:tr>
        <w:trPr>
          <w:trHeight w:val="20"/>
        </w:trPr>
        <w:tc>
          <w:tcPr>
            <w:tcW w:w="15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10.12*</w:t>
            </w:r>
          </w:p>
        </w:tc>
        <w:tc>
          <w:tcPr>
            <w:tcW w:w="9180" w:type="dxa"/>
            <w:vAlign w:val="bottom"/>
            <w:gridSpan w:val="26"/>
          </w:tcPr>
          <w:p>
            <w:pPr>
              <w:spacing w:after="0"/>
              <w:rPr>
                <w:rFonts w:ascii="Arial" w:cs="Arial" w:eastAsia="Arial" w:hAnsi="Arial"/>
                <w:sz w:val="18"/>
                <w:szCs w:val="18"/>
                <w:color w:val="0000FF"/>
              </w:rPr>
            </w:pPr>
            <w:hyperlink r:id="rId87">
              <w:r>
                <w:rPr>
                  <w:rFonts w:ascii="Arial" w:cs="Arial" w:eastAsia="Arial" w:hAnsi="Arial"/>
                  <w:sz w:val="18"/>
                  <w:szCs w:val="18"/>
                  <w:color w:val="0000FF"/>
                </w:rPr>
                <w:t>Form of Restricted Stock Unit Award Agreement for Robert Locascio (incorporated by reference to Exhibit 10.13 to</w:t>
              </w:r>
            </w:hyperlink>
          </w:p>
        </w:tc>
      </w:tr>
      <w:tr>
        <w:trPr>
          <w:trHeight w:val="20"/>
        </w:trPr>
        <w:tc>
          <w:tcPr>
            <w:tcW w:w="15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w w:val="94"/>
              </w:rPr>
            </w:pPr>
            <w:hyperlink r:id="rId87">
              <w:r>
                <w:rPr>
                  <w:rFonts w:ascii="Arial" w:cs="Arial" w:eastAsia="Arial" w:hAnsi="Arial"/>
                  <w:sz w:val="18"/>
                  <w:szCs w:val="18"/>
                  <w:color w:val="0000FF"/>
                  <w:w w:val="94"/>
                </w:rPr>
                <w:t>LivePerson’s Annual Report on Form 10-K for the year ended December 31, 2017, filed on March 15, 2018 (File No. 000-</w:t>
              </w:r>
            </w:hyperlink>
          </w:p>
        </w:tc>
      </w:tr>
      <w:tr>
        <w:trPr>
          <w:trHeight w:val="196"/>
        </w:trPr>
        <w:tc>
          <w:tcPr>
            <w:tcW w:w="158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30141)</w:t>
              </w:r>
              <w:r>
                <w:rPr>
                  <w:rFonts w:ascii="Arial" w:cs="Arial" w:eastAsia="Arial" w:hAnsi="Arial"/>
                  <w:sz w:val="18"/>
                  <w:szCs w:val="18"/>
                  <w:u w:val="single" w:color="auto"/>
                  <w:color w:val="0000FF"/>
                  <w:w w:val="90"/>
                </w:rPr>
                <w:t>)</w:t>
              </w:r>
            </w:hyperlink>
          </w:p>
        </w:tc>
        <w:tc>
          <w:tcPr>
            <w:tcW w:w="1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10.13*</w:t>
            </w:r>
          </w:p>
        </w:tc>
        <w:tc>
          <w:tcPr>
            <w:tcW w:w="9060" w:type="dxa"/>
            <w:vAlign w:val="bottom"/>
            <w:tcBorders>
              <w:bottom w:val="single" w:sz="8" w:color="0000FF"/>
            </w:tcBorders>
            <w:gridSpan w:val="21"/>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Inducement Plan dated January 19, 2018 (incorporated by reference to Exhibit 10.14 to LivePerson’s Annual Report on Form</w:t>
              </w:r>
            </w:hyperlink>
          </w:p>
        </w:tc>
        <w:tc>
          <w:tcPr>
            <w:tcW w:w="120" w:type="dxa"/>
            <w:vAlign w:val="bottom"/>
            <w:gridSpan w:val="5"/>
          </w:tcPr>
          <w:p>
            <w:pPr>
              <w:spacing w:after="0"/>
              <w:rPr>
                <w:sz w:val="21"/>
                <w:szCs w:val="21"/>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10-K for the year ended December 31, 2017, filed on March 15, 2018 (File No. 000-30141))</w:t>
              </w:r>
            </w:hyperlink>
          </w:p>
        </w:tc>
      </w:tr>
      <w:tr>
        <w:trPr>
          <w:trHeight w:val="20"/>
        </w:trPr>
        <w:tc>
          <w:tcPr>
            <w:tcW w:w="15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10.14*</w:t>
            </w:r>
          </w:p>
        </w:tc>
        <w:tc>
          <w:tcPr>
            <w:tcW w:w="9180" w:type="dxa"/>
            <w:vAlign w:val="bottom"/>
            <w:tcBorders>
              <w:bottom w:val="single" w:sz="8" w:color="0000FF"/>
            </w:tcBorders>
            <w:gridSpan w:val="26"/>
          </w:tcPr>
          <w:p>
            <w:pPr>
              <w:spacing w:after="0"/>
              <w:rPr>
                <w:rFonts w:ascii="Arial" w:cs="Arial" w:eastAsia="Arial" w:hAnsi="Arial"/>
                <w:sz w:val="18"/>
                <w:szCs w:val="18"/>
                <w:color w:val="0000FF"/>
                <w:w w:val="90"/>
              </w:rPr>
            </w:pPr>
            <w:hyperlink r:id="rId89">
              <w:r>
                <w:rPr>
                  <w:rFonts w:ascii="Arial" w:cs="Arial" w:eastAsia="Arial" w:hAnsi="Arial"/>
                  <w:sz w:val="18"/>
                  <w:szCs w:val="18"/>
                  <w:color w:val="0000FF"/>
                  <w:w w:val="90"/>
                </w:rPr>
                <w:t>Amended Employment Agreement between LivePerson and Robert LoCascio, dated as of December 27, 2017 (incorporated by</w:t>
              </w:r>
            </w:hyperlink>
          </w:p>
        </w:tc>
      </w:tr>
      <w:tr>
        <w:trPr>
          <w:trHeight w:val="196"/>
        </w:trPr>
        <w:tc>
          <w:tcPr>
            <w:tcW w:w="1580" w:type="dxa"/>
            <w:vAlign w:val="bottom"/>
          </w:tcPr>
          <w:p>
            <w:pPr>
              <w:spacing w:after="0"/>
              <w:rPr>
                <w:sz w:val="17"/>
                <w:szCs w:val="17"/>
                <w:color w:val="auto"/>
              </w:rPr>
            </w:pPr>
          </w:p>
        </w:tc>
        <w:tc>
          <w:tcPr>
            <w:tcW w:w="870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89">
              <w:r>
                <w:rPr>
                  <w:rFonts w:ascii="Arial" w:cs="Arial" w:eastAsia="Arial" w:hAnsi="Arial"/>
                  <w:sz w:val="18"/>
                  <w:szCs w:val="18"/>
                  <w:color w:val="0000FF"/>
                  <w:w w:val="91"/>
                </w:rPr>
                <w:t>reference to Exhibit 10.15 to LivePerson’s Annual Report on Form 10-K for the year ended December 31, 2017, filed on</w:t>
              </w:r>
            </w:hyperlink>
          </w:p>
        </w:tc>
        <w:tc>
          <w:tcPr>
            <w:tcW w:w="480" w:type="dxa"/>
            <w:vAlign w:val="bottom"/>
            <w:gridSpan w:val="13"/>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280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March 15, 2018 (File No. 000-30141))</w:t>
              </w:r>
            </w:hyperlink>
          </w:p>
        </w:tc>
        <w:tc>
          <w:tcPr>
            <w:tcW w:w="6380" w:type="dxa"/>
            <w:vAlign w:val="bottom"/>
            <w:gridSpan w:val="22"/>
          </w:tcPr>
          <w:p>
            <w:pPr>
              <w:spacing w:after="0"/>
              <w:rPr>
                <w:sz w:val="17"/>
                <w:szCs w:val="17"/>
                <w:color w:val="auto"/>
              </w:rPr>
            </w:pPr>
          </w:p>
        </w:tc>
      </w:tr>
      <w:tr>
        <w:trPr>
          <w:trHeight w:val="250"/>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10.15*</w:t>
            </w:r>
          </w:p>
        </w:tc>
        <w:tc>
          <w:tcPr>
            <w:tcW w:w="9040" w:type="dxa"/>
            <w:vAlign w:val="bottom"/>
            <w:tcBorders>
              <w:bottom w:val="single" w:sz="8" w:color="0000FF"/>
            </w:tcBorders>
            <w:gridSpan w:val="20"/>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Agreement between LivePerson and Alex Spinelli, dated as of January 12, 2018 (incorporated by reference to Exhibit 10.1 to</w:t>
              </w:r>
            </w:hyperlink>
          </w:p>
        </w:tc>
        <w:tc>
          <w:tcPr>
            <w:tcW w:w="140" w:type="dxa"/>
            <w:vAlign w:val="bottom"/>
            <w:gridSpan w:val="6"/>
          </w:tcPr>
          <w:p>
            <w:pPr>
              <w:spacing w:after="0"/>
              <w:rPr>
                <w:sz w:val="21"/>
                <w:szCs w:val="21"/>
                <w:color w:val="auto"/>
              </w:rPr>
            </w:pPr>
          </w:p>
        </w:tc>
      </w:tr>
      <w:tr>
        <w:trPr>
          <w:trHeight w:val="196"/>
        </w:trPr>
        <w:tc>
          <w:tcPr>
            <w:tcW w:w="1580" w:type="dxa"/>
            <w:vAlign w:val="bottom"/>
          </w:tcPr>
          <w:p>
            <w:pPr>
              <w:spacing w:after="0"/>
              <w:rPr>
                <w:sz w:val="17"/>
                <w:szCs w:val="17"/>
                <w:color w:val="auto"/>
              </w:rPr>
            </w:pPr>
          </w:p>
        </w:tc>
        <w:tc>
          <w:tcPr>
            <w:tcW w:w="90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LivePerson’s Quarterly Report on Form 10-Q for the quarter ended March 31, 2018, filed May 8, 2018 (File No. 000-30141))</w:t>
              </w:r>
            </w:hyperlink>
          </w:p>
        </w:tc>
        <w:tc>
          <w:tcPr>
            <w:tcW w:w="120" w:type="dxa"/>
            <w:vAlign w:val="bottom"/>
            <w:gridSpan w:val="5"/>
          </w:tcPr>
          <w:p>
            <w:pPr>
              <w:spacing w:after="0"/>
              <w:rPr>
                <w:sz w:val="17"/>
                <w:szCs w:val="17"/>
                <w:color w:val="auto"/>
              </w:rPr>
            </w:pPr>
          </w:p>
        </w:tc>
      </w:tr>
      <w:tr>
        <w:trPr>
          <w:trHeight w:val="250"/>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10.16*</w:t>
            </w:r>
          </w:p>
        </w:tc>
        <w:tc>
          <w:tcPr>
            <w:tcW w:w="9180" w:type="dxa"/>
            <w:vAlign w:val="bottom"/>
            <w:gridSpan w:val="26"/>
          </w:tcPr>
          <w:p>
            <w:pPr>
              <w:spacing w:after="0"/>
              <w:rPr>
                <w:rFonts w:ascii="Arial" w:cs="Arial" w:eastAsia="Arial" w:hAnsi="Arial"/>
                <w:sz w:val="18"/>
                <w:szCs w:val="18"/>
                <w:color w:val="0000FF"/>
                <w:w w:val="90"/>
              </w:rPr>
            </w:pPr>
            <w:hyperlink r:id="rId91">
              <w:r>
                <w:rPr>
                  <w:rFonts w:ascii="Arial" w:cs="Arial" w:eastAsia="Arial" w:hAnsi="Arial"/>
                  <w:sz w:val="18"/>
                  <w:szCs w:val="18"/>
                  <w:color w:val="0000FF"/>
                  <w:w w:val="90"/>
                </w:rPr>
                <w:t>Agreement between LivePerson and Chris Greiner, dated as of February 19, 2018 (incorporated by reference to Exhibit 10.2 to</w:t>
              </w:r>
            </w:hyperlink>
          </w:p>
        </w:tc>
      </w:tr>
      <w:tr>
        <w:trPr>
          <w:trHeight w:val="196"/>
        </w:trPr>
        <w:tc>
          <w:tcPr>
            <w:tcW w:w="1580" w:type="dxa"/>
            <w:vAlign w:val="bottom"/>
          </w:tcPr>
          <w:p>
            <w:pPr>
              <w:spacing w:after="0"/>
              <w:rPr>
                <w:sz w:val="17"/>
                <w:szCs w:val="17"/>
                <w:color w:val="auto"/>
              </w:rPr>
            </w:pPr>
          </w:p>
        </w:tc>
        <w:tc>
          <w:tcPr>
            <w:tcW w:w="906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LivePerson’s Quarterly Report on Form 10-Q for the quarter ended March 31, 2018, filed May 8, 2018 (File No. 000-30141))</w:t>
              </w:r>
            </w:hyperlink>
          </w:p>
        </w:tc>
        <w:tc>
          <w:tcPr>
            <w:tcW w:w="80" w:type="dxa"/>
            <w:vAlign w:val="bottom"/>
            <w:tcBorders>
              <w:top w:val="single" w:sz="8" w:color="0000FF"/>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466"/>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10.17*</w:t>
            </w:r>
          </w:p>
        </w:tc>
        <w:tc>
          <w:tcPr>
            <w:tcW w:w="9100" w:type="dxa"/>
            <w:vAlign w:val="bottom"/>
            <w:tcBorders>
              <w:bottom w:val="single" w:sz="8" w:color="0000FF"/>
            </w:tcBorders>
            <w:gridSpan w:val="23"/>
          </w:tcPr>
          <w:p>
            <w:pPr>
              <w:spacing w:after="0"/>
              <w:rPr>
                <w:rFonts w:ascii="Arial" w:cs="Arial" w:eastAsia="Arial" w:hAnsi="Arial"/>
                <w:sz w:val="18"/>
                <w:szCs w:val="18"/>
                <w:color w:val="0000FF"/>
                <w:w w:val="91"/>
              </w:rPr>
            </w:pPr>
            <w:hyperlink r:id="rId92">
              <w:r>
                <w:rPr>
                  <w:rFonts w:ascii="Arial" w:cs="Arial" w:eastAsia="Arial" w:hAnsi="Arial"/>
                  <w:sz w:val="18"/>
                  <w:szCs w:val="18"/>
                  <w:color w:val="0000FF"/>
                  <w:w w:val="91"/>
                </w:rPr>
                <w:t>Long Term Incentive Plan dated July 31, 2018 (incorporated by reference to Exhibit 10.1 to LivePerson’s Quarterly Report on</w:t>
              </w:r>
            </w:hyperlink>
          </w:p>
        </w:tc>
        <w:tc>
          <w:tcPr>
            <w:tcW w:w="80" w:type="dxa"/>
            <w:vAlign w:val="bottom"/>
            <w:gridSpan w:val="3"/>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Form 10-Q for the quarter ended June 30, 2018 filed on August 6, 2018 (File No. 000-30141))</w:t>
              </w:r>
            </w:hyperlink>
          </w:p>
        </w:tc>
      </w:tr>
      <w:tr>
        <w:trPr>
          <w:trHeight w:val="20"/>
        </w:trPr>
        <w:tc>
          <w:tcPr>
            <w:tcW w:w="15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66"/>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10.18*</w:t>
            </w:r>
          </w:p>
        </w:tc>
        <w:tc>
          <w:tcPr>
            <w:tcW w:w="9180" w:type="dxa"/>
            <w:vAlign w:val="bottom"/>
            <w:gridSpan w:val="26"/>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Separation Agreement General Release between LivePerson and Eran Vanounou, dated as of April 30, 2018 (incorporated by</w:t>
              </w:r>
            </w:hyperlink>
          </w:p>
        </w:tc>
      </w:tr>
      <w:tr>
        <w:trPr>
          <w:trHeight w:val="20"/>
        </w:trPr>
        <w:tc>
          <w:tcPr>
            <w:tcW w:w="15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200" w:type="dxa"/>
            <w:vAlign w:val="bottom"/>
            <w:gridSpan w:val="6"/>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w w:val="91"/>
              </w:rPr>
            </w:pPr>
            <w:hyperlink r:id="rId93">
              <w:r>
                <w:rPr>
                  <w:rFonts w:ascii="Arial" w:cs="Arial" w:eastAsia="Arial" w:hAnsi="Arial"/>
                  <w:sz w:val="18"/>
                  <w:szCs w:val="18"/>
                  <w:color w:val="0000FF"/>
                  <w:w w:val="91"/>
                </w:rPr>
                <w:t>reference to Exhibit 10.2 to LivePerson’s Quarterly Report on Form 10-Q for the quarter ended June 30, 2018, filed on August</w:t>
              </w:r>
            </w:hyperlink>
          </w:p>
        </w:tc>
      </w:tr>
      <w:tr>
        <w:trPr>
          <w:trHeight w:val="196"/>
        </w:trPr>
        <w:tc>
          <w:tcPr>
            <w:tcW w:w="1580" w:type="dxa"/>
            <w:vAlign w:val="bottom"/>
          </w:tcPr>
          <w:p>
            <w:pPr>
              <w:spacing w:after="0"/>
              <w:rPr>
                <w:sz w:val="17"/>
                <w:szCs w:val="17"/>
                <w:color w:val="auto"/>
              </w:rPr>
            </w:pPr>
          </w:p>
        </w:tc>
        <w:tc>
          <w:tcPr>
            <w:tcW w:w="91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6, 2018 (File No. 000-30141))</w:t>
              </w:r>
            </w:hyperlink>
          </w:p>
        </w:tc>
        <w:tc>
          <w:tcPr>
            <w:tcW w:w="60" w:type="dxa"/>
            <w:vAlign w:val="bottom"/>
            <w:gridSpan w:val="2"/>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66"/>
        </w:trPr>
        <w:tc>
          <w:tcPr>
            <w:tcW w:w="1580" w:type="dxa"/>
            <w:vAlign w:val="bottom"/>
          </w:tcPr>
          <w:p>
            <w:pPr>
              <w:jc w:val="center"/>
              <w:ind w:right="1010"/>
              <w:spacing w:after="0"/>
              <w:rPr>
                <w:sz w:val="20"/>
                <w:szCs w:val="20"/>
                <w:color w:val="auto"/>
              </w:rPr>
            </w:pPr>
            <w:r>
              <w:rPr>
                <w:rFonts w:ascii="Arial" w:cs="Arial" w:eastAsia="Arial" w:hAnsi="Arial"/>
                <w:sz w:val="18"/>
                <w:szCs w:val="18"/>
                <w:color w:val="auto"/>
                <w:w w:val="88"/>
              </w:rPr>
              <w:t>10.19</w:t>
            </w:r>
          </w:p>
        </w:tc>
        <w:tc>
          <w:tcPr>
            <w:tcW w:w="9020" w:type="dxa"/>
            <w:vAlign w:val="bottom"/>
            <w:tcBorders>
              <w:bottom w:val="single" w:sz="8" w:color="0000FF"/>
            </w:tcBorders>
            <w:gridSpan w:val="19"/>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Form of Capped Call Transaction Confirmation (incorporated by reference to Exhibit 10.1 toLivePerson’s Form 8-K filed on</w:t>
              </w:r>
            </w:hyperlink>
          </w:p>
        </w:tc>
        <w:tc>
          <w:tcPr>
            <w:tcW w:w="160" w:type="dxa"/>
            <w:vAlign w:val="bottom"/>
            <w:gridSpan w:val="7"/>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March 5, 2019 (000-30141))</w:t>
              </w:r>
            </w:hyperlink>
          </w:p>
        </w:tc>
      </w:tr>
      <w:tr>
        <w:trPr>
          <w:trHeight w:val="20"/>
        </w:trPr>
        <w:tc>
          <w:tcPr>
            <w:tcW w:w="15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66"/>
        </w:trPr>
        <w:tc>
          <w:tcPr>
            <w:tcW w:w="1580" w:type="dxa"/>
            <w:vAlign w:val="bottom"/>
          </w:tcPr>
          <w:p>
            <w:pPr>
              <w:jc w:val="center"/>
              <w:ind w:right="1010"/>
              <w:spacing w:after="0"/>
              <w:rPr>
                <w:sz w:val="20"/>
                <w:szCs w:val="20"/>
                <w:color w:val="auto"/>
              </w:rPr>
            </w:pPr>
            <w:r>
              <w:rPr>
                <w:rFonts w:ascii="Arial" w:cs="Arial" w:eastAsia="Arial" w:hAnsi="Arial"/>
                <w:sz w:val="18"/>
                <w:szCs w:val="18"/>
                <w:color w:val="auto"/>
                <w:w w:val="88"/>
              </w:rPr>
              <w:t>10.20</w:t>
            </w:r>
          </w:p>
        </w:tc>
        <w:tc>
          <w:tcPr>
            <w:tcW w:w="9180" w:type="dxa"/>
            <w:vAlign w:val="bottom"/>
            <w:gridSpan w:val="26"/>
          </w:tcPr>
          <w:p>
            <w:pPr>
              <w:spacing w:after="0"/>
              <w:rPr>
                <w:rFonts w:ascii="Arial" w:cs="Arial" w:eastAsia="Arial" w:hAnsi="Arial"/>
                <w:sz w:val="18"/>
                <w:szCs w:val="18"/>
                <w:color w:val="0000FF"/>
                <w:w w:val="93"/>
              </w:rPr>
            </w:pPr>
            <w:hyperlink r:id="rId95">
              <w:r>
                <w:rPr>
                  <w:rFonts w:ascii="Arial" w:cs="Arial" w:eastAsia="Arial" w:hAnsi="Arial"/>
                  <w:sz w:val="18"/>
                  <w:szCs w:val="18"/>
                  <w:color w:val="0000FF"/>
                  <w:w w:val="93"/>
                </w:rPr>
                <w:t>Form of Additional Capped Call Transaction Confirmation (incorporated by reference to Exhibit 10.1to LivePerson’s Form 8-</w:t>
              </w:r>
            </w:hyperlink>
          </w:p>
        </w:tc>
      </w:tr>
      <w:tr>
        <w:trPr>
          <w:trHeight w:val="196"/>
        </w:trPr>
        <w:tc>
          <w:tcPr>
            <w:tcW w:w="158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K filed on March 14, 2019 (000-30141))</w:t>
              </w:r>
            </w:hyperlink>
          </w:p>
        </w:tc>
        <w:tc>
          <w:tcPr>
            <w:tcW w:w="6140" w:type="dxa"/>
            <w:vAlign w:val="bottom"/>
            <w:tcBorders>
              <w:top w:val="single" w:sz="8" w:color="0000FF"/>
            </w:tcBorders>
            <w:gridSpan w:val="17"/>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466"/>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10.21*</w:t>
            </w:r>
          </w:p>
        </w:tc>
        <w:tc>
          <w:tcPr>
            <w:tcW w:w="9180" w:type="dxa"/>
            <w:vAlign w:val="bottom"/>
            <w:tcBorders>
              <w:bottom w:val="single" w:sz="8" w:color="0000FF"/>
            </w:tcBorders>
            <w:gridSpan w:val="26"/>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Nonstatutory Stock Option Agreement, by and between LivePerson, Inc. and Robert P. LoCascio,dated as of February 21, 2019</w:t>
              </w:r>
            </w:hyperlink>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w w:val="94"/>
              </w:rPr>
            </w:pPr>
            <w:hyperlink r:id="rId96">
              <w:r>
                <w:rPr>
                  <w:rFonts w:ascii="Arial" w:cs="Arial" w:eastAsia="Arial" w:hAnsi="Arial"/>
                  <w:sz w:val="18"/>
                  <w:szCs w:val="18"/>
                  <w:color w:val="0000FF"/>
                  <w:w w:val="94"/>
                </w:rPr>
                <w:t>(incorporated by reference to Exhibit 10.3 to LivePerson’s QuarterlyReport on Form 10-Q for the quarter ended March 31,</w:t>
              </w:r>
            </w:hyperlink>
          </w:p>
        </w:tc>
      </w:tr>
      <w:tr>
        <w:trPr>
          <w:trHeight w:val="196"/>
        </w:trPr>
        <w:tc>
          <w:tcPr>
            <w:tcW w:w="1580" w:type="dxa"/>
            <w:vAlign w:val="bottom"/>
          </w:tcPr>
          <w:p>
            <w:pPr>
              <w:spacing w:after="0"/>
              <w:rPr>
                <w:sz w:val="17"/>
                <w:szCs w:val="17"/>
                <w:color w:val="auto"/>
              </w:rPr>
            </w:pPr>
          </w:p>
        </w:tc>
        <w:tc>
          <w:tcPr>
            <w:tcW w:w="88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2019, filed on May 7, 2019 (File No.000-30141))</w:t>
              </w:r>
            </w:hyperlink>
          </w:p>
        </w:tc>
        <w:tc>
          <w:tcPr>
            <w:tcW w:w="340" w:type="dxa"/>
            <w:vAlign w:val="bottom"/>
            <w:gridSpan w:val="12"/>
          </w:tcPr>
          <w:p>
            <w:pPr>
              <w:spacing w:after="0"/>
              <w:rPr>
                <w:sz w:val="17"/>
                <w:szCs w:val="17"/>
                <w:color w:val="auto"/>
              </w:rPr>
            </w:pPr>
          </w:p>
        </w:tc>
      </w:tr>
      <w:tr>
        <w:trPr>
          <w:trHeight w:val="20"/>
        </w:trPr>
        <w:tc>
          <w:tcPr>
            <w:tcW w:w="1580" w:type="dxa"/>
            <w:vAlign w:val="bottom"/>
          </w:tcPr>
          <w:p>
            <w:pPr>
              <w:spacing w:after="0" w:line="20" w:lineRule="exact"/>
              <w:rPr>
                <w:sz w:val="1"/>
                <w:szCs w:val="1"/>
                <w:color w:val="auto"/>
              </w:rPr>
            </w:pPr>
          </w:p>
        </w:tc>
        <w:tc>
          <w:tcPr>
            <w:tcW w:w="3560" w:type="dxa"/>
            <w:vAlign w:val="bottom"/>
            <w:gridSpan w:val="6"/>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66"/>
        </w:trPr>
        <w:tc>
          <w:tcPr>
            <w:tcW w:w="1580" w:type="dxa"/>
            <w:vAlign w:val="bottom"/>
          </w:tcPr>
          <w:p>
            <w:pPr>
              <w:jc w:val="center"/>
              <w:ind w:right="990"/>
              <w:spacing w:after="0"/>
              <w:rPr>
                <w:sz w:val="20"/>
                <w:szCs w:val="20"/>
                <w:color w:val="auto"/>
              </w:rPr>
            </w:pPr>
            <w:r>
              <w:rPr>
                <w:rFonts w:ascii="Arial" w:cs="Arial" w:eastAsia="Arial" w:hAnsi="Arial"/>
                <w:sz w:val="18"/>
                <w:szCs w:val="18"/>
                <w:color w:val="auto"/>
                <w:w w:val="95"/>
              </w:rPr>
              <w:t>10.22*</w:t>
            </w:r>
          </w:p>
        </w:tc>
        <w:tc>
          <w:tcPr>
            <w:tcW w:w="9060" w:type="dxa"/>
            <w:vAlign w:val="bottom"/>
            <w:tcBorders>
              <w:bottom w:val="single" w:sz="8" w:color="0000FF"/>
            </w:tcBorders>
            <w:gridSpan w:val="21"/>
          </w:tcPr>
          <w:p>
            <w:pPr>
              <w:spacing w:after="0"/>
              <w:rPr>
                <w:rFonts w:ascii="Arial" w:cs="Arial" w:eastAsia="Arial" w:hAnsi="Arial"/>
                <w:sz w:val="18"/>
                <w:szCs w:val="18"/>
                <w:color w:val="0000FF"/>
                <w:w w:val="90"/>
              </w:rPr>
            </w:pPr>
            <w:hyperlink r:id="rId97">
              <w:r>
                <w:rPr>
                  <w:rFonts w:ascii="Arial" w:cs="Arial" w:eastAsia="Arial" w:hAnsi="Arial"/>
                  <w:sz w:val="18"/>
                  <w:szCs w:val="18"/>
                  <w:color w:val="0000FF"/>
                  <w:w w:val="90"/>
                </w:rPr>
                <w:t>2009 Stock Incentive Plan Restricted Stock Unit Award Agreement, by and between LivePerson, Inc.and Robert P. LoCascio,</w:t>
              </w:r>
            </w:hyperlink>
          </w:p>
        </w:tc>
        <w:tc>
          <w:tcPr>
            <w:tcW w:w="120" w:type="dxa"/>
            <w:vAlign w:val="bottom"/>
            <w:gridSpan w:val="5"/>
          </w:tcPr>
          <w:p>
            <w:pPr>
              <w:spacing w:after="0"/>
              <w:rPr>
                <w:sz w:val="24"/>
                <w:szCs w:val="24"/>
                <w:color w:val="auto"/>
              </w:rPr>
            </w:pPr>
          </w:p>
        </w:tc>
      </w:tr>
      <w:tr>
        <w:trPr>
          <w:trHeight w:val="196"/>
        </w:trPr>
        <w:tc>
          <w:tcPr>
            <w:tcW w:w="1580" w:type="dxa"/>
            <w:vAlign w:val="bottom"/>
          </w:tcPr>
          <w:p>
            <w:pPr>
              <w:spacing w:after="0"/>
              <w:rPr>
                <w:sz w:val="17"/>
                <w:szCs w:val="17"/>
                <w:color w:val="auto"/>
              </w:rPr>
            </w:pPr>
          </w:p>
        </w:tc>
        <w:tc>
          <w:tcPr>
            <w:tcW w:w="89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dated as of February 21, 2019 (incorporated by reference to Exhibit 10.4 toLivePerson’s Quarterly Report on Form 10-Q for</w:t>
              </w:r>
            </w:hyperlink>
          </w:p>
        </w:tc>
        <w:tc>
          <w:tcPr>
            <w:tcW w:w="220" w:type="dxa"/>
            <w:vAlign w:val="bottom"/>
            <w:gridSpan w:val="8"/>
          </w:tcPr>
          <w:p>
            <w:pPr>
              <w:spacing w:after="0"/>
              <w:rPr>
                <w:sz w:val="17"/>
                <w:szCs w:val="17"/>
                <w:color w:val="auto"/>
              </w:rPr>
            </w:pPr>
          </w:p>
        </w:tc>
      </w:tr>
      <w:tr>
        <w:trPr>
          <w:trHeight w:val="196"/>
        </w:trPr>
        <w:tc>
          <w:tcPr>
            <w:tcW w:w="1580" w:type="dxa"/>
            <w:vAlign w:val="bottom"/>
          </w:tcPr>
          <w:p>
            <w:pPr>
              <w:spacing w:after="0"/>
              <w:rPr>
                <w:sz w:val="17"/>
                <w:szCs w:val="17"/>
                <w:color w:val="auto"/>
              </w:rPr>
            </w:pPr>
          </w:p>
        </w:tc>
        <w:tc>
          <w:tcPr>
            <w:tcW w:w="9180" w:type="dxa"/>
            <w:vAlign w:val="bottom"/>
            <w:gridSpan w:val="26"/>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the quarter ended March 31, 2019, filed on May 7,2019 (File No. 000-30141))</w:t>
              </w:r>
            </w:hyperlink>
          </w:p>
        </w:tc>
      </w:tr>
      <w:tr>
        <w:trPr>
          <w:trHeight w:val="20"/>
        </w:trPr>
        <w:tc>
          <w:tcPr>
            <w:tcW w:w="15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860" w:top="1134" w:right="279" w:bottom="1440" w:gutter="0" w:footer="0" w:header="0"/>
        </w:sectPr>
      </w:pPr>
    </w:p>
    <w:p>
      <w:pPr>
        <w:spacing w:after="0" w:line="272" w:lineRule="exact"/>
        <w:rPr>
          <w:sz w:val="20"/>
          <w:szCs w:val="20"/>
          <w:color w:val="auto"/>
        </w:rPr>
      </w:pPr>
    </w:p>
    <w:p>
      <w:pPr>
        <w:ind w:left="496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760"/>
          </w:cols>
          <w:pgMar w:left="860" w:top="1134" w:right="279" w:bottom="1440" w:gutter="0" w:footer="0" w:header="0"/>
          <w:type w:val="continuous"/>
        </w:sectPr>
      </w:pPr>
    </w:p>
    <w:bookmarkStart w:id="118" w:name="page119"/>
    <w:bookmarkEnd w:id="118"/>
    <w:tbl>
      <w:tblPr>
        <w:tblLayout w:type="fixed"/>
        <w:tblInd w:w="480" w:type="dxa"/>
        <w:tblCellMar>
          <w:top w:w="0" w:type="dxa"/>
          <w:left w:w="0" w:type="dxa"/>
          <w:bottom w:w="0" w:type="dxa"/>
          <w:right w:w="0" w:type="dxa"/>
        </w:tblCellMar>
      </w:tblPr>
      <w:tr>
        <w:trPr>
          <w:trHeight w:val="207"/>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10.23*</w:t>
            </w:r>
          </w:p>
        </w:tc>
        <w:tc>
          <w:tcPr>
            <w:tcW w:w="9120" w:type="dxa"/>
            <w:vAlign w:val="bottom"/>
            <w:gridSpan w:val="10"/>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LivePerson, Inc. 2019 Stock Incentive Plan (incorporated by reference to Exhibit 99.1 to LivePerson’s Registration Statement</w:t>
              </w:r>
            </w:hyperlink>
          </w:p>
        </w:tc>
      </w:tr>
      <w:tr>
        <w:trPr>
          <w:trHeight w:val="196"/>
        </w:trPr>
        <w:tc>
          <w:tcPr>
            <w:tcW w:w="1720" w:type="dxa"/>
            <w:vAlign w:val="bottom"/>
          </w:tcPr>
          <w:p>
            <w:pPr>
              <w:spacing w:after="0"/>
              <w:rPr>
                <w:sz w:val="17"/>
                <w:szCs w:val="17"/>
                <w:color w:val="auto"/>
              </w:rPr>
            </w:pPr>
          </w:p>
        </w:tc>
        <w:tc>
          <w:tcPr>
            <w:tcW w:w="90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98">
              <w:r>
                <w:rPr>
                  <w:rFonts w:ascii="Arial" w:cs="Arial" w:eastAsia="Arial" w:hAnsi="Arial"/>
                  <w:sz w:val="18"/>
                  <w:szCs w:val="18"/>
                  <w:color w:val="0000FF"/>
                </w:rPr>
                <w:t>on Form S-8 filed on November 13, 2019 (File No. 333-234676))</w:t>
              </w:r>
            </w:hyperlink>
          </w:p>
        </w:tc>
        <w:tc>
          <w:tcPr>
            <w:tcW w:w="6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66"/>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5"/>
              </w:rPr>
              <w:t>10.24*</w:t>
            </w:r>
          </w:p>
        </w:tc>
        <w:tc>
          <w:tcPr>
            <w:tcW w:w="9020" w:type="dxa"/>
            <w:vAlign w:val="bottom"/>
            <w:tcBorders>
              <w:bottom w:val="single" w:sz="8" w:color="0000FF"/>
            </w:tcBorders>
            <w:gridSpan w:val="8"/>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LivePerson, Inc. 2019 Employee Stock Purchase Plan (incorporated by reference to Exhibit 99.2 toLivePerson’s Registration</w:t>
              </w:r>
            </w:hyperlink>
          </w:p>
        </w:tc>
        <w:tc>
          <w:tcPr>
            <w:tcW w:w="100" w:type="dxa"/>
            <w:vAlign w:val="bottom"/>
            <w:gridSpan w:val="2"/>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550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Statement on Form S-8 filed on November 13, 2019 (File No. 333-234676))</w:t>
              </w:r>
            </w:hyperlink>
          </w:p>
        </w:tc>
        <w:tc>
          <w:tcPr>
            <w:tcW w:w="3620" w:type="dxa"/>
            <w:vAlign w:val="bottom"/>
            <w:gridSpan w:val="6"/>
          </w:tcPr>
          <w:p>
            <w:pPr>
              <w:spacing w:after="0"/>
              <w:rPr>
                <w:sz w:val="17"/>
                <w:szCs w:val="17"/>
                <w:color w:val="auto"/>
              </w:rPr>
            </w:pPr>
          </w:p>
        </w:tc>
      </w:tr>
      <w:tr>
        <w:trPr>
          <w:trHeight w:val="709"/>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21.1</w:t>
            </w:r>
          </w:p>
        </w:tc>
        <w:tc>
          <w:tcPr>
            <w:tcW w:w="9120" w:type="dxa"/>
            <w:vAlign w:val="bottom"/>
            <w:gridSpan w:val="10"/>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Subsidiaries</w:t>
              </w:r>
            </w:hyperlink>
          </w:p>
        </w:tc>
      </w:tr>
      <w:tr>
        <w:trPr>
          <w:trHeight w:val="20"/>
        </w:trPr>
        <w:tc>
          <w:tcPr>
            <w:tcW w:w="17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23.1</w:t>
            </w:r>
          </w:p>
        </w:tc>
        <w:tc>
          <w:tcPr>
            <w:tcW w:w="9120" w:type="dxa"/>
            <w:vAlign w:val="bottom"/>
            <w:gridSpan w:val="10"/>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Consent of BDO USA, LLP, an Independent Registered Public Accounting Firm</w:t>
              </w:r>
            </w:hyperlink>
          </w:p>
        </w:tc>
      </w:tr>
      <w:tr>
        <w:trPr>
          <w:trHeight w:val="20"/>
        </w:trPr>
        <w:tc>
          <w:tcPr>
            <w:tcW w:w="17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31.1</w:t>
            </w:r>
          </w:p>
        </w:tc>
        <w:tc>
          <w:tcPr>
            <w:tcW w:w="90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26">
              <w:r>
                <w:rPr>
                  <w:rFonts w:ascii="Arial" w:cs="Arial" w:eastAsia="Arial" w:hAnsi="Arial"/>
                  <w:sz w:val="18"/>
                  <w:szCs w:val="18"/>
                  <w:color w:val="0000FF"/>
                  <w:w w:val="91"/>
                </w:rPr>
                <w:t>Certification by Chief Executive Officer pursuant to Exchange Act Rule 13a-14(a), as adopted pursuant to Section 302 of the</w:t>
              </w:r>
            </w:hyperlink>
          </w:p>
        </w:tc>
        <w:tc>
          <w:tcPr>
            <w:tcW w:w="100" w:type="dxa"/>
            <w:vAlign w:val="bottom"/>
            <w:gridSpan w:val="2"/>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120" w:type="dxa"/>
            <w:vAlign w:val="bottom"/>
            <w:gridSpan w:val="10"/>
          </w:tcPr>
          <w:p>
            <w:pPr>
              <w:spacing w:after="0" w:line="196" w:lineRule="exact"/>
              <w:rPr>
                <w:rFonts w:ascii="Arial" w:cs="Arial" w:eastAsia="Arial" w:hAnsi="Arial"/>
                <w:sz w:val="18"/>
                <w:szCs w:val="18"/>
                <w:color w:val="0000FF"/>
              </w:rPr>
            </w:pPr>
            <w:hyperlink w:anchor="page126">
              <w:r>
                <w:rPr>
                  <w:rFonts w:ascii="Arial" w:cs="Arial" w:eastAsia="Arial" w:hAnsi="Arial"/>
                  <w:sz w:val="18"/>
                  <w:szCs w:val="18"/>
                  <w:color w:val="0000FF"/>
                </w:rPr>
                <w:t>Sarbanes-Oxley Act of 2002</w:t>
              </w:r>
            </w:hyperlink>
          </w:p>
        </w:tc>
      </w:tr>
      <w:tr>
        <w:trPr>
          <w:trHeight w:val="20"/>
        </w:trPr>
        <w:tc>
          <w:tcPr>
            <w:tcW w:w="17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41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31.2</w:t>
            </w:r>
          </w:p>
        </w:tc>
        <w:tc>
          <w:tcPr>
            <w:tcW w:w="91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127">
              <w:r>
                <w:rPr>
                  <w:rFonts w:ascii="Arial" w:cs="Arial" w:eastAsia="Arial" w:hAnsi="Arial"/>
                  <w:sz w:val="18"/>
                  <w:szCs w:val="18"/>
                  <w:color w:val="0000FF"/>
                  <w:w w:val="91"/>
                </w:rPr>
                <w:t>Certification by principal financial officer pursuant to Exchange Act Rule 13a-14(a), as adopted pursuant to Section 302 of the</w:t>
              </w:r>
            </w:hyperlink>
          </w:p>
        </w:tc>
      </w:tr>
      <w:tr>
        <w:trPr>
          <w:trHeight w:val="196"/>
        </w:trPr>
        <w:tc>
          <w:tcPr>
            <w:tcW w:w="1720" w:type="dxa"/>
            <w:vAlign w:val="bottom"/>
          </w:tcPr>
          <w:p>
            <w:pPr>
              <w:spacing w:after="0"/>
              <w:rPr>
                <w:sz w:val="17"/>
                <w:szCs w:val="17"/>
                <w:color w:val="auto"/>
              </w:rPr>
            </w:pPr>
          </w:p>
        </w:tc>
        <w:tc>
          <w:tcPr>
            <w:tcW w:w="9120" w:type="dxa"/>
            <w:vAlign w:val="bottom"/>
            <w:gridSpan w:val="10"/>
          </w:tcPr>
          <w:p>
            <w:pPr>
              <w:spacing w:after="0" w:line="196" w:lineRule="exact"/>
              <w:rPr>
                <w:rFonts w:ascii="Arial" w:cs="Arial" w:eastAsia="Arial" w:hAnsi="Arial"/>
                <w:sz w:val="18"/>
                <w:szCs w:val="18"/>
                <w:color w:val="0000FF"/>
              </w:rPr>
            </w:pPr>
            <w:hyperlink w:anchor="page127">
              <w:r>
                <w:rPr>
                  <w:rFonts w:ascii="Arial" w:cs="Arial" w:eastAsia="Arial" w:hAnsi="Arial"/>
                  <w:sz w:val="18"/>
                  <w:szCs w:val="18"/>
                  <w:color w:val="0000FF"/>
                </w:rPr>
                <w:t>Sarbanes-Oxley Act of 2002</w:t>
              </w:r>
            </w:hyperlink>
          </w:p>
        </w:tc>
      </w:tr>
      <w:tr>
        <w:trPr>
          <w:trHeight w:val="20"/>
        </w:trPr>
        <w:tc>
          <w:tcPr>
            <w:tcW w:w="17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412"/>
        </w:trPr>
        <w:tc>
          <w:tcPr>
            <w:tcW w:w="1720" w:type="dxa"/>
            <w:vAlign w:val="bottom"/>
          </w:tcPr>
          <w:p>
            <w:pPr>
              <w:jc w:val="center"/>
              <w:ind w:right="850"/>
              <w:spacing w:after="0"/>
              <w:rPr>
                <w:sz w:val="20"/>
                <w:szCs w:val="20"/>
                <w:color w:val="auto"/>
              </w:rPr>
            </w:pPr>
            <w:r>
              <w:rPr>
                <w:rFonts w:ascii="Arial" w:cs="Arial" w:eastAsia="Arial" w:hAnsi="Arial"/>
                <w:sz w:val="18"/>
                <w:szCs w:val="18"/>
                <w:color w:val="auto"/>
              </w:rPr>
              <w:t>32.1**</w:t>
            </w:r>
          </w:p>
        </w:tc>
        <w:tc>
          <w:tcPr>
            <w:tcW w:w="85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28">
              <w:r>
                <w:rPr>
                  <w:rFonts w:ascii="Arial" w:cs="Arial" w:eastAsia="Arial" w:hAnsi="Arial"/>
                  <w:sz w:val="18"/>
                  <w:szCs w:val="18"/>
                  <w:color w:val="0000FF"/>
                  <w:w w:val="91"/>
                </w:rPr>
                <w:t>Certification by Chief Executive Officer pursuant to 18 U.S.C. Section 1350, as adopted pursuant to Section 906 of the</w:t>
              </w:r>
            </w:hyperlink>
          </w:p>
        </w:tc>
        <w:tc>
          <w:tcPr>
            <w:tcW w:w="540" w:type="dxa"/>
            <w:vAlign w:val="bottom"/>
            <w:gridSpan w:val="4"/>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120" w:type="dxa"/>
            <w:vAlign w:val="bottom"/>
            <w:gridSpan w:val="10"/>
          </w:tcPr>
          <w:p>
            <w:pPr>
              <w:spacing w:after="0" w:line="196" w:lineRule="exact"/>
              <w:rPr>
                <w:rFonts w:ascii="Arial" w:cs="Arial" w:eastAsia="Arial" w:hAnsi="Arial"/>
                <w:sz w:val="18"/>
                <w:szCs w:val="18"/>
                <w:color w:val="0000FF"/>
              </w:rPr>
            </w:pPr>
            <w:hyperlink w:anchor="page128">
              <w:r>
                <w:rPr>
                  <w:rFonts w:ascii="Arial" w:cs="Arial" w:eastAsia="Arial" w:hAnsi="Arial"/>
                  <w:sz w:val="18"/>
                  <w:szCs w:val="18"/>
                  <w:color w:val="0000FF"/>
                </w:rPr>
                <w:t>Sarbanes-Oxley Act of 2002</w:t>
              </w:r>
            </w:hyperlink>
          </w:p>
        </w:tc>
      </w:tr>
      <w:tr>
        <w:trPr>
          <w:trHeight w:val="20"/>
        </w:trPr>
        <w:tc>
          <w:tcPr>
            <w:tcW w:w="17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412"/>
        </w:trPr>
        <w:tc>
          <w:tcPr>
            <w:tcW w:w="1720" w:type="dxa"/>
            <w:vAlign w:val="bottom"/>
          </w:tcPr>
          <w:p>
            <w:pPr>
              <w:jc w:val="center"/>
              <w:ind w:right="850"/>
              <w:spacing w:after="0"/>
              <w:rPr>
                <w:sz w:val="20"/>
                <w:szCs w:val="20"/>
                <w:color w:val="auto"/>
              </w:rPr>
            </w:pPr>
            <w:r>
              <w:rPr>
                <w:rFonts w:ascii="Arial" w:cs="Arial" w:eastAsia="Arial" w:hAnsi="Arial"/>
                <w:sz w:val="18"/>
                <w:szCs w:val="18"/>
                <w:color w:val="auto"/>
              </w:rPr>
              <w:t>32.2**</w:t>
            </w:r>
          </w:p>
        </w:tc>
        <w:tc>
          <w:tcPr>
            <w:tcW w:w="9120" w:type="dxa"/>
            <w:vAlign w:val="bottom"/>
            <w:gridSpan w:val="10"/>
          </w:tcPr>
          <w:p>
            <w:pPr>
              <w:spacing w:after="0"/>
              <w:rPr>
                <w:rFonts w:ascii="Arial" w:cs="Arial" w:eastAsia="Arial" w:hAnsi="Arial"/>
                <w:sz w:val="18"/>
                <w:szCs w:val="18"/>
                <w:color w:val="0000FF"/>
                <w:w w:val="95"/>
              </w:rPr>
            </w:pPr>
            <w:hyperlink w:anchor="page129">
              <w:r>
                <w:rPr>
                  <w:rFonts w:ascii="Arial" w:cs="Arial" w:eastAsia="Arial" w:hAnsi="Arial"/>
                  <w:sz w:val="18"/>
                  <w:szCs w:val="18"/>
                  <w:color w:val="0000FF"/>
                  <w:w w:val="95"/>
                </w:rPr>
                <w:t>Certification by principal financial officer pursuant to 18 U.S.C. Section 1350, as adopted pursuant to Section 906 of the</w:t>
              </w:r>
            </w:hyperlink>
          </w:p>
        </w:tc>
      </w:tr>
      <w:tr>
        <w:trPr>
          <w:trHeight w:val="196"/>
        </w:trPr>
        <w:tc>
          <w:tcPr>
            <w:tcW w:w="1720" w:type="dxa"/>
            <w:vAlign w:val="bottom"/>
          </w:tcPr>
          <w:p>
            <w:pPr>
              <w:spacing w:after="0"/>
              <w:rPr>
                <w:sz w:val="17"/>
                <w:szCs w:val="17"/>
                <w:color w:val="auto"/>
              </w:rPr>
            </w:pPr>
          </w:p>
        </w:tc>
        <w:tc>
          <w:tcPr>
            <w:tcW w:w="868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129">
              <w:r>
                <w:rPr>
                  <w:rFonts w:ascii="Arial" w:cs="Arial" w:eastAsia="Arial" w:hAnsi="Arial"/>
                  <w:sz w:val="18"/>
                  <w:szCs w:val="18"/>
                  <w:color w:val="0000FF"/>
                </w:rPr>
                <w:t>Sarbanes-Oxley Act of 2002</w:t>
              </w:r>
            </w:hyperlink>
          </w:p>
        </w:tc>
        <w:tc>
          <w:tcPr>
            <w:tcW w:w="440" w:type="dxa"/>
            <w:vAlign w:val="bottom"/>
            <w:gridSpan w:val="3"/>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7060" w:type="dxa"/>
            <w:vAlign w:val="bottom"/>
            <w:gridSpan w:val="8"/>
          </w:tcPr>
          <w:p>
            <w:pPr>
              <w:spacing w:after="0" w:line="20" w:lineRule="exact"/>
              <w:rPr>
                <w:sz w:val="1"/>
                <w:szCs w:val="1"/>
                <w:color w:val="auto"/>
              </w:rPr>
            </w:pPr>
          </w:p>
        </w:tc>
      </w:tr>
      <w:tr>
        <w:trPr>
          <w:trHeight w:val="438"/>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3"/>
              </w:rPr>
              <w:t>101.INS†</w:t>
            </w:r>
          </w:p>
        </w:tc>
        <w:tc>
          <w:tcPr>
            <w:tcW w:w="9120" w:type="dxa"/>
            <w:vAlign w:val="bottom"/>
            <w:gridSpan w:val="10"/>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w:t>
            </w:r>
          </w:p>
        </w:tc>
      </w:tr>
      <w:tr>
        <w:trPr>
          <w:trHeight w:val="230"/>
        </w:trPr>
        <w:tc>
          <w:tcPr>
            <w:tcW w:w="1720" w:type="dxa"/>
            <w:vAlign w:val="bottom"/>
          </w:tcPr>
          <w:p>
            <w:pPr>
              <w:spacing w:after="0"/>
              <w:rPr>
                <w:sz w:val="20"/>
                <w:szCs w:val="20"/>
                <w:color w:val="auto"/>
              </w:rPr>
            </w:pPr>
          </w:p>
        </w:tc>
        <w:tc>
          <w:tcPr>
            <w:tcW w:w="9120" w:type="dxa"/>
            <w:vAlign w:val="bottom"/>
            <w:gridSpan w:val="10"/>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1"/>
              </w:rPr>
              <w:t>101.SCH†</w:t>
            </w:r>
          </w:p>
        </w:tc>
        <w:tc>
          <w:tcPr>
            <w:tcW w:w="91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4"/>
              </w:rPr>
              <w:t>101.CAL†</w:t>
            </w:r>
          </w:p>
        </w:tc>
        <w:tc>
          <w:tcPr>
            <w:tcW w:w="91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1"/>
              </w:rPr>
              <w:t>101.DEF†</w:t>
            </w:r>
          </w:p>
        </w:tc>
        <w:tc>
          <w:tcPr>
            <w:tcW w:w="91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720" w:type="dxa"/>
            <w:vAlign w:val="bottom"/>
          </w:tcPr>
          <w:p>
            <w:pPr>
              <w:jc w:val="center"/>
              <w:ind w:right="870"/>
              <w:spacing w:after="0"/>
              <w:rPr>
                <w:sz w:val="20"/>
                <w:szCs w:val="20"/>
                <w:color w:val="auto"/>
              </w:rPr>
            </w:pPr>
            <w:r>
              <w:rPr>
                <w:rFonts w:ascii="Arial" w:cs="Arial" w:eastAsia="Arial" w:hAnsi="Arial"/>
                <w:sz w:val="18"/>
                <w:szCs w:val="18"/>
                <w:color w:val="auto"/>
                <w:w w:val="96"/>
              </w:rPr>
              <w:t>101.LAB†</w:t>
            </w:r>
          </w:p>
        </w:tc>
        <w:tc>
          <w:tcPr>
            <w:tcW w:w="91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720" w:type="dxa"/>
            <w:vAlign w:val="bottom"/>
          </w:tcPr>
          <w:p>
            <w:pPr>
              <w:jc w:val="center"/>
              <w:ind w:right="850"/>
              <w:spacing w:after="0"/>
              <w:rPr>
                <w:sz w:val="20"/>
                <w:szCs w:val="20"/>
                <w:color w:val="auto"/>
              </w:rPr>
            </w:pPr>
            <w:r>
              <w:rPr>
                <w:rFonts w:ascii="Arial" w:cs="Arial" w:eastAsia="Arial" w:hAnsi="Arial"/>
                <w:sz w:val="18"/>
                <w:szCs w:val="18"/>
                <w:color w:val="auto"/>
                <w:w w:val="90"/>
              </w:rPr>
              <w:t>101.PRE†</w:t>
            </w:r>
          </w:p>
        </w:tc>
        <w:tc>
          <w:tcPr>
            <w:tcW w:w="912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2200" w:hanging="1469"/>
        <w:spacing w:after="0"/>
        <w:tabs>
          <w:tab w:leader="none" w:pos="22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117"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accompany the Annual Report on Form 10-K pursuant to Section 906 of the Sarbanes-Oxley Act of 2002 and shall not be deemed “filed” by the Company for purposes of Section 18 of the Securities Exchange Act of 1934, as amended.</w:t>
      </w:r>
    </w:p>
    <w:p>
      <w:pPr>
        <w:spacing w:after="0" w:line="16" w:lineRule="exact"/>
        <w:rPr>
          <w:sz w:val="20"/>
          <w:szCs w:val="20"/>
          <w:color w:val="auto"/>
        </w:rPr>
      </w:pPr>
    </w:p>
    <w:p>
      <w:pPr>
        <w:ind w:left="340" w:hanging="332"/>
        <w:spacing w:after="0" w:line="293"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the Registrant is deemed to have complied with the reporting obligation relating to the submission of interactive data files in such exhibits and is not subject to liability under any anti-fraud provisions of the federal securities laws as long as the Registrant has made a good faith attempt to comply with the submission requirements and promptly amends the interactive data files after becoming aware that the interactive data files fail to comply with the submission requirements. These interactive data files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1134" w:right="319" w:bottom="1440" w:gutter="0" w:footer="0" w:header="0"/>
        </w:sectPr>
      </w:pPr>
    </w:p>
    <w:bookmarkStart w:id="119" w:name="page120"/>
    <w:bookmarkEnd w:id="119"/>
    <w:p>
      <w:pPr>
        <w:ind w:left="7780"/>
        <w:spacing w:after="0"/>
        <w:rPr>
          <w:sz w:val="20"/>
          <w:szCs w:val="20"/>
          <w:color w:val="auto"/>
        </w:rPr>
      </w:pPr>
      <w:r>
        <w:rPr>
          <w:rFonts w:ascii="Arial" w:cs="Arial" w:eastAsia="Arial" w:hAnsi="Arial"/>
          <w:sz w:val="18"/>
          <w:szCs w:val="18"/>
          <w:u w:val="single" w:color="auto"/>
          <w:color w:val="auto"/>
        </w:rPr>
        <w:t>Exhibit 4.5</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 Exchange Act of 1934</w:t>
      </w:r>
    </w:p>
    <w:p>
      <w:pPr>
        <w:spacing w:after="0" w:line="22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Our common stock, par value $0.001 per share, is registered under Section 12 of the Securities Exchange Act of 1934, as amended, and listed on the Nasdaq Global Select Market under the symbol “LPSN”.</w:t>
      </w:r>
    </w:p>
    <w:p>
      <w:pPr>
        <w:spacing w:after="0" w:line="177"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i w:val="1"/>
          <w:iCs w:val="1"/>
          <w:color w:val="auto"/>
        </w:rPr>
        <w:t>The following is a description of our capital stock and the material provisions of our amended and restated certificate of incorporation, as amended, and amended and restated bylaws. The following is only a summary and is qualified by applicable law and by the provisions of our amended and restated certificate of incorporation, as amended, and our amended and restated bylaws.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Our authorized capital stock consists of 200,000,000 shares of common stock, par value $0.001 per share, and 5,000,000 shares of preferred stock, par value $0.001 per share.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of February 26, 2020, there were [64,240,362] shares of our common stock outstanding held of record by [141] stockholders, without giving effect to the conversion, if any, of our Convertible Senior Notes due 2024.</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i w:val="1"/>
          <w:iCs w:val="1"/>
          <w:color w:val="auto"/>
        </w:rPr>
        <w:t>Voting Rights</w:t>
      </w:r>
      <w:r>
        <w:rPr>
          <w:rFonts w:ascii="Arial" w:cs="Arial" w:eastAsia="Arial" w:hAnsi="Arial"/>
          <w:sz w:val="20"/>
          <w:szCs w:val="20"/>
          <w:color w:val="auto"/>
        </w:rPr>
        <w:t>. Holders of common stock are entitled to one vote for each share held on all matters submitted to a vote of stockholders and do</w:t>
      </w:r>
      <w:r>
        <w:rPr>
          <w:rFonts w:ascii="Arial" w:cs="Arial" w:eastAsia="Arial" w:hAnsi="Arial"/>
          <w:sz w:val="20"/>
          <w:szCs w:val="20"/>
          <w:i w:val="1"/>
          <w:iCs w:val="1"/>
          <w:color w:val="auto"/>
        </w:rPr>
        <w:t xml:space="preserve"> </w:t>
      </w:r>
      <w:r>
        <w:rPr>
          <w:rFonts w:ascii="Arial" w:cs="Arial" w:eastAsia="Arial" w:hAnsi="Arial"/>
          <w:sz w:val="20"/>
          <w:szCs w:val="20"/>
          <w:color w:val="auto"/>
        </w:rPr>
        <w:t>not have cumulative voting rights. Accordingly, holders of a majority of the shares of common stock entitled to vote in any election of directors may elect all of the directors standing for election.</w:t>
      </w:r>
    </w:p>
    <w:p>
      <w:pPr>
        <w:spacing w:after="0" w:line="186"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i w:val="1"/>
          <w:iCs w:val="1"/>
          <w:color w:val="auto"/>
        </w:rPr>
        <w:t>Dividend Rights</w:t>
      </w:r>
      <w:r>
        <w:rPr>
          <w:rFonts w:ascii="Arial" w:cs="Arial" w:eastAsia="Arial" w:hAnsi="Arial"/>
          <w:sz w:val="19"/>
          <w:szCs w:val="19"/>
          <w:color w:val="auto"/>
        </w:rPr>
        <w:t>. Holders of common stock are entitled to receive ratably those dividends, if any, as may be declared by our board of directors</w:t>
      </w:r>
      <w:r>
        <w:rPr>
          <w:rFonts w:ascii="Arial" w:cs="Arial" w:eastAsia="Arial" w:hAnsi="Arial"/>
          <w:sz w:val="19"/>
          <w:szCs w:val="19"/>
          <w:i w:val="1"/>
          <w:iCs w:val="1"/>
          <w:color w:val="auto"/>
        </w:rPr>
        <w:t xml:space="preserve"> </w:t>
      </w:r>
      <w:r>
        <w:rPr>
          <w:rFonts w:ascii="Arial" w:cs="Arial" w:eastAsia="Arial" w:hAnsi="Arial"/>
          <w:sz w:val="19"/>
          <w:szCs w:val="19"/>
          <w:color w:val="auto"/>
        </w:rPr>
        <w:t>out of funds legally available therefor, subject to any preferential dividend rights of any outstanding preferred stock.</w:t>
      </w:r>
    </w:p>
    <w:p>
      <w:pPr>
        <w:spacing w:after="0" w:line="153"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i w:val="1"/>
          <w:iCs w:val="1"/>
          <w:color w:val="auto"/>
        </w:rPr>
        <w:t>Right to Receive Liquidation Distributions</w:t>
      </w:r>
      <w:r>
        <w:rPr>
          <w:rFonts w:ascii="Arial" w:cs="Arial" w:eastAsia="Arial" w:hAnsi="Arial"/>
          <w:sz w:val="20"/>
          <w:szCs w:val="20"/>
          <w:color w:val="auto"/>
        </w:rPr>
        <w:t>. Upon our liquidation, dissolution or winding up, our common stockholders are entitled to receive</w:t>
      </w:r>
      <w:r>
        <w:rPr>
          <w:rFonts w:ascii="Arial" w:cs="Arial" w:eastAsia="Arial" w:hAnsi="Arial"/>
          <w:sz w:val="20"/>
          <w:szCs w:val="20"/>
          <w:i w:val="1"/>
          <w:iCs w:val="1"/>
          <w:color w:val="auto"/>
        </w:rPr>
        <w:t xml:space="preserve"> </w:t>
      </w:r>
      <w:r>
        <w:rPr>
          <w:rFonts w:ascii="Arial" w:cs="Arial" w:eastAsia="Arial" w:hAnsi="Arial"/>
          <w:sz w:val="20"/>
          <w:szCs w:val="20"/>
          <w:color w:val="auto"/>
        </w:rPr>
        <w:t>ratably our net assets available, if any, after the payment of all debts and other liabilities and subject to the prior rights of any outstanding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Assessability</w:t>
      </w:r>
      <w:r>
        <w:rPr>
          <w:rFonts w:ascii="Arial" w:cs="Arial" w:eastAsia="Arial" w:hAnsi="Arial"/>
          <w:sz w:val="20"/>
          <w:szCs w:val="20"/>
          <w:color w:val="auto"/>
        </w:rPr>
        <w:t>. The outstanding shares of our common stock are fully paid and nonassessable.</w:t>
      </w:r>
    </w:p>
    <w:p>
      <w:pPr>
        <w:spacing w:after="0" w:line="216"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i w:val="1"/>
          <w:iCs w:val="1"/>
          <w:color w:val="auto"/>
        </w:rPr>
        <w:t>Other Rights</w:t>
      </w:r>
      <w:r>
        <w:rPr>
          <w:rFonts w:ascii="Arial" w:cs="Arial" w:eastAsia="Arial" w:hAnsi="Arial"/>
          <w:sz w:val="20"/>
          <w:szCs w:val="20"/>
          <w:color w:val="auto"/>
        </w:rPr>
        <w:t>. Holders of our common stock have no preemptive, subscription, redemption or conversion rights. The rights, preferences and</w:t>
      </w:r>
      <w:r>
        <w:rPr>
          <w:rFonts w:ascii="Arial" w:cs="Arial" w:eastAsia="Arial" w:hAnsi="Arial"/>
          <w:sz w:val="20"/>
          <w:szCs w:val="20"/>
          <w:i w:val="1"/>
          <w:iCs w:val="1"/>
          <w:color w:val="auto"/>
        </w:rPr>
        <w:t xml:space="preserve"> </w:t>
      </w:r>
      <w:r>
        <w:rPr>
          <w:rFonts w:ascii="Arial" w:cs="Arial" w:eastAsia="Arial" w:hAnsi="Arial"/>
          <w:sz w:val="20"/>
          <w:szCs w:val="20"/>
          <w:color w:val="auto"/>
        </w:rPr>
        <w:t>privileges of holders of common stock are subject to, and may be adversely affected by, the rights of the holders of shares of any series of preferred stock which we may designate and issue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2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There are no shares of preferred stock outstanding. Our board of directors is authorized, without further stockholder approval, to issue from time to time up to an aggregate of 5,000,000 shares of preferred stock in one or more series and to fix or alter the designations, preferences, rights and any qualifications, limitations or restrictions of the shares of each series thereof, including the dividend rights, dividend rates, conversion rights, voting rights, terms of redemption, including sinking fund provisions, redemption price or prices, liquidation preferences and the number of shares constituting any series or designation of series. The issuance of preferred stock could decrease the amount of earnings and assets available for distribution to holders of common stock or adversely affect the rights and powers, including voting rights, of the holders of common stock. Such issuance could also have the effect of delaying, deferring or preventing a change in control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OPTIONS</w:t>
      </w:r>
    </w:p>
    <w:p>
      <w:pPr>
        <w:spacing w:after="0" w:line="222"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We have 5,020,349 shares of our common stock reserved for issuance, upon exercise of stock options, under our 2000 Stock Incentive Plan, 2018 Inducement Plan and 2019 Stock Incentive Plan. As of February 26, 2020, there</w:t>
      </w:r>
    </w:p>
    <w:p>
      <w:pPr>
        <w:sectPr>
          <w:pgSz w:w="11900" w:h="16838" w:orient="portrait"/>
          <w:cols w:equalWidth="0" w:num="1">
            <w:col w:w="11400"/>
          </w:cols>
          <w:pgMar w:left="240" w:top="125" w:right="259" w:bottom="1440" w:gutter="0" w:footer="0" w:header="0"/>
        </w:sectPr>
      </w:pPr>
    </w:p>
    <w:bookmarkStart w:id="120" w:name="page121"/>
    <w:bookmarkEnd w:id="120"/>
    <w:p>
      <w:pPr>
        <w:ind w:left="7780"/>
        <w:spacing w:after="0"/>
        <w:rPr>
          <w:sz w:val="20"/>
          <w:szCs w:val="20"/>
          <w:color w:val="auto"/>
        </w:rPr>
      </w:pPr>
      <w:r>
        <w:rPr>
          <w:rFonts w:ascii="Arial" w:cs="Arial" w:eastAsia="Arial" w:hAnsi="Arial"/>
          <w:sz w:val="18"/>
          <w:szCs w:val="18"/>
          <w:u w:val="single" w:color="auto"/>
          <w:color w:val="auto"/>
        </w:rPr>
        <w:t>Exhibit 4.5</w:t>
      </w:r>
    </w:p>
    <w:p>
      <w:pPr>
        <w:spacing w:after="0" w:line="22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were outstanding options to purchase a total of 5,632,516 shares of common stock, of which options to purchase approximately 2,952,261 are currently exercisable.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LIABILITY</w:t>
      </w:r>
    </w:p>
    <w:p>
      <w:pPr>
        <w:spacing w:after="0" w:line="22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amended and restated certificate of incorporation, as amended, limits or eliminates the liability of our directors to us or our stockholders for monetary damage to the fullest extent permitted by the Delaware General Corporation Law. As permitted by the Delaware General Corporation Law, our amended and restated certificate of incorporation, as amended, provides that our directors shall not be personally liable to us or our stockholders for monetary damages for a breach of fiduciary duty as a director, except for liability:</w:t>
      </w:r>
    </w:p>
    <w:p>
      <w:pPr>
        <w:spacing w:after="0" w:line="162"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20"/>
          <w:szCs w:val="20"/>
          <w:color w:val="auto"/>
        </w:rPr>
        <w:t>for any breach of such person’s duty of loyalty to us or our stockholders;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20"/>
          <w:szCs w:val="20"/>
          <w:color w:val="auto"/>
        </w:rPr>
        <w:t>for acts or omissions not in good faith or involving intentional misconduct or a knowing violation of law;</w:t>
      </w:r>
    </w:p>
    <w:p>
      <w:pPr>
        <w:ind w:left="660" w:right="180" w:hanging="328"/>
        <w:spacing w:after="0" w:line="239"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20"/>
          <w:szCs w:val="20"/>
          <w:color w:val="auto"/>
        </w:rPr>
        <w:t>for payment of dividends or approval of stock repurchases or redemptions that are prohibited by Section 174 of the Delaware General Corporation Law;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20"/>
          <w:szCs w:val="20"/>
          <w:color w:val="auto"/>
        </w:rPr>
        <w:t>for any transaction resulting in receipt by such person of an improper personal benefit.</w:t>
      </w:r>
    </w:p>
    <w:p>
      <w:pPr>
        <w:spacing w:after="0" w:line="20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Our amended and restated certificate of incorporation, as amended, also contains provisions indemnifying our directors and officers to the fullest extent permitted by the Delaware General Corporation Law. We currently have directors’ and officers’ liability insurance to provide our directors and officers with insurance coverage for losses arising from claims based on breaches of duty, negligence, errors and other wrongful acts.</w:t>
      </w:r>
    </w:p>
    <w:p>
      <w:pPr>
        <w:spacing w:after="0" w:line="20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We have also entered into agreements to indemnify our directors and executive officers, in addition to the indemnification provided for in our amended and restated certificate of incorporation, as amended. We believe that these agreements are necessary to attract and retain qualified directors and executive officers.</w:t>
      </w:r>
    </w:p>
    <w:p>
      <w:pPr>
        <w:spacing w:after="0" w:line="180" w:lineRule="exact"/>
        <w:rPr>
          <w:sz w:val="20"/>
          <w:szCs w:val="20"/>
          <w:color w:val="auto"/>
        </w:rPr>
      </w:pPr>
    </w:p>
    <w:p>
      <w:pPr>
        <w:ind w:right="260"/>
        <w:spacing w:after="0" w:line="267" w:lineRule="auto"/>
        <w:rPr>
          <w:sz w:val="20"/>
          <w:szCs w:val="20"/>
          <w:color w:val="auto"/>
        </w:rPr>
      </w:pPr>
      <w:r>
        <w:rPr>
          <w:rFonts w:ascii="Arial" w:cs="Arial" w:eastAsia="Arial" w:hAnsi="Arial"/>
          <w:sz w:val="20"/>
          <w:szCs w:val="20"/>
          <w:b w:val="1"/>
          <w:bCs w:val="1"/>
          <w:color w:val="auto"/>
        </w:rPr>
        <w:t>ANTI-TAKEOVER EFFECTS OF PROVISIONS OF DELAWARE LAW AND OUR CERTIFICATE OF INCORPORATION AND BYLAWS</w:t>
      </w:r>
    </w:p>
    <w:p>
      <w:pPr>
        <w:spacing w:after="0" w:line="17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We are subject to the provisions of Section 203 of the Delaware General Corporation Law. Subject to some exceptions, Section 203 prohibits a publicly-held Delaware corporation from engaging in a “business combination” with an “interested stockholder” for a period of three years after the date of the transaction in which the person became an interested stockholder, unless:</w:t>
      </w:r>
    </w:p>
    <w:p>
      <w:pPr>
        <w:spacing w:after="0" w:line="186" w:lineRule="exact"/>
        <w:rPr>
          <w:sz w:val="20"/>
          <w:szCs w:val="20"/>
          <w:color w:val="auto"/>
        </w:rPr>
      </w:pPr>
    </w:p>
    <w:p>
      <w:pPr>
        <w:ind w:left="660" w:right="140" w:hanging="328"/>
        <w:spacing w:after="0" w:line="24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20"/>
          <w:szCs w:val="20"/>
          <w:color w:val="auto"/>
        </w:rPr>
        <w:t>prior to such date, the board of directors of the corporation approved either the business combination or the transaction that resulted in the stockholder becoming an interested stockholder;</w:t>
      </w:r>
    </w:p>
    <w:p>
      <w:pPr>
        <w:spacing w:after="0" w:line="1" w:lineRule="exact"/>
        <w:rPr>
          <w:rFonts w:ascii="Arial" w:cs="Arial" w:eastAsia="Arial" w:hAnsi="Arial"/>
          <w:sz w:val="18"/>
          <w:szCs w:val="18"/>
          <w:color w:val="auto"/>
        </w:rPr>
      </w:pPr>
    </w:p>
    <w:p>
      <w:pPr>
        <w:ind w:left="660" w:hanging="328"/>
        <w:spacing w:after="0" w:line="239"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(excluding certain shares); or</w:t>
      </w:r>
    </w:p>
    <w:p>
      <w:pPr>
        <w:spacing w:after="0" w:line="1" w:lineRule="exact"/>
        <w:rPr>
          <w:rFonts w:ascii="Arial" w:cs="Arial" w:eastAsia="Arial" w:hAnsi="Arial"/>
          <w:sz w:val="18"/>
          <w:szCs w:val="18"/>
          <w:color w:val="auto"/>
        </w:rPr>
      </w:pPr>
    </w:p>
    <w:p>
      <w:pPr>
        <w:ind w:left="660" w:right="40" w:hanging="328"/>
        <w:spacing w:after="0" w:line="241"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20"/>
          <w:szCs w:val="20"/>
          <w:color w:val="auto"/>
        </w:rPr>
        <w:t>on or subsequent to such date, the business combination is approved by the board of directors of the corporation and authorized at an annual or special meeting of stockholders by the affirmative vote of a least 66.67% of the outstanding voting stock that is not owned by the interested stockholder.</w:t>
      </w:r>
    </w:p>
    <w:p>
      <w:pPr>
        <w:spacing w:after="0" w:line="196"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A “business combination” includes mergers, asset sales and other transactions resulting in a financial benefit to the interested stockholder. Except as otherwise specified in Section 203 of the Delaware General Corporation Law, an interested stockholder is defined to include (x) any person that owns (or, within the prior three years, did own) 15% or more of the outstanding voting stock of the corporation, or is an affiliate or associate of the corporation and was the owner of 15% or more of the outstanding voting stock of the corporation at any time within three years immediately prior to the date of determination and (y) the affiliates and associates of any such person. This statute could prohibit or delay the accomplishment of mergers or other takeover or change in control attempts with respect to us and, accordingly, may discourage attempts to acquire us.</w:t>
      </w:r>
    </w:p>
    <w:p>
      <w:pPr>
        <w:spacing w:after="0" w:line="193"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In addition, various provisions of our amended and restated certificate of incorporation, as amended, and our amended and restated bylaws, which provisions are summarized in the following paragraphs, may be deemed to</w:t>
      </w:r>
    </w:p>
    <w:p>
      <w:pPr>
        <w:sectPr>
          <w:pgSz w:w="11900" w:h="16838" w:orient="portrait"/>
          <w:cols w:equalWidth="0" w:num="1">
            <w:col w:w="11420"/>
          </w:cols>
          <w:pgMar w:left="240" w:top="125" w:right="239" w:bottom="1440" w:gutter="0" w:footer="0" w:header="0"/>
        </w:sectPr>
      </w:pPr>
    </w:p>
    <w:bookmarkStart w:id="121" w:name="page122"/>
    <w:bookmarkEnd w:id="121"/>
    <w:p>
      <w:pPr>
        <w:ind w:left="7780"/>
        <w:spacing w:after="0"/>
        <w:rPr>
          <w:sz w:val="20"/>
          <w:szCs w:val="20"/>
          <w:color w:val="auto"/>
        </w:rPr>
      </w:pPr>
      <w:r>
        <w:rPr>
          <w:rFonts w:ascii="Arial" w:cs="Arial" w:eastAsia="Arial" w:hAnsi="Arial"/>
          <w:sz w:val="18"/>
          <w:szCs w:val="18"/>
          <w:u w:val="single" w:color="auto"/>
          <w:color w:val="auto"/>
        </w:rPr>
        <w:t>Exhibit 4.5</w:t>
      </w:r>
    </w:p>
    <w:p>
      <w:pPr>
        <w:spacing w:after="0" w:line="223" w:lineRule="exact"/>
        <w:rPr>
          <w:sz w:val="20"/>
          <w:szCs w:val="20"/>
          <w:color w:val="auto"/>
        </w:rPr>
      </w:pPr>
    </w:p>
    <w:p>
      <w:pPr>
        <w:ind w:right="440"/>
        <w:spacing w:after="0" w:line="316" w:lineRule="auto"/>
        <w:rPr>
          <w:sz w:val="20"/>
          <w:szCs w:val="20"/>
          <w:color w:val="auto"/>
        </w:rPr>
      </w:pPr>
      <w:r>
        <w:rPr>
          <w:rFonts w:ascii="Arial" w:cs="Arial" w:eastAsia="Arial" w:hAnsi="Arial"/>
          <w:sz w:val="18"/>
          <w:szCs w:val="18"/>
          <w:color w:val="auto"/>
        </w:rPr>
        <w:t>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130"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i w:val="1"/>
          <w:iCs w:val="1"/>
          <w:color w:val="auto"/>
        </w:rPr>
        <w:t>Staggered Board</w:t>
      </w:r>
      <w:r>
        <w:rPr>
          <w:rFonts w:ascii="Arial" w:cs="Arial" w:eastAsia="Arial" w:hAnsi="Arial"/>
          <w:sz w:val="20"/>
          <w:szCs w:val="20"/>
          <w:color w:val="auto"/>
        </w:rPr>
        <w:t>. Our amended and restated certificate of incorporation, as amended, provides for division of our board into three classes, with</w:t>
      </w:r>
      <w:r>
        <w:rPr>
          <w:rFonts w:ascii="Arial" w:cs="Arial" w:eastAsia="Arial" w:hAnsi="Arial"/>
          <w:sz w:val="20"/>
          <w:szCs w:val="20"/>
          <w:i w:val="1"/>
          <w:iCs w:val="1"/>
          <w:color w:val="auto"/>
        </w:rPr>
        <w:t xml:space="preserve"> </w:t>
      </w:r>
      <w:r>
        <w:rPr>
          <w:rFonts w:ascii="Arial" w:cs="Arial" w:eastAsia="Arial" w:hAnsi="Arial"/>
          <w:sz w:val="20"/>
          <w:szCs w:val="20"/>
          <w:color w:val="auto"/>
        </w:rPr>
        <w:t>each class as nearly equal in number as possible. Each class must serve a three-year term. The terms of each class are staggered so that each term ends in a different year in the three-year period.</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Board of Director Vacancies</w:t>
      </w:r>
      <w:r>
        <w:rPr>
          <w:rFonts w:ascii="Arial" w:cs="Arial" w:eastAsia="Arial" w:hAnsi="Arial"/>
          <w:sz w:val="19"/>
          <w:szCs w:val="19"/>
          <w:color w:val="auto"/>
        </w:rPr>
        <w:t>. Our amended and restated certificate of incorporation, as amended, authorizes our board of directors to fill vacant</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directorships or increase the size of the board of directors. This may deter a stockholder from removing incumbent directors and simultaneously gaining control of our board of directors by filling the vacancies created by this removal with its own nominees.</w:t>
      </w:r>
    </w:p>
    <w:p>
      <w:pPr>
        <w:spacing w:after="0" w:line="170"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i w:val="1"/>
          <w:iCs w:val="1"/>
          <w:color w:val="auto"/>
        </w:rPr>
        <w:t>Stockholder Action; Special Meeting of Stockholders</w:t>
      </w:r>
      <w:r>
        <w:rPr>
          <w:rFonts w:ascii="Arial" w:cs="Arial" w:eastAsia="Arial" w:hAnsi="Arial"/>
          <w:sz w:val="20"/>
          <w:szCs w:val="20"/>
          <w:color w:val="auto"/>
        </w:rPr>
        <w:t>. Our amended and restated certificate of incorporation, as amended, provides that</w:t>
      </w:r>
      <w:r>
        <w:rPr>
          <w:rFonts w:ascii="Arial" w:cs="Arial" w:eastAsia="Arial" w:hAnsi="Arial"/>
          <w:sz w:val="20"/>
          <w:szCs w:val="20"/>
          <w:i w:val="1"/>
          <w:iCs w:val="1"/>
          <w:color w:val="auto"/>
        </w:rPr>
        <w:t xml:space="preserve"> </w:t>
      </w:r>
      <w:r>
        <w:rPr>
          <w:rFonts w:ascii="Arial" w:cs="Arial" w:eastAsia="Arial" w:hAnsi="Arial"/>
          <w:sz w:val="20"/>
          <w:szCs w:val="20"/>
          <w:color w:val="auto"/>
        </w:rPr>
        <w:t>stockholders may not take action by written consent, but only at duly called annual or special meetings of stockholders. Our amended and restated bylaws further provide that special meetings of our stockholders may be called only by the chairman of the board of directors, our president or at the request of two-thirds of the board of directors.</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i w:val="1"/>
          <w:iCs w:val="1"/>
          <w:color w:val="auto"/>
        </w:rPr>
        <w:t>Advance Notice Requirements for Stockholder Proposals and Directors’ Nominations</w:t>
      </w:r>
      <w:r>
        <w:rPr>
          <w:rFonts w:ascii="Arial" w:cs="Arial" w:eastAsia="Arial" w:hAnsi="Arial"/>
          <w:sz w:val="18"/>
          <w:szCs w:val="18"/>
          <w:color w:val="auto"/>
        </w:rPr>
        <w:t>. Our amended and restated bylaws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an annual meeting of stockholders, or to nominate candidates for election as directors at an annual meeting of stockholders, must provide us timely notice thereof in writing. To be timely, a stockholder’s notice must be delivered to or mailed and received at our principal executive offices, not less than 90 days nor more than 120 days prior to the first anniversary of the date of the preceding year’s annual meeting provided with respect to the previous year’s annual meeting of stockholders; provided, however, that if no annual meeting of stockholders was held in the previous year or the date of the annual meeting of stockholders has been changed to be more than 30 calendar days earlier than or 70 calendar days after this anniversary, notice by the stockholder, to be timely, must be so received not more than 120 days prior to the annual meeting of stockholders nor later than the later of:</w:t>
      </w:r>
    </w:p>
    <w:p>
      <w:pPr>
        <w:spacing w:after="0" w:line="169"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20"/>
          <w:szCs w:val="20"/>
          <w:color w:val="auto"/>
        </w:rPr>
        <w:t>90 days prior to the annual meeting of stockholders; and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20"/>
          <w:szCs w:val="20"/>
          <w:color w:val="auto"/>
        </w:rPr>
        <w:t>the close of business on the 10th day following the date on which notice of the date of the meeting is made public.</w:t>
      </w:r>
    </w:p>
    <w:p>
      <w:pPr>
        <w:spacing w:after="0" w:line="20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Our amended and restated bylaws also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i w:val="1"/>
          <w:iCs w:val="1"/>
          <w:color w:val="auto"/>
        </w:rPr>
        <w:t>Authorized But Unissued Shares</w:t>
      </w:r>
      <w:r>
        <w:rPr>
          <w:rFonts w:ascii="Arial" w:cs="Arial" w:eastAsia="Arial" w:hAnsi="Arial"/>
          <w:sz w:val="19"/>
          <w:szCs w:val="19"/>
          <w:color w:val="auto"/>
        </w:rPr>
        <w:t>. The authorized but unissued shares of our common stock and preferred stock are available for future issuance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without stockholder approval, subject to various limitations imposed by the Nasdaq Global Select Market. These additional shares may be utilized for a variety of corporate purposes, including future public offerings to raise additional capital, corporate acquisitions and employee benefit plans. The existence of authorized but unissued shares of common stock and preferred stock could make more difficult or discourage an attempt to obtain control of us by means of a proxy context, tender offer, merger or otherwise.</w:t>
      </w:r>
    </w:p>
    <w:p>
      <w:pPr>
        <w:spacing w:after="0" w:line="181"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Our amended and restated certificate of incorporation, as amended, requires the affirmative vote of not less than 66.67% of the outstanding shares of our capital stock entitled to vote generally in the election of directors (considered for this purpose as a single class) cast at a meeting of our stockholders called for that purpose, to repeal, alter, amend or rescind the provisions in our amended and restated certificate of incorporation, as amended, relating to:</w:t>
      </w:r>
    </w:p>
    <w:p>
      <w:pPr>
        <w:spacing w:after="0" w:line="192"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20"/>
          <w:szCs w:val="20"/>
          <w:color w:val="auto"/>
        </w:rPr>
        <w:t>directors;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20"/>
          <w:szCs w:val="20"/>
          <w:color w:val="auto"/>
        </w:rPr>
        <w:t>stockholder meetings;</w:t>
      </w: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20"/>
          <w:szCs w:val="20"/>
          <w:color w:val="auto"/>
        </w:rPr>
        <w:t>limitations on director liability;</w:t>
      </w:r>
    </w:p>
    <w:p>
      <w:pPr>
        <w:sectPr>
          <w:pgSz w:w="11900" w:h="16838" w:orient="portrait"/>
          <w:cols w:equalWidth="0" w:num="1">
            <w:col w:w="11400"/>
          </w:cols>
          <w:pgMar w:left="240" w:top="125" w:right="259" w:bottom="1440" w:gutter="0" w:footer="0" w:header="0"/>
        </w:sectPr>
      </w:pPr>
    </w:p>
    <w:bookmarkStart w:id="122" w:name="page123"/>
    <w:bookmarkEnd w:id="122"/>
    <w:p>
      <w:pPr>
        <w:ind w:left="7780"/>
        <w:spacing w:after="0"/>
        <w:rPr>
          <w:sz w:val="20"/>
          <w:szCs w:val="20"/>
          <w:color w:val="auto"/>
        </w:rPr>
      </w:pPr>
      <w:r>
        <w:rPr>
          <w:rFonts w:ascii="Arial" w:cs="Arial" w:eastAsia="Arial" w:hAnsi="Arial"/>
          <w:sz w:val="18"/>
          <w:szCs w:val="18"/>
          <w:u w:val="single" w:color="auto"/>
          <w:color w:val="auto"/>
        </w:rPr>
        <w:t>Exhibit 4.5</w:t>
      </w:r>
    </w:p>
    <w:p>
      <w:pPr>
        <w:spacing w:after="0" w:line="223"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20"/>
          <w:szCs w:val="20"/>
          <w:color w:val="auto"/>
        </w:rPr>
        <w:t>indemnification;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20"/>
          <w:szCs w:val="20"/>
          <w:color w:val="auto"/>
        </w:rPr>
        <w:t>amendment of our bylaws; or</w:t>
      </w: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20"/>
          <w:szCs w:val="20"/>
          <w:color w:val="auto"/>
        </w:rPr>
        <w:t>business combinations.</w:t>
      </w:r>
    </w:p>
    <w:p>
      <w:pPr>
        <w:spacing w:after="0" w:line="200" w:lineRule="exact"/>
        <w:rPr>
          <w:sz w:val="20"/>
          <w:szCs w:val="20"/>
          <w:color w:val="auto"/>
        </w:rPr>
      </w:pPr>
    </w:p>
    <w:p>
      <w:pPr>
        <w:ind w:right="820"/>
        <w:spacing w:after="0" w:line="316" w:lineRule="auto"/>
        <w:rPr>
          <w:sz w:val="20"/>
          <w:szCs w:val="20"/>
          <w:color w:val="auto"/>
        </w:rPr>
      </w:pPr>
      <w:r>
        <w:rPr>
          <w:rFonts w:ascii="Arial" w:cs="Arial" w:eastAsia="Arial" w:hAnsi="Arial"/>
          <w:sz w:val="18"/>
          <w:szCs w:val="18"/>
          <w:color w:val="auto"/>
        </w:rPr>
        <w:t>Our amended and restated certificate of incorporation, as amended, requires the affirmative vote as specified in the Delaware General Corporation Law to amend any other provision of our amended and restated certificate of incorporation, as amended,.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To repeal, alter, amend or rescind our amended and restated certificate of incorporation, as amended, and our amended and restated bylaws require the affirmative vote of not less than 66.67% of the outstanding shares of our capital stock entitled to vote generally in the election of directors (considered for this purpose as a single class) cast at a meeting of our stockholders called for that purpose, or the affirmative vote of at least 66.67% of our board of directors. This provision may have the effect of making it difficult for a third party to acquire us.</w:t>
      </w:r>
    </w:p>
    <w:p>
      <w:pPr>
        <w:sectPr>
          <w:pgSz w:w="11900" w:h="16838" w:orient="portrait"/>
          <w:cols w:equalWidth="0" w:num="1">
            <w:col w:w="11400"/>
          </w:cols>
          <w:pgMar w:left="240" w:top="125" w:right="2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21.1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LIVEPERSON,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Ltd. (formerly HumanClick Ltd.) —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Kasamba Inc.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Germany GmbH —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(UK) Ltd. —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LivePerson Netherlands B.V. —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At Once!, LLC — Georgia</w:t>
      </w:r>
    </w:p>
    <w:p>
      <w:pPr>
        <w:sectPr>
          <w:pgSz w:w="11900" w:h="16838" w:orient="portrait"/>
          <w:cols w:equalWidth="0" w:num="1">
            <w:col w:w="11420"/>
          </w:cols>
          <w:pgMar w:left="240" w:top="638"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LivePerson,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Forms S-3 (No. 333-112019, 333-112018, 333-136249 and 333-147929) and Forms S-8 (No. 333-234676, 333-229495, 333-224059, 333-34230, 333-147572, 333-159850, 333-168945, 333-194590 and 333-219573) of LivePerson, Inc. of our reports dated March 2, 2020, relating to the consolidated financial statements and the effectiveness of LivePerson, Inc.’s internal control over financial reporting, which appear in this Form 10-K.</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474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BDO USA,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63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March 2, 2020</w:t>
            </w:r>
          </w:p>
        </w:tc>
        <w:tc>
          <w:tcPr>
            <w:tcW w:w="3120" w:type="dxa"/>
            <w:vAlign w:val="bottom"/>
          </w:tcPr>
          <w:p>
            <w:pPr>
              <w:ind w:left="236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120" w:type="dxa"/>
            <w:vAlign w:val="bottom"/>
            <w:vMerge w:val="restart"/>
          </w:tcPr>
          <w:p>
            <w:pPr>
              <w:ind w:left="2360"/>
              <w:spacing w:after="0"/>
              <w:rPr>
                <w:sz w:val="20"/>
                <w:szCs w:val="20"/>
                <w:color w:val="auto"/>
              </w:rPr>
            </w:pPr>
            <w:r>
              <w:rPr>
                <w:rFonts w:ascii="Arial" w:cs="Arial" w:eastAsia="Arial" w:hAnsi="Arial"/>
                <w:sz w:val="18"/>
                <w:szCs w:val="18"/>
                <w:color w:val="auto"/>
              </w:rPr>
              <w:t>Name:</w:t>
            </w:r>
          </w:p>
        </w:tc>
        <w:tc>
          <w:tcPr>
            <w:tcW w:w="4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3120" w:type="dxa"/>
            <w:vAlign w:val="bottom"/>
          </w:tcPr>
          <w:p>
            <w:pPr>
              <w:ind w:left="2360"/>
              <w:spacing w:after="0"/>
              <w:rPr>
                <w:sz w:val="20"/>
                <w:szCs w:val="20"/>
                <w:color w:val="auto"/>
              </w:rPr>
            </w:pPr>
            <w:r>
              <w:rPr>
                <w:rFonts w:ascii="Arial" w:cs="Arial" w:eastAsia="Arial" w:hAnsi="Arial"/>
                <w:sz w:val="18"/>
                <w:szCs w:val="18"/>
                <w:color w:val="auto"/>
              </w:rPr>
              <w:t>Title:</w:t>
            </w:r>
          </w:p>
        </w:tc>
        <w:tc>
          <w:tcPr>
            <w:tcW w:w="4040" w:type="dxa"/>
            <w:vAlign w:val="bottom"/>
          </w:tcPr>
          <w:p>
            <w:pPr>
              <w:ind w:left="20"/>
              <w:spacing w:after="0"/>
              <w:rPr>
                <w:sz w:val="20"/>
                <w:szCs w:val="20"/>
                <w:color w:val="auto"/>
              </w:rPr>
            </w:pPr>
            <w:r>
              <w:rPr>
                <w:rFonts w:ascii="Arial" w:cs="Arial" w:eastAsia="Arial" w:hAnsi="Arial"/>
                <w:sz w:val="18"/>
                <w:szCs w:val="18"/>
                <w:color w:val="auto"/>
                <w:w w:val="99"/>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E. Greiner, certify that:</w:t>
      </w:r>
    </w:p>
    <w:p>
      <w:pPr>
        <w:spacing w:after="0" w:line="171"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40"/>
              <w:spacing w:after="0"/>
              <w:rPr>
                <w:sz w:val="20"/>
                <w:szCs w:val="20"/>
                <w:color w:val="auto"/>
              </w:rPr>
            </w:pPr>
            <w:r>
              <w:rPr>
                <w:rFonts w:ascii="Arial" w:cs="Arial" w:eastAsia="Arial" w:hAnsi="Arial"/>
                <w:sz w:val="18"/>
                <w:szCs w:val="18"/>
                <w:color w:val="auto"/>
              </w:rPr>
              <w:t>March 2, 2020</w:t>
            </w:r>
          </w:p>
        </w:tc>
        <w:tc>
          <w:tcPr>
            <w:tcW w:w="2540" w:type="dxa"/>
            <w:vAlign w:val="bottom"/>
          </w:tcPr>
          <w:p>
            <w:pPr>
              <w:ind w:left="18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54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337"/>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40" w:type="dxa"/>
            <w:vAlign w:val="bottom"/>
            <w:vMerge w:val="restart"/>
          </w:tcPr>
          <w:p>
            <w:pPr>
              <w:ind w:left="188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5240" w:type="dxa"/>
            <w:vAlign w:val="bottom"/>
            <w:vMerge w:val="restart"/>
          </w:tcPr>
          <w:p>
            <w:pPr>
              <w:ind w:left="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8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2019,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March 2, 2020</w:t>
            </w:r>
          </w:p>
        </w:tc>
        <w:tc>
          <w:tcPr>
            <w:tcW w:w="3080" w:type="dxa"/>
            <w:vAlign w:val="bottom"/>
          </w:tcPr>
          <w:p>
            <w:pPr>
              <w:ind w:left="2420"/>
              <w:spacing w:after="0"/>
              <w:rPr>
                <w:sz w:val="20"/>
                <w:szCs w:val="20"/>
                <w:color w:val="auto"/>
              </w:rPr>
            </w:pPr>
            <w:r>
              <w:rPr>
                <w:rFonts w:ascii="Arial" w:cs="Arial" w:eastAsia="Arial" w:hAnsi="Arial"/>
                <w:sz w:val="18"/>
                <w:szCs w:val="18"/>
                <w:color w:val="auto"/>
              </w:rPr>
              <w:t>By:</w:t>
            </w:r>
          </w:p>
        </w:tc>
        <w:tc>
          <w:tcPr>
            <w:tcW w:w="4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080" w:type="dxa"/>
            <w:vAlign w:val="bottom"/>
            <w:vMerge w:val="restart"/>
          </w:tcPr>
          <w:p>
            <w:pPr>
              <w:ind w:left="2420"/>
              <w:spacing w:after="0"/>
              <w:rPr>
                <w:sz w:val="20"/>
                <w:szCs w:val="20"/>
                <w:color w:val="auto"/>
              </w:rPr>
            </w:pPr>
            <w:r>
              <w:rPr>
                <w:rFonts w:ascii="Arial" w:cs="Arial" w:eastAsia="Arial" w:hAnsi="Arial"/>
                <w:sz w:val="18"/>
                <w:szCs w:val="18"/>
                <w:color w:val="auto"/>
              </w:rPr>
              <w:t>Name:</w:t>
            </w:r>
          </w:p>
        </w:tc>
        <w:tc>
          <w:tcPr>
            <w:tcW w:w="4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3080" w:type="dxa"/>
            <w:vAlign w:val="bottom"/>
            <w:vMerge w:val="continue"/>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3080" w:type="dxa"/>
            <w:vAlign w:val="bottom"/>
          </w:tcPr>
          <w:p>
            <w:pPr>
              <w:ind w:left="24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 Christopher E. Greiner, Chief Financial Officer of LivePerson, Inc. (the “Company”),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180" w:hanging="328"/>
        <w:spacing w:after="0" w:line="308"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Annual Report of the Company on Form 10-K for the period ended December 31, 2019,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40"/>
              <w:spacing w:after="0"/>
              <w:rPr>
                <w:sz w:val="20"/>
                <w:szCs w:val="20"/>
                <w:color w:val="auto"/>
              </w:rPr>
            </w:pPr>
            <w:r>
              <w:rPr>
                <w:rFonts w:ascii="Arial" w:cs="Arial" w:eastAsia="Arial" w:hAnsi="Arial"/>
                <w:sz w:val="18"/>
                <w:szCs w:val="18"/>
                <w:color w:val="auto"/>
              </w:rPr>
              <w:t>March 2, 2020</w:t>
            </w:r>
          </w:p>
        </w:tc>
        <w:tc>
          <w:tcPr>
            <w:tcW w:w="2300" w:type="dxa"/>
            <w:vAlign w:val="bottom"/>
          </w:tcPr>
          <w:p>
            <w:pPr>
              <w:ind w:left="1660"/>
              <w:spacing w:after="0"/>
              <w:rPr>
                <w:sz w:val="20"/>
                <w:szCs w:val="20"/>
                <w:color w:val="auto"/>
              </w:rPr>
            </w:pPr>
            <w:r>
              <w:rPr>
                <w:rFonts w:ascii="Arial" w:cs="Arial" w:eastAsia="Arial" w:hAnsi="Arial"/>
                <w:sz w:val="18"/>
                <w:szCs w:val="18"/>
                <w:color w:val="auto"/>
              </w:rPr>
              <w:t>By:</w:t>
            </w:r>
          </w:p>
        </w:tc>
        <w:tc>
          <w:tcPr>
            <w:tcW w:w="5700" w:type="dxa"/>
            <w:vAlign w:val="bottom"/>
          </w:tcPr>
          <w:p>
            <w:pPr>
              <w:ind w:left="20"/>
              <w:spacing w:after="0"/>
              <w:rPr>
                <w:sz w:val="20"/>
                <w:szCs w:val="20"/>
                <w:color w:val="auto"/>
              </w:rPr>
            </w:pPr>
            <w:r>
              <w:rPr>
                <w:rFonts w:ascii="Arial" w:cs="Arial" w:eastAsia="Arial" w:hAnsi="Arial"/>
                <w:sz w:val="18"/>
                <w:szCs w:val="18"/>
                <w:color w:val="auto"/>
              </w:rPr>
              <w:t>/s/ Christopher E. Greiner</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30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5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Christopher E. Greiner</w:t>
            </w:r>
          </w:p>
        </w:tc>
        <w:tc>
          <w:tcPr>
            <w:tcW w:w="0" w:type="dxa"/>
            <w:vAlign w:val="bottom"/>
          </w:tcPr>
          <w:p>
            <w:pPr>
              <w:spacing w:after="0"/>
              <w:rPr>
                <w:sz w:val="1"/>
                <w:szCs w:val="1"/>
                <w:color w:val="auto"/>
              </w:rPr>
            </w:pPr>
          </w:p>
        </w:tc>
      </w:tr>
      <w:tr>
        <w:trPr>
          <w:trHeight w:val="351"/>
        </w:trPr>
        <w:tc>
          <w:tcPr>
            <w:tcW w:w="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ind w:left="1660"/>
              <w:spacing w:after="0"/>
              <w:rPr>
                <w:sz w:val="20"/>
                <w:szCs w:val="20"/>
                <w:color w:val="auto"/>
              </w:rPr>
            </w:pPr>
            <w:r>
              <w:rPr>
                <w:rFonts w:ascii="Arial" w:cs="Arial" w:eastAsia="Arial" w:hAnsi="Arial"/>
                <w:sz w:val="18"/>
                <w:szCs w:val="18"/>
                <w:color w:val="auto"/>
              </w:rPr>
              <w:t>Title:</w:t>
            </w: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decimal"/>
      <w:start w:val="4"/>
    </w:lvl>
  </w:abstractNum>
  <w:abstractNum w:abstractNumId="40">
    <w:nsid w:val="61574095"/>
    <w:multiLevelType w:val="hybridMultilevel"/>
    <w:lvl w:ilvl="0">
      <w:lvlJc w:val="left"/>
      <w:lvlText w:val="(%1)"/>
      <w:numFmt w:val="decimal"/>
      <w:start w:val="8"/>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lowerRoman"/>
      <w:start w:val="2"/>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2"/>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450"/>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2"/>
    </w:lvl>
  </w:abstractNum>
  <w:abstractNum w:abstractNumId="64">
    <w:nsid w:val="5DC79EA8"/>
    <w:multiLevelType w:val="hybridMultilevel"/>
    <w:lvl w:ilvl="0">
      <w:lvlJc w:val="left"/>
      <w:lvlText w:val="%1."/>
      <w:numFmt w:val="decimal"/>
      <w:start w:val="3"/>
    </w:lvl>
  </w:abstractNum>
  <w:abstractNum w:abstractNumId="65">
    <w:nsid w:val="540A471C"/>
    <w:multiLevelType w:val="hybridMultilevel"/>
    <w:lvl w:ilvl="0">
      <w:lvlJc w:val="left"/>
      <w:lvlText w:val="*"/>
      <w:numFmt w:val="bullet"/>
      <w:start w:val="1"/>
    </w:lvl>
    <w:lvl w:ilvl="1">
      <w:lvlJc w:val="left"/>
      <w:lvlText w:val="%2"/>
      <w:numFmt w:val="decimal"/>
      <w:start w:val="104"/>
    </w:lvl>
  </w:abstractNum>
  <w:abstractNum w:abstractNumId="66">
    <w:nsid w:val="7BD3EE7B"/>
    <w:multiLevelType w:val="hybridMultilevel"/>
    <w:lvl w:ilvl="0">
      <w:lvlJc w:val="left"/>
      <w:lvlText w:val="**"/>
      <w:numFmt w:val="bullet"/>
      <w:start w:val="1"/>
    </w:lvl>
    <w:lvl w:ilvl="1">
      <w:lvlJc w:val="left"/>
      <w:lvlText w:val="%2"/>
      <w:numFmt w:val="decimal"/>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decimal"/>
      <w:start w:val="5"/>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5"/>
    </w:lvl>
  </w:abstractNum>
  <w:abstractNum w:abstractNumId="80">
    <w:nsid w:val="14330624"/>
    <w:multiLevelType w:val="hybridMultilevel"/>
    <w:lvl w:ilvl="0">
      <w:lvlJc w:val="left"/>
      <w:lvlText w:val="(%1)"/>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100" Type="http://schemas.openxmlformats.org/officeDocument/2006/relationships/image" Target="media/image61.png"/><Relationship Id="rId68" Type="http://schemas.openxmlformats.org/officeDocument/2006/relationships/hyperlink" Target="http://www.sec.gov/Archives/edgar/data/1102993/000114420406025812/v046069_ex2-1.htm" TargetMode="External"/><Relationship Id="rId69" Type="http://schemas.openxmlformats.org/officeDocument/2006/relationships/hyperlink" Target="http://www.sec.gov/Archives/edgar/data/1102993/000144530514005054/mergeragreement-exhibit21.htm" TargetMode="External"/><Relationship Id="rId70" Type="http://schemas.openxmlformats.org/officeDocument/2006/relationships/hyperlink" Target="http://www.sec.gov/Archives/edgar/data/1102993/000091205701505793/a2041838zex-3_1.txt" TargetMode="External"/><Relationship Id="rId71" Type="http://schemas.openxmlformats.org/officeDocument/2006/relationships/hyperlink" Target="http://www.sec.gov/Archives/edgar/data/1102993/000110299319000123/exhibit42-certificateamend.htm" TargetMode="External"/><Relationship Id="rId72" Type="http://schemas.openxmlformats.org/officeDocument/2006/relationships/hyperlink" Target="http://www.sec.gov/Archives/edgar/data/1102993/000091205701505793/a2041838zex-3_2.txt" TargetMode="External"/><Relationship Id="rId73" Type="http://schemas.openxmlformats.org/officeDocument/2006/relationships/hyperlink" Target="http://www.sec.gov/Archives/edgar/data/1102993/000091205700002944/0000912057-00-002944.txt" TargetMode="External"/><Relationship Id="rId74" Type="http://schemas.openxmlformats.org/officeDocument/2006/relationships/hyperlink" Target="http://www.sec.gov/Archives/edgar/data/1102993/000110299319000026/exhibit41-indenture.htm" TargetMode="External"/><Relationship Id="rId75" Type="http://schemas.openxmlformats.org/officeDocument/2006/relationships/hyperlink" Target="http://www.sec.gov/Archives/edgar/data/1102993/000114420409031652/v151820_ex99-1.htm" TargetMode="External"/><Relationship Id="rId76" Type="http://schemas.openxmlformats.org/officeDocument/2006/relationships/hyperlink" Target="http://www.sec.gov/Archives/edgar/data/1102993/000114420411026825/v221138_ex10-1.htm" TargetMode="External"/><Relationship Id="rId77" Type="http://schemas.openxmlformats.org/officeDocument/2006/relationships/hyperlink" Target="http://www.sec.gov/Archives/edgar/data/1102993/000114420412034047/v315687_ex99-1.htm" TargetMode="External"/><Relationship Id="rId78" Type="http://schemas.openxmlformats.org/officeDocument/2006/relationships/hyperlink" Target="http://www.sec.gov/Archives/edgar/data/1102993/000114420410045617/v194223_ex99-1.htm" TargetMode="External"/><Relationship Id="rId79" Type="http://schemas.openxmlformats.org/officeDocument/2006/relationships/hyperlink" Target="http://www.sec.gov/Archives/edgar/data/1102993/000114420412014539/v303693_ex10-5.htm" TargetMode="External"/><Relationship Id="rId80" Type="http://schemas.openxmlformats.org/officeDocument/2006/relationships/hyperlink" Target="http://www.sec.gov/Archives/edgar/data/1102993/000114420412014539/v303693_ex10-6.htm" TargetMode="External"/><Relationship Id="rId81" Type="http://schemas.openxmlformats.org/officeDocument/2006/relationships/hyperlink" Target="http://www.sec.gov/Archives/edgar/data/1102993/000114420412014539/v303693_ex10-8.htm" TargetMode="External"/><Relationship Id="rId82" Type="http://schemas.openxmlformats.org/officeDocument/2006/relationships/hyperlink" Target="http://www.sec.gov/Archives/edgar/data/1102993/000114420411024667/v220093_ex10-1.htm" TargetMode="External"/><Relationship Id="rId83" Type="http://schemas.openxmlformats.org/officeDocument/2006/relationships/hyperlink" Target="http://www.sec.gov/Archives/edgar/data/1102993/000144530514002062/a2014q1livepersonex102.htm" TargetMode="External"/><Relationship Id="rId84" Type="http://schemas.openxmlformats.org/officeDocument/2006/relationships/hyperlink" Target="http://www.sec.gov/Archives/edgar/data/1102993/000110299317000121/a2017q3livepersonex105b.htm" TargetMode="External"/><Relationship Id="rId85" Type="http://schemas.openxmlformats.org/officeDocument/2006/relationships/hyperlink" Target="http://www.sec.gov/Archives/edgar/data/1102993/000110299318000030/amendmenttocfoagreement2ex.htm" TargetMode="External"/><Relationship Id="rId86" Type="http://schemas.openxmlformats.org/officeDocument/2006/relationships/hyperlink" Target="http://www.sec.gov/Archives/edgar/data/1102993/000110299318000030/rsu_2015xtime8.htm" TargetMode="External"/><Relationship Id="rId87" Type="http://schemas.openxmlformats.org/officeDocument/2006/relationships/hyperlink" Target="http://www.sec.gov/Archives/edgar/data/1102993/000110299318000030/rsu_2017xceo.htm" TargetMode="External"/><Relationship Id="rId88" Type="http://schemas.openxmlformats.org/officeDocument/2006/relationships/hyperlink" Target="http://www.sec.gov/Archives/edgar/data/1102993/000110299318000030/exhibit991inducementplan1-.htm" TargetMode="External"/><Relationship Id="rId89" Type="http://schemas.openxmlformats.org/officeDocument/2006/relationships/hyperlink" Target="http://www.sec.gov/Archives/edgar/data/1102993/000110299318000030/liveperson-execagmtlocasci.htm" TargetMode="External"/><Relationship Id="rId90" Type="http://schemas.openxmlformats.org/officeDocument/2006/relationships/hyperlink" Target="http://www.sec.gov/Archives/edgar/data/1102993/000110299318000072/ex101offerletter-alexspine.htm" TargetMode="External"/><Relationship Id="rId91" Type="http://schemas.openxmlformats.org/officeDocument/2006/relationships/hyperlink" Target="http://www.sec.gov/Archives/edgar/data/1102993/000110299318000072/ex102offerletter-chrisgrei.htm" TargetMode="External"/><Relationship Id="rId92" Type="http://schemas.openxmlformats.org/officeDocument/2006/relationships/hyperlink" Target="http://www.sec.gov/Archives/edgar/data/1102993/000110299318000133/liveperson-2018ltipex101.htm" TargetMode="External"/><Relationship Id="rId93" Type="http://schemas.openxmlformats.org/officeDocument/2006/relationships/hyperlink" Target="http://www.sec.gov/Archives/edgar/data/1102993/000110299318000133/eransepagmtex102.htm" TargetMode="External"/><Relationship Id="rId94" Type="http://schemas.openxmlformats.org/officeDocument/2006/relationships/hyperlink" Target="http://www.sec.gov/Archives/edgar/data/1102993/000110299319000026/exhibit101-formofcappedcal.htm" TargetMode="External"/><Relationship Id="rId95" Type="http://schemas.openxmlformats.org/officeDocument/2006/relationships/hyperlink" Target="http://www.sec.gov/Archives/edgar/data/1102993/000110299319000032/exhibit101-formofadditiona.htm" TargetMode="External"/><Relationship Id="rId96" Type="http://schemas.openxmlformats.org/officeDocument/2006/relationships/hyperlink" Target="http://www.sec.gov/Archives/edgar/data/1102993/000110299319000059/a2019q1livepersonex103rsu.htm" TargetMode="External"/><Relationship Id="rId97" Type="http://schemas.openxmlformats.org/officeDocument/2006/relationships/hyperlink" Target="http://www.sec.gov/Archives/edgar/data/1102993/000110299319000059/a2019q1livepersonex104rsu.htm" TargetMode="External"/><Relationship Id="rId98" Type="http://schemas.openxmlformats.org/officeDocument/2006/relationships/hyperlink" Target="http://www.sec.gov/Archives/edgar/data/1102993/000110299319000123/exhibit991-2019stockincent.htm" TargetMode="External"/><Relationship Id="rId99" Type="http://schemas.openxmlformats.org/officeDocument/2006/relationships/hyperlink" Target="http://www.sec.gov/Archives/edgar/data/1102993/000110299319000123/exhibit992-employeestockp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2020-03-02T16:08:57Z</dcterms:created>
  <dcterms:modified xsi:type="dcterms:W3CDTF">2020-03-02T16:08:57Z</dcterms:modified>
</cp:coreProperties>
</file>