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ectPr>
          <w:pgSz w:w="11900" w:h="16838" w:orient="portrait"/>
          <w:cols w:equalWidth="0" w:num="1">
            <w:col w:w="11420"/>
          </w:cols>
          <w:pgMar w:left="240" w:top="1125" w:right="239" w:bottom="1440" w:gutter="0" w:footer="0" w:header="0"/>
        </w:sectPr>
      </w:pPr>
    </w:p>
    <w:p>
      <w:pPr>
        <w:spacing w:after="0" w:line="141" w:lineRule="exact"/>
        <w:rPr>
          <w:sz w:val="24"/>
          <w:szCs w:val="24"/>
          <w:color w:val="auto"/>
        </w:rPr>
      </w:pPr>
    </w:p>
    <w:p>
      <w:pPr>
        <w:ind w:left="7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ANNUAL REPORT PURSUANT TO SECTION 13 OR 15(d)</w:t>
      </w:r>
    </w:p>
    <w:p>
      <w:pPr>
        <w:spacing w:after="0" w:line="56" w:lineRule="exact"/>
        <w:rPr>
          <w:sz w:val="24"/>
          <w:szCs w:val="24"/>
          <w:color w:val="auto"/>
        </w:rPr>
      </w:pPr>
    </w:p>
    <w:p>
      <w:pPr>
        <w:sectPr>
          <w:pgSz w:w="11900" w:h="16838" w:orient="portrait"/>
          <w:cols w:equalWidth="0" w:num="2">
            <w:col w:w="2880" w:space="720"/>
            <w:col w:w="7820"/>
          </w:cols>
          <w:pgMar w:left="240" w:top="1125" w:right="239" w:bottom="1440" w:gutter="0" w:footer="0" w:header="0"/>
          <w:type w:val="continuous"/>
        </w:sectPr>
      </w:pPr>
    </w:p>
    <w:p>
      <w:pPr>
        <w:ind w:left="392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 w:lineRule="exact"/>
        <w:rPr>
          <w:sz w:val="24"/>
          <w:szCs w:val="24"/>
          <w:color w:val="auto"/>
        </w:rPr>
      </w:pPr>
    </w:p>
    <w:p>
      <w:pPr>
        <w:ind w:left="4140"/>
        <w:spacing w:after="0"/>
        <w:rPr>
          <w:sz w:val="20"/>
          <w:szCs w:val="20"/>
          <w:color w:val="auto"/>
        </w:rPr>
      </w:pPr>
      <w:r>
        <w:rPr>
          <w:rFonts w:ascii="Arial" w:cs="Arial" w:eastAsia="Arial" w:hAnsi="Arial"/>
          <w:sz w:val="15"/>
          <w:szCs w:val="15"/>
          <w:b w:val="1"/>
          <w:bCs w:val="1"/>
          <w:color w:val="auto"/>
        </w:rPr>
        <w:t>For the Fiscal Year Ended December 31, 2018</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ectPr>
          <w:pgSz w:w="11900" w:h="16838" w:orient="portrait"/>
          <w:cols w:equalWidth="0" w:num="1">
            <w:col w:w="11420"/>
          </w:cols>
          <w:pgMar w:left="240" w:top="1125" w:right="239" w:bottom="1440" w:gutter="0" w:footer="0" w:header="0"/>
          <w:type w:val="continuous"/>
        </w:sectPr>
      </w:pPr>
    </w:p>
    <w:p>
      <w:pPr>
        <w:spacing w:after="0" w:line="171" w:lineRule="exact"/>
        <w:rPr>
          <w:sz w:val="24"/>
          <w:szCs w:val="24"/>
          <w:color w:val="auto"/>
        </w:rPr>
      </w:pPr>
    </w:p>
    <w:p>
      <w:pPr>
        <w:ind w:left="78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w:t>
      </w:r>
    </w:p>
    <w:p>
      <w:pPr>
        <w:spacing w:after="0" w:line="26" w:lineRule="exact"/>
        <w:rPr>
          <w:sz w:val="24"/>
          <w:szCs w:val="24"/>
          <w:color w:val="auto"/>
        </w:rPr>
      </w:pPr>
    </w:p>
    <w:p>
      <w:pPr>
        <w:sectPr>
          <w:pgSz w:w="11900" w:h="16838" w:orient="portrait"/>
          <w:cols w:equalWidth="0" w:num="2">
            <w:col w:w="2720" w:space="720"/>
            <w:col w:w="7980"/>
          </w:cols>
          <w:pgMar w:left="240" w:top="112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For the Transition Period from to</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Commission File Number 000-30141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LIVEPERSON,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1125" w:right="239" w:bottom="1440" w:gutter="0" w:footer="0" w:header="0"/>
          <w:type w:val="continuous"/>
        </w:sectPr>
      </w:pPr>
    </w:p>
    <w:p>
      <w:pPr>
        <w:spacing w:after="0" w:line="174"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13-3861628</w:t>
      </w:r>
    </w:p>
    <w:p>
      <w:pPr>
        <w:spacing w:after="0" w:line="99" w:lineRule="exact"/>
        <w:rPr>
          <w:sz w:val="24"/>
          <w:szCs w:val="24"/>
          <w:color w:val="auto"/>
        </w:rPr>
      </w:pPr>
    </w:p>
    <w:p>
      <w:pPr>
        <w:sectPr>
          <w:pgSz w:w="11900" w:h="16838" w:orient="portrait"/>
          <w:cols w:equalWidth="0" w:num="2">
            <w:col w:w="7580" w:space="720"/>
            <w:col w:w="3120"/>
          </w:cols>
          <w:pgMar w:left="240" w:top="1125" w:right="239" w:bottom="1440" w:gutter="0" w:footer="0" w:header="0"/>
          <w:type w:val="continuous"/>
        </w:sectPr>
      </w:pPr>
    </w:p>
    <w:p>
      <w:pPr>
        <w:ind w:left="198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ectPr>
          <w:pgSz w:w="11900" w:h="16838" w:orient="portrait"/>
          <w:cols w:equalWidth="0" w:num="2">
            <w:col w:w="7420" w:space="720"/>
            <w:col w:w="3280"/>
          </w:cols>
          <w:pgMar w:left="240" w:top="1125" w:right="239" w:bottom="1440" w:gutter="0" w:footer="0" w:header="0"/>
          <w:type w:val="continuous"/>
        </w:sectPr>
      </w:pPr>
    </w:p>
    <w:p>
      <w:pPr>
        <w:ind w:left="7940"/>
        <w:spacing w:after="0"/>
        <w:rPr>
          <w:sz w:val="20"/>
          <w:szCs w:val="20"/>
          <w:color w:val="auto"/>
        </w:rPr>
      </w:pPr>
      <w:r>
        <w:rPr>
          <w:rFonts w:ascii="Arial" w:cs="Arial" w:eastAsia="Arial" w:hAnsi="Arial"/>
          <w:sz w:val="16"/>
          <w:szCs w:val="16"/>
          <w:color w:val="auto"/>
        </w:rPr>
        <w:t>Identification Number)</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475 Tenth Avenue, 5th Floor</w:t>
      </w:r>
    </w:p>
    <w:p>
      <w:pPr>
        <w:spacing w:after="0" w:line="23"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New York, New York 10018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609-4200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Title of Each Class</w:t>
            </w: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17"/>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par value $0.001 per share</w:t>
            </w:r>
          </w:p>
        </w:tc>
        <w:tc>
          <w:tcPr>
            <w:tcW w:w="54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8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jc w:val="both"/>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0" w:lineRule="exact"/>
        <w:rPr>
          <w:sz w:val="24"/>
          <w:szCs w:val="24"/>
          <w:color w:val="auto"/>
        </w:rPr>
      </w:pPr>
    </w:p>
    <w:p>
      <w:pPr>
        <w:jc w:val="both"/>
        <w:ind w:right="20"/>
        <w:spacing w:after="0" w:line="30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jc w:val="both"/>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19" w:lineRule="exact"/>
        <w:rPr>
          <w:sz w:val="24"/>
          <w:szCs w:val="24"/>
          <w:color w:val="auto"/>
        </w:rPr>
      </w:pPr>
    </w:p>
    <w:p>
      <w:pPr>
        <w:ind w:left="120"/>
        <w:spacing w:after="0" w:line="184" w:lineRule="exact"/>
        <w:tabs>
          <w:tab w:leader="none" w:pos="2360" w:val="left"/>
          <w:tab w:leader="none" w:pos="4640" w:val="left"/>
          <w:tab w:leader="none" w:pos="6900" w:val="left"/>
          <w:tab w:leader="none" w:pos="91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4"/>
          <w:szCs w:val="14"/>
          <w:color w:val="auto"/>
        </w:rPr>
        <w:t>Emerging growth company o</w:t>
      </w:r>
    </w:p>
    <w:p>
      <w:pPr>
        <w:spacing w:after="0" w:line="143" w:lineRule="exact"/>
        <w:rPr>
          <w:sz w:val="24"/>
          <w:szCs w:val="24"/>
          <w:color w:val="auto"/>
        </w:rPr>
      </w:pPr>
    </w:p>
    <w:p>
      <w:pPr>
        <w:ind w:right="16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o 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2018 (the last business day of the registrant’s most recently completed second fiscal quarter) was approximately $1,207,203,816 (computed by reference to the last reported sale price on The Nasdaq Global Select Market on that date). The registrant does not have any non-voting common stock outstanding.</w:t>
      </w:r>
    </w:p>
    <w:p>
      <w:pPr>
        <w:spacing w:after="0" w:line="2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On February 19, 2019, 63,936,625 shares of the registrant’s common stock were outstanding.</w:t>
      </w:r>
    </w:p>
    <w:p>
      <w:pPr>
        <w:spacing w:after="0" w:line="5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right="20" w:firstLine="270"/>
        <w:spacing w:after="0" w:line="275" w:lineRule="auto"/>
        <w:rPr>
          <w:sz w:val="20"/>
          <w:szCs w:val="20"/>
          <w:color w:val="auto"/>
        </w:rPr>
      </w:pPr>
      <w:r>
        <w:rPr>
          <w:rFonts w:ascii="Arial" w:cs="Arial" w:eastAsia="Arial" w:hAnsi="Arial"/>
          <w:sz w:val="16"/>
          <w:szCs w:val="16"/>
          <w:color w:val="auto"/>
        </w:rPr>
        <w:t>Portions of the registrant’s definitive proxy statement for the 2019 Annual Meeting of Stockholders, which we plan to file subsequent to the date hereof, are incorporated by reference into Items 10, 11, 12, 13 and 14 of Part III of this Form 10-K.</w:t>
      </w:r>
    </w:p>
    <w:p>
      <w:pPr>
        <w:sectPr>
          <w:pgSz w:w="11900" w:h="16838" w:orient="portrait"/>
          <w:cols w:equalWidth="0" w:num="1">
            <w:col w:w="11420"/>
          </w:cols>
          <w:pgMar w:left="240" w:top="11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rPr>
              <w:t>LIVEPERSON,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900" w:type="dxa"/>
            <w:vAlign w:val="bottom"/>
          </w:tcPr>
          <w:p>
            <w:pPr>
              <w:jc w:val="center"/>
              <w:spacing w:after="0"/>
              <w:rPr>
                <w:sz w:val="20"/>
                <w:szCs w:val="20"/>
                <w:color w:val="auto"/>
              </w:rPr>
            </w:pPr>
            <w:r>
              <w:rPr>
                <w:rFonts w:ascii="Arial" w:cs="Arial" w:eastAsia="Arial" w:hAnsi="Arial"/>
                <w:sz w:val="18"/>
                <w:szCs w:val="18"/>
                <w:b w:val="1"/>
                <w:bCs w:val="1"/>
                <w:color w:val="auto"/>
                <w:w w:val="98"/>
              </w:rPr>
              <w:t>2018 ANNUAL REPORT ON 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800" w:type="dxa"/>
            <w:vAlign w:val="bottom"/>
            <w:gridSpan w:val="5"/>
          </w:tcPr>
          <w:p>
            <w:pPr>
              <w:ind w:left="240"/>
              <w:spacing w:after="0"/>
              <w:rPr>
                <w:sz w:val="20"/>
                <w:szCs w:val="20"/>
                <w:color w:val="auto"/>
              </w:rPr>
            </w:pPr>
            <w:r>
              <w:rPr>
                <w:rFonts w:ascii="Arial" w:cs="Arial" w:eastAsia="Arial" w:hAnsi="Arial"/>
                <w:sz w:val="16"/>
                <w:szCs w:val="16"/>
                <w:b w:val="1"/>
                <w:bCs w:val="1"/>
                <w:color w:val="auto"/>
              </w:rPr>
              <w:t>Page</w:t>
            </w:r>
          </w:p>
        </w:tc>
      </w:tr>
      <w:tr>
        <w:trPr>
          <w:trHeight w:val="33"/>
        </w:trPr>
        <w:tc>
          <w:tcPr>
            <w:tcW w:w="720" w:type="dxa"/>
            <w:vAlign w:val="bottom"/>
            <w:tcBorders>
              <w:bottom w:val="single" w:sz="8" w:color="CCFFCC"/>
            </w:tcBorders>
          </w:tcPr>
          <w:p>
            <w:pPr>
              <w:spacing w:after="0"/>
              <w:rPr>
                <w:sz w:val="2"/>
                <w:szCs w:val="2"/>
                <w:color w:val="auto"/>
              </w:rPr>
            </w:pPr>
          </w:p>
        </w:tc>
        <w:tc>
          <w:tcPr>
            <w:tcW w:w="9900" w:type="dxa"/>
            <w:vAlign w:val="bottom"/>
            <w:tcBorders>
              <w:bottom w:val="single" w:sz="8" w:color="CCFFC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FFCC"/>
            </w:tcBorders>
            <w:shd w:val="clear" w:color="auto" w:fill="CCFFCC"/>
          </w:tcPr>
          <w:p>
            <w:pPr>
              <w:spacing w:after="0"/>
              <w:rPr>
                <w:sz w:val="20"/>
                <w:szCs w:val="20"/>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w w:val="99"/>
              </w:rPr>
              <w:t>PART I</w:t>
            </w:r>
          </w:p>
        </w:tc>
        <w:tc>
          <w:tcPr>
            <w:tcW w:w="5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w:t>
            </w:r>
          </w:p>
        </w:tc>
        <w:tc>
          <w:tcPr>
            <w:tcW w:w="9900" w:type="dxa"/>
            <w:vAlign w:val="bottom"/>
          </w:tcPr>
          <w:p>
            <w:pPr>
              <w:ind w:left="120"/>
              <w:spacing w:after="0"/>
              <w:rPr>
                <w:sz w:val="20"/>
                <w:szCs w:val="20"/>
                <w:color w:val="auto"/>
              </w:rPr>
            </w:pPr>
            <w:r>
              <w:rPr>
                <w:rFonts w:ascii="Arial" w:cs="Arial" w:eastAsia="Arial" w:hAnsi="Arial"/>
                <w:sz w:val="16"/>
                <w:szCs w:val="16"/>
                <w:color w:val="auto"/>
              </w:rPr>
              <w:t>Business</w:t>
            </w:r>
          </w:p>
        </w:tc>
        <w:tc>
          <w:tcPr>
            <w:tcW w:w="780" w:type="dxa"/>
            <w:vAlign w:val="bottom"/>
            <w:gridSpan w:val="4"/>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1A.</w:t>
            </w:r>
          </w:p>
        </w:tc>
        <w:tc>
          <w:tcPr>
            <w:tcW w:w="9900" w:type="dxa"/>
            <w:vAlign w:val="bottom"/>
          </w:tcPr>
          <w:p>
            <w:pPr>
              <w:ind w:left="120"/>
              <w:spacing w:after="0"/>
              <w:rPr>
                <w:sz w:val="20"/>
                <w:szCs w:val="20"/>
                <w:color w:val="auto"/>
              </w:rPr>
            </w:pPr>
            <w:r>
              <w:rPr>
                <w:rFonts w:ascii="Arial" w:cs="Arial" w:eastAsia="Arial" w:hAnsi="Arial"/>
                <w:sz w:val="16"/>
                <w:szCs w:val="16"/>
                <w:color w:val="auto"/>
              </w:rPr>
              <w:t>Risk Factors</w:t>
            </w:r>
          </w:p>
        </w:tc>
        <w:tc>
          <w:tcPr>
            <w:tcW w:w="780" w:type="dxa"/>
            <w:vAlign w:val="bottom"/>
            <w:gridSpan w:val="4"/>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15</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1B.</w:t>
            </w:r>
          </w:p>
        </w:tc>
        <w:tc>
          <w:tcPr>
            <w:tcW w:w="9900" w:type="dxa"/>
            <w:vAlign w:val="bottom"/>
          </w:tcPr>
          <w:p>
            <w:pPr>
              <w:ind w:left="120"/>
              <w:spacing w:after="0"/>
              <w:rPr>
                <w:sz w:val="20"/>
                <w:szCs w:val="20"/>
                <w:color w:val="auto"/>
              </w:rPr>
            </w:pPr>
            <w:r>
              <w:rPr>
                <w:rFonts w:ascii="Arial" w:cs="Arial" w:eastAsia="Arial" w:hAnsi="Arial"/>
                <w:sz w:val="16"/>
                <w:szCs w:val="16"/>
                <w:color w:val="auto"/>
              </w:rPr>
              <w:t>Unresolved Staff Comments</w:t>
            </w:r>
          </w:p>
        </w:tc>
        <w:tc>
          <w:tcPr>
            <w:tcW w:w="780" w:type="dxa"/>
            <w:vAlign w:val="bottom"/>
            <w:gridSpan w:val="4"/>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2.</w:t>
            </w:r>
          </w:p>
        </w:tc>
        <w:tc>
          <w:tcPr>
            <w:tcW w:w="9900" w:type="dxa"/>
            <w:vAlign w:val="bottom"/>
          </w:tcPr>
          <w:p>
            <w:pPr>
              <w:ind w:left="120"/>
              <w:spacing w:after="0"/>
              <w:rPr>
                <w:sz w:val="20"/>
                <w:szCs w:val="20"/>
                <w:color w:val="auto"/>
              </w:rPr>
            </w:pPr>
            <w:r>
              <w:rPr>
                <w:rFonts w:ascii="Arial" w:cs="Arial" w:eastAsia="Arial" w:hAnsi="Arial"/>
                <w:sz w:val="16"/>
                <w:szCs w:val="16"/>
                <w:color w:val="auto"/>
              </w:rPr>
              <w:t>Properties</w:t>
            </w:r>
          </w:p>
        </w:tc>
        <w:tc>
          <w:tcPr>
            <w:tcW w:w="780" w:type="dxa"/>
            <w:vAlign w:val="bottom"/>
            <w:gridSpan w:val="4"/>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3.</w:t>
            </w:r>
          </w:p>
        </w:tc>
        <w:tc>
          <w:tcPr>
            <w:tcW w:w="9900" w:type="dxa"/>
            <w:vAlign w:val="bottom"/>
          </w:tcPr>
          <w:p>
            <w:pPr>
              <w:ind w:left="120"/>
              <w:spacing w:after="0"/>
              <w:rPr>
                <w:sz w:val="20"/>
                <w:szCs w:val="20"/>
                <w:color w:val="auto"/>
              </w:rPr>
            </w:pPr>
            <w:r>
              <w:rPr>
                <w:rFonts w:ascii="Arial" w:cs="Arial" w:eastAsia="Arial" w:hAnsi="Arial"/>
                <w:sz w:val="16"/>
                <w:szCs w:val="16"/>
                <w:color w:val="auto"/>
              </w:rPr>
              <w:t>Legal Proceedings</w:t>
            </w:r>
          </w:p>
        </w:tc>
        <w:tc>
          <w:tcPr>
            <w:tcW w:w="780" w:type="dxa"/>
            <w:vAlign w:val="bottom"/>
            <w:gridSpan w:val="4"/>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4.</w:t>
            </w:r>
          </w:p>
        </w:tc>
        <w:tc>
          <w:tcPr>
            <w:tcW w:w="9900" w:type="dxa"/>
            <w:vAlign w:val="bottom"/>
          </w:tcPr>
          <w:p>
            <w:pPr>
              <w:ind w:left="120"/>
              <w:spacing w:after="0"/>
              <w:rPr>
                <w:sz w:val="20"/>
                <w:szCs w:val="20"/>
                <w:color w:val="auto"/>
              </w:rPr>
            </w:pPr>
            <w:r>
              <w:rPr>
                <w:rFonts w:ascii="Arial" w:cs="Arial" w:eastAsia="Arial" w:hAnsi="Arial"/>
                <w:sz w:val="16"/>
                <w:szCs w:val="16"/>
                <w:color w:val="auto"/>
              </w:rPr>
              <w:t>Mine Safety Disclosures</w:t>
            </w:r>
          </w:p>
        </w:tc>
        <w:tc>
          <w:tcPr>
            <w:tcW w:w="780" w:type="dxa"/>
            <w:vAlign w:val="bottom"/>
            <w:gridSpan w:val="4"/>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0" w:type="dxa"/>
            <w:vAlign w:val="bottom"/>
            <w:shd w:val="clear" w:color="auto" w:fill="CCFFCC"/>
          </w:tcPr>
          <w:p>
            <w:pPr>
              <w:spacing w:after="0"/>
              <w:rPr>
                <w:sz w:val="23"/>
                <w:szCs w:val="23"/>
                <w:color w:val="auto"/>
              </w:rPr>
            </w:pPr>
          </w:p>
        </w:tc>
        <w:tc>
          <w:tcPr>
            <w:tcW w:w="9900" w:type="dxa"/>
            <w:vAlign w:val="bottom"/>
            <w:shd w:val="clear" w:color="auto" w:fill="CCFFCC"/>
          </w:tcPr>
          <w:p>
            <w:pPr>
              <w:spacing w:after="0"/>
              <w:rPr>
                <w:sz w:val="23"/>
                <w:szCs w:val="23"/>
                <w:color w:val="auto"/>
              </w:rPr>
            </w:pPr>
          </w:p>
        </w:tc>
        <w:tc>
          <w:tcPr>
            <w:tcW w:w="5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5.</w:t>
            </w:r>
          </w:p>
        </w:tc>
        <w:tc>
          <w:tcPr>
            <w:tcW w:w="9900" w:type="dxa"/>
            <w:vAlign w:val="bottom"/>
          </w:tcPr>
          <w:p>
            <w:pPr>
              <w:ind w:left="1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780" w:type="dxa"/>
            <w:vAlign w:val="bottom"/>
            <w:gridSpan w:val="4"/>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6.</w:t>
            </w:r>
          </w:p>
        </w:tc>
        <w:tc>
          <w:tcPr>
            <w:tcW w:w="9900" w:type="dxa"/>
            <w:vAlign w:val="bottom"/>
          </w:tcPr>
          <w:p>
            <w:pPr>
              <w:ind w:left="120"/>
              <w:spacing w:after="0"/>
              <w:rPr>
                <w:sz w:val="20"/>
                <w:szCs w:val="20"/>
                <w:color w:val="auto"/>
              </w:rPr>
            </w:pPr>
            <w:r>
              <w:rPr>
                <w:rFonts w:ascii="Arial" w:cs="Arial" w:eastAsia="Arial" w:hAnsi="Arial"/>
                <w:sz w:val="16"/>
                <w:szCs w:val="16"/>
                <w:color w:val="auto"/>
              </w:rPr>
              <w:t>Selected Consolidated Financial Data</w:t>
            </w:r>
          </w:p>
        </w:tc>
        <w:tc>
          <w:tcPr>
            <w:tcW w:w="780" w:type="dxa"/>
            <w:vAlign w:val="bottom"/>
            <w:gridSpan w:val="4"/>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w:t>
            </w:r>
          </w:p>
        </w:tc>
        <w:tc>
          <w:tcPr>
            <w:tcW w:w="9900" w:type="dxa"/>
            <w:vAlign w:val="bottom"/>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80" w:type="dxa"/>
            <w:vAlign w:val="bottom"/>
            <w:gridSpan w:val="4"/>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7A.</w:t>
            </w:r>
          </w:p>
        </w:tc>
        <w:tc>
          <w:tcPr>
            <w:tcW w:w="9900" w:type="dxa"/>
            <w:vAlign w:val="bottom"/>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780" w:type="dxa"/>
            <w:vAlign w:val="bottom"/>
            <w:gridSpan w:val="4"/>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8.</w:t>
            </w:r>
          </w:p>
        </w:tc>
        <w:tc>
          <w:tcPr>
            <w:tcW w:w="9900" w:type="dxa"/>
            <w:vAlign w:val="bottom"/>
          </w:tcPr>
          <w:p>
            <w:pPr>
              <w:ind w:left="120"/>
              <w:spacing w:after="0"/>
              <w:rPr>
                <w:sz w:val="20"/>
                <w:szCs w:val="20"/>
                <w:color w:val="auto"/>
              </w:rPr>
            </w:pPr>
            <w:r>
              <w:rPr>
                <w:rFonts w:ascii="Arial" w:cs="Arial" w:eastAsia="Arial" w:hAnsi="Arial"/>
                <w:sz w:val="16"/>
                <w:szCs w:val="16"/>
                <w:color w:val="auto"/>
              </w:rPr>
              <w:t>Consolidated Financial Statements and Supplementary Data</w:t>
            </w:r>
          </w:p>
        </w:tc>
        <w:tc>
          <w:tcPr>
            <w:tcW w:w="780" w:type="dxa"/>
            <w:vAlign w:val="bottom"/>
            <w:gridSpan w:val="4"/>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63</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w:t>
            </w:r>
          </w:p>
        </w:tc>
        <w:tc>
          <w:tcPr>
            <w:tcW w:w="9900" w:type="dxa"/>
            <w:vAlign w:val="bottom"/>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780" w:type="dxa"/>
            <w:vAlign w:val="bottom"/>
            <w:gridSpan w:val="4"/>
          </w:tcPr>
          <w:p>
            <w:pPr>
              <w:jc w:val="right"/>
              <w:spacing w:after="0"/>
              <w:rPr>
                <w:rFonts w:ascii="Arial" w:cs="Arial" w:eastAsia="Arial" w:hAnsi="Arial"/>
                <w:sz w:val="16"/>
                <w:szCs w:val="16"/>
                <w:color w:val="0000EE"/>
              </w:rPr>
            </w:pPr>
            <w:hyperlink w:anchor="page102">
              <w:r>
                <w:rPr>
                  <w:rFonts w:ascii="Arial" w:cs="Arial" w:eastAsia="Arial" w:hAnsi="Arial"/>
                  <w:sz w:val="16"/>
                  <w:szCs w:val="16"/>
                  <w:color w:val="0000EE"/>
                </w:rPr>
                <w:t>99</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9A.</w:t>
            </w:r>
          </w:p>
        </w:tc>
        <w:tc>
          <w:tcPr>
            <w:tcW w:w="9900" w:type="dxa"/>
            <w:vAlign w:val="bottom"/>
          </w:tcPr>
          <w:p>
            <w:pPr>
              <w:ind w:left="120"/>
              <w:spacing w:after="0"/>
              <w:rPr>
                <w:sz w:val="20"/>
                <w:szCs w:val="20"/>
                <w:color w:val="auto"/>
              </w:rPr>
            </w:pPr>
            <w:r>
              <w:rPr>
                <w:rFonts w:ascii="Arial" w:cs="Arial" w:eastAsia="Arial" w:hAnsi="Arial"/>
                <w:sz w:val="16"/>
                <w:szCs w:val="16"/>
                <w:color w:val="auto"/>
              </w:rPr>
              <w:t>Controls and Procedures</w:t>
            </w:r>
          </w:p>
        </w:tc>
        <w:tc>
          <w:tcPr>
            <w:tcW w:w="780" w:type="dxa"/>
            <w:vAlign w:val="bottom"/>
            <w:gridSpan w:val="4"/>
          </w:tcPr>
          <w:p>
            <w:pPr>
              <w:jc w:val="right"/>
              <w:spacing w:after="0"/>
              <w:rPr>
                <w:rFonts w:ascii="Arial" w:cs="Arial" w:eastAsia="Arial" w:hAnsi="Arial"/>
                <w:sz w:val="16"/>
                <w:szCs w:val="16"/>
                <w:color w:val="0000EE"/>
              </w:rPr>
            </w:pPr>
            <w:hyperlink w:anchor="page102">
              <w:r>
                <w:rPr>
                  <w:rFonts w:ascii="Arial" w:cs="Arial" w:eastAsia="Arial" w:hAnsi="Arial"/>
                  <w:sz w:val="16"/>
                  <w:szCs w:val="16"/>
                  <w:color w:val="0000EE"/>
                </w:rPr>
                <w:t>99</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9B.</w:t>
            </w:r>
          </w:p>
        </w:tc>
        <w:tc>
          <w:tcPr>
            <w:tcW w:w="9900" w:type="dxa"/>
            <w:vAlign w:val="bottom"/>
          </w:tcPr>
          <w:p>
            <w:pPr>
              <w:ind w:left="120"/>
              <w:spacing w:after="0"/>
              <w:rPr>
                <w:sz w:val="20"/>
                <w:szCs w:val="20"/>
                <w:color w:val="auto"/>
              </w:rPr>
            </w:pPr>
            <w:r>
              <w:rPr>
                <w:rFonts w:ascii="Arial" w:cs="Arial" w:eastAsia="Arial" w:hAnsi="Arial"/>
                <w:sz w:val="16"/>
                <w:szCs w:val="16"/>
                <w:color w:val="auto"/>
              </w:rPr>
              <w:t>Other Information</w:t>
            </w:r>
          </w:p>
        </w:tc>
        <w:tc>
          <w:tcPr>
            <w:tcW w:w="780" w:type="dxa"/>
            <w:vAlign w:val="bottom"/>
            <w:gridSpan w:val="4"/>
          </w:tcPr>
          <w:p>
            <w:pPr>
              <w:jc w:val="right"/>
              <w:spacing w:after="0"/>
              <w:rPr>
                <w:rFonts w:ascii="Arial" w:cs="Arial" w:eastAsia="Arial" w:hAnsi="Arial"/>
                <w:sz w:val="16"/>
                <w:szCs w:val="16"/>
                <w:color w:val="0000EE"/>
              </w:rPr>
            </w:pPr>
            <w:hyperlink w:anchor="page104">
              <w:r>
                <w:rPr>
                  <w:rFonts w:ascii="Arial" w:cs="Arial" w:eastAsia="Arial" w:hAnsi="Arial"/>
                  <w:sz w:val="16"/>
                  <w:szCs w:val="16"/>
                  <w:color w:val="0000EE"/>
                </w:rPr>
                <w:t>101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III</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10.</w:t>
            </w:r>
          </w:p>
        </w:tc>
        <w:tc>
          <w:tcPr>
            <w:tcW w:w="9900" w:type="dxa"/>
            <w:vAlign w:val="bottom"/>
          </w:tcPr>
          <w:p>
            <w:pPr>
              <w:ind w:left="120"/>
              <w:spacing w:after="0"/>
              <w:rPr>
                <w:sz w:val="20"/>
                <w:szCs w:val="20"/>
                <w:color w:val="auto"/>
              </w:rPr>
            </w:pPr>
            <w:r>
              <w:rPr>
                <w:rFonts w:ascii="Arial" w:cs="Arial" w:eastAsia="Arial" w:hAnsi="Arial"/>
                <w:sz w:val="16"/>
                <w:szCs w:val="16"/>
                <w:color w:val="auto"/>
              </w:rPr>
              <w:t>Directors, Executive Officers and Corporate Governance</w:t>
            </w:r>
          </w:p>
        </w:tc>
        <w:tc>
          <w:tcPr>
            <w:tcW w:w="780" w:type="dxa"/>
            <w:vAlign w:val="bottom"/>
            <w:gridSpan w:val="4"/>
          </w:tcPr>
          <w:p>
            <w:pPr>
              <w:jc w:val="right"/>
              <w:spacing w:after="0"/>
              <w:rPr>
                <w:rFonts w:ascii="Arial" w:cs="Arial" w:eastAsia="Arial" w:hAnsi="Arial"/>
                <w:sz w:val="16"/>
                <w:szCs w:val="16"/>
                <w:color w:val="0000EE"/>
              </w:rPr>
            </w:pPr>
            <w:hyperlink w:anchor="page104">
              <w:r>
                <w:rPr>
                  <w:rFonts w:ascii="Arial" w:cs="Arial" w:eastAsia="Arial" w:hAnsi="Arial"/>
                  <w:sz w:val="16"/>
                  <w:szCs w:val="16"/>
                  <w:color w:val="0000EE"/>
                </w:rPr>
                <w:t>101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11.</w:t>
            </w:r>
          </w:p>
        </w:tc>
        <w:tc>
          <w:tcPr>
            <w:tcW w:w="9900" w:type="dxa"/>
            <w:vAlign w:val="bottom"/>
          </w:tcPr>
          <w:p>
            <w:pPr>
              <w:ind w:left="120"/>
              <w:spacing w:after="0"/>
              <w:rPr>
                <w:sz w:val="20"/>
                <w:szCs w:val="20"/>
                <w:color w:val="auto"/>
              </w:rPr>
            </w:pPr>
            <w:r>
              <w:rPr>
                <w:rFonts w:ascii="Arial" w:cs="Arial" w:eastAsia="Arial" w:hAnsi="Arial"/>
                <w:sz w:val="16"/>
                <w:szCs w:val="16"/>
                <w:color w:val="auto"/>
              </w:rPr>
              <w:t>Executive Compensation</w:t>
            </w:r>
          </w:p>
        </w:tc>
        <w:tc>
          <w:tcPr>
            <w:tcW w:w="780" w:type="dxa"/>
            <w:vAlign w:val="bottom"/>
            <w:gridSpan w:val="4"/>
          </w:tcPr>
          <w:p>
            <w:pPr>
              <w:jc w:val="right"/>
              <w:spacing w:after="0"/>
              <w:rPr>
                <w:rFonts w:ascii="Arial" w:cs="Arial" w:eastAsia="Arial" w:hAnsi="Arial"/>
                <w:sz w:val="16"/>
                <w:szCs w:val="16"/>
                <w:color w:val="0000EE"/>
              </w:rPr>
            </w:pPr>
            <w:hyperlink w:anchor="page104">
              <w:r>
                <w:rPr>
                  <w:rFonts w:ascii="Arial" w:cs="Arial" w:eastAsia="Arial" w:hAnsi="Arial"/>
                  <w:sz w:val="16"/>
                  <w:szCs w:val="16"/>
                  <w:color w:val="0000EE"/>
                </w:rPr>
                <w:t>101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12.</w:t>
            </w:r>
          </w:p>
        </w:tc>
        <w:tc>
          <w:tcPr>
            <w:tcW w:w="9900" w:type="dxa"/>
            <w:vAlign w:val="bottom"/>
          </w:tcPr>
          <w:p>
            <w:pPr>
              <w:ind w:left="1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780" w:type="dxa"/>
            <w:vAlign w:val="bottom"/>
            <w:gridSpan w:val="4"/>
          </w:tcPr>
          <w:p>
            <w:pPr>
              <w:jc w:val="right"/>
              <w:spacing w:after="0"/>
              <w:rPr>
                <w:rFonts w:ascii="Arial" w:cs="Arial" w:eastAsia="Arial" w:hAnsi="Arial"/>
                <w:sz w:val="16"/>
                <w:szCs w:val="16"/>
                <w:color w:val="0000EE"/>
              </w:rPr>
            </w:pPr>
            <w:hyperlink w:anchor="page104">
              <w:r>
                <w:rPr>
                  <w:rFonts w:ascii="Arial" w:cs="Arial" w:eastAsia="Arial" w:hAnsi="Arial"/>
                  <w:sz w:val="16"/>
                  <w:szCs w:val="16"/>
                  <w:color w:val="0000EE"/>
                </w:rPr>
                <w:t>101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13.</w:t>
            </w:r>
          </w:p>
        </w:tc>
        <w:tc>
          <w:tcPr>
            <w:tcW w:w="9900" w:type="dxa"/>
            <w:vAlign w:val="bottom"/>
          </w:tcPr>
          <w:p>
            <w:pPr>
              <w:ind w:left="12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780" w:type="dxa"/>
            <w:vAlign w:val="bottom"/>
            <w:gridSpan w:val="4"/>
          </w:tcPr>
          <w:p>
            <w:pPr>
              <w:jc w:val="right"/>
              <w:spacing w:after="0"/>
              <w:rPr>
                <w:rFonts w:ascii="Arial" w:cs="Arial" w:eastAsia="Arial" w:hAnsi="Arial"/>
                <w:sz w:val="16"/>
                <w:szCs w:val="16"/>
                <w:color w:val="0000EE"/>
              </w:rPr>
            </w:pPr>
            <w:hyperlink w:anchor="page105">
              <w:r>
                <w:rPr>
                  <w:rFonts w:ascii="Arial" w:cs="Arial" w:eastAsia="Arial" w:hAnsi="Arial"/>
                  <w:sz w:val="16"/>
                  <w:szCs w:val="16"/>
                  <w:color w:val="0000EE"/>
                </w:rPr>
                <w:t>102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14.</w:t>
            </w:r>
          </w:p>
        </w:tc>
        <w:tc>
          <w:tcPr>
            <w:tcW w:w="9900" w:type="dxa"/>
            <w:vAlign w:val="bottom"/>
          </w:tcPr>
          <w:p>
            <w:pPr>
              <w:ind w:left="120"/>
              <w:spacing w:after="0"/>
              <w:rPr>
                <w:sz w:val="20"/>
                <w:szCs w:val="20"/>
                <w:color w:val="auto"/>
              </w:rPr>
            </w:pPr>
            <w:r>
              <w:rPr>
                <w:rFonts w:ascii="Arial" w:cs="Arial" w:eastAsia="Arial" w:hAnsi="Arial"/>
                <w:sz w:val="16"/>
                <w:szCs w:val="16"/>
                <w:color w:val="auto"/>
              </w:rPr>
              <w:t>Principal Accountant Fees and Services</w:t>
            </w:r>
          </w:p>
        </w:tc>
        <w:tc>
          <w:tcPr>
            <w:tcW w:w="780" w:type="dxa"/>
            <w:vAlign w:val="bottom"/>
            <w:gridSpan w:val="4"/>
          </w:tcPr>
          <w:p>
            <w:pPr>
              <w:jc w:val="right"/>
              <w:spacing w:after="0"/>
              <w:rPr>
                <w:rFonts w:ascii="Arial" w:cs="Arial" w:eastAsia="Arial" w:hAnsi="Arial"/>
                <w:sz w:val="16"/>
                <w:szCs w:val="16"/>
                <w:color w:val="0000EE"/>
              </w:rPr>
            </w:pPr>
            <w:hyperlink w:anchor="page105">
              <w:r>
                <w:rPr>
                  <w:rFonts w:ascii="Arial" w:cs="Arial" w:eastAsia="Arial" w:hAnsi="Arial"/>
                  <w:sz w:val="16"/>
                  <w:szCs w:val="16"/>
                  <w:color w:val="0000EE"/>
                </w:rPr>
                <w:t>102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IV</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15.</w:t>
            </w:r>
          </w:p>
        </w:tc>
        <w:tc>
          <w:tcPr>
            <w:tcW w:w="9900" w:type="dxa"/>
            <w:vAlign w:val="bottom"/>
          </w:tcPr>
          <w:p>
            <w:pPr>
              <w:ind w:left="120"/>
              <w:spacing w:after="0"/>
              <w:rPr>
                <w:sz w:val="20"/>
                <w:szCs w:val="20"/>
                <w:color w:val="auto"/>
              </w:rPr>
            </w:pPr>
            <w:r>
              <w:rPr>
                <w:rFonts w:ascii="Arial" w:cs="Arial" w:eastAsia="Arial" w:hAnsi="Arial"/>
                <w:sz w:val="16"/>
                <w:szCs w:val="16"/>
                <w:color w:val="auto"/>
              </w:rPr>
              <w:t>Exhibits and Financial Statement Schedules</w:t>
            </w:r>
          </w:p>
        </w:tc>
        <w:tc>
          <w:tcPr>
            <w:tcW w:w="780" w:type="dxa"/>
            <w:vAlign w:val="bottom"/>
            <w:gridSpan w:val="4"/>
          </w:tcPr>
          <w:p>
            <w:pPr>
              <w:jc w:val="right"/>
              <w:spacing w:after="0"/>
              <w:rPr>
                <w:rFonts w:ascii="Arial" w:cs="Arial" w:eastAsia="Arial" w:hAnsi="Arial"/>
                <w:sz w:val="16"/>
                <w:szCs w:val="16"/>
                <w:color w:val="0000EE"/>
              </w:rPr>
            </w:pPr>
            <w:hyperlink w:anchor="page105">
              <w:r>
                <w:rPr>
                  <w:rFonts w:ascii="Arial" w:cs="Arial" w:eastAsia="Arial" w:hAnsi="Arial"/>
                  <w:sz w:val="16"/>
                  <w:szCs w:val="16"/>
                  <w:color w:val="0000EE"/>
                </w:rPr>
                <w:t>102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16.</w:t>
            </w:r>
          </w:p>
        </w:tc>
        <w:tc>
          <w:tcPr>
            <w:tcW w:w="9900" w:type="dxa"/>
            <w:vAlign w:val="bottom"/>
          </w:tcPr>
          <w:p>
            <w:pPr>
              <w:ind w:left="120"/>
              <w:spacing w:after="0"/>
              <w:rPr>
                <w:sz w:val="20"/>
                <w:szCs w:val="20"/>
                <w:color w:val="auto"/>
              </w:rPr>
            </w:pPr>
            <w:r>
              <w:rPr>
                <w:rFonts w:ascii="Arial" w:cs="Arial" w:eastAsia="Arial" w:hAnsi="Arial"/>
                <w:sz w:val="16"/>
                <w:szCs w:val="16"/>
                <w:color w:val="auto"/>
              </w:rPr>
              <w:t>Form 10-K Summary</w:t>
            </w:r>
          </w:p>
        </w:tc>
        <w:tc>
          <w:tcPr>
            <w:tcW w:w="520" w:type="dxa"/>
            <w:vAlign w:val="bottom"/>
          </w:tcPr>
          <w:p>
            <w:pPr>
              <w:spacing w:after="0"/>
              <w:rPr>
                <w:sz w:val="16"/>
                <w:szCs w:val="16"/>
                <w:color w:val="auto"/>
              </w:rPr>
            </w:pPr>
          </w:p>
        </w:tc>
        <w:tc>
          <w:tcPr>
            <w:tcW w:w="26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105">
              <w:r>
                <w:rPr>
                  <w:rFonts w:ascii="Arial" w:cs="Arial" w:eastAsia="Arial" w:hAnsi="Arial"/>
                  <w:sz w:val="16"/>
                  <w:szCs w:val="16"/>
                  <w:color w:val="0000EE"/>
                  <w:w w:val="89"/>
                </w:rPr>
                <w:t>102</w:t>
              </w:r>
            </w:hyperlink>
          </w:p>
        </w:tc>
        <w:tc>
          <w:tcPr>
            <w:tcW w:w="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013" w:right="239" w:bottom="775"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13" w:right="239" w:bottom="77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THESE FORWARD-LOOKING STATEMENTS ARE BASED ON OUR CURRENT EXPECTATIONS, WHICH MAY NOT PROVE TO BE ACCURATE. MANY OF THESE STATEMENTS ARE FOUND IN THE “BUSINESS” AND “MANAGEMENT’S DISCUSSION AND ANALYSIS OF FINANCIAL CONDITION AND RESULTS OF OPERATIONS” SECTIONS OF THIS FORM 10-K. WHEN USED IN THIS FORM 10-K, THE WORDS “ESTIMATES,” “EXPECTS,” “ANTICIPATES,” “PROJECTS,” “PLANS,” “INTENDS,” “BELIEVES” AND VARIATIONS OF SUCH WORDS OR SIMILAR EXPRESSIONS ARE INTENDED TO IDENTIFY FORWARD-LOOKING STATEMENTS. ALL FORWARD-LOOKING STATEMENTS, INCLUDING, WITHOUT LIMITATION, OUR EXAMINATION OF HISTORICAL OPERATING TRENDS, ARE BASED UPON OUR CURRENT EXPECTATIONS AND VARIOUS ASSUMPTIONS. OUR EXPECTATIONS, BELIEFS AND PROJECTIONS ARE EXPRESSED IN GOOD FAITH, AND WE BELIEVE THERE IS A REASONABLE BASIS FOR THEM, BUT WE CANNOT ASSURE YOU THAT OUR EXPECTATIONS, BELIEFS AND PROJECTIONS WILL BE REALIZED. ANY SUCH FORWARD-LOOKING STATEMENTS ARE MADE PURSUANT TO THE SAFE HARBOR PROVISIONS OF THE PRIVATE SECURITIES LITIGATION REFORM ACT OF 1995.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ACTUAL EVENTS OR RESULTS MAY DIFFER MATERIALLY FROM THOSE CONTAINED IN THE PROJECTIONS OR FORWARD-LOOKING STATEMENTS. IMPORTANT FACTORS THAT COULD CAUSE OUR ACTUAL RESULTS TO DIFFER MATERIALLY FROM THE FORWARD-LOOKING STATEMENTS WE MAKE IN THIS FORM 10-K ARE SET FORTH IN THIS FORM 10-K, INCLUDING THE FACTORS DESCRIBED IN THE SECTION ENTITLED “ITEM 1A — RISK FACTORS.” IF ANY OF THESE RISKS OR UNCERTAINTIES MATERIALIZE, OR IF ANY OF OUR UNDERLYING ASSUMPTIONS ARE INCORRECT, OUR ACTUAL RESULTS MAY DIFFER SIGNIFICANTLY FROM THE RESULTS THAT WE EXPRESS IN OR IMPLY BY ANY OF OUR FORWARD-LOOKING STATEMENTS. WE DO NOT UNDERTAKE ANY OBLIGATION TO REVISE THESE FORWARD-LOOKING STATEMENTS TO REFLECT FUTURE EVENTS OR CIRCUMSTANCES.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LivePerson, Inc. (“LivePerson”, the “Company”, “we” or “our”) makes life easier by transforming how people communicate with brands.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We call these AI and human-assisted conversational experiences over messaging Conversational Commerce.</w:t>
      </w:r>
    </w:p>
    <w:p>
      <w:pPr>
        <w:spacing w:after="0" w:line="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LiveEngage, our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Complementing LiveEngage are teams of technical, solutions and consulting professionals that have developed deep domain expertise in Conversational Commerce across industries and messaging endpoints. We are a leading authority in Conversational Commerce, publishing a proprietary Conversational Quotient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 LivePerson’s products, coupled with our domain knowledge, industry expertise and professional services, have been proven to maximize the effectiveness of Conversational Commerce and deliver measurable return on investment. Certain of our customers have achieved the following advantages from LiveEngage:</w:t>
      </w:r>
    </w:p>
    <w:p>
      <w:pPr>
        <w:spacing w:after="0" w:line="83" w:lineRule="exact"/>
        <w:rPr>
          <w:sz w:val="20"/>
          <w:szCs w:val="20"/>
          <w:color w:val="auto"/>
        </w:rPr>
      </w:pPr>
    </w:p>
    <w:p>
      <w:pPr>
        <w:ind w:left="1280" w:right="300" w:hanging="327"/>
        <w:spacing w:after="0" w:line="291"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280" w:hanging="327"/>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280" w:right="32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ind w:left="1280" w:right="4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280" w:hanging="327"/>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13" w:right="239" w:bottom="1440" w:gutter="0" w:footer="0" w:header="0"/>
        </w:sectPr>
      </w:pPr>
    </w:p>
    <w:bookmarkStart w:id="4" w:name="page5"/>
    <w:bookmarkEnd w:id="4"/>
    <w:p>
      <w:pPr>
        <w:ind w:left="1280" w:right="100" w:hanging="327"/>
        <w:spacing w:after="0" w:line="258"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spacing w:after="0" w:line="1" w:lineRule="exact"/>
        <w:rPr>
          <w:rFonts w:ascii="Arial" w:cs="Arial" w:eastAsia="Arial" w:hAnsi="Arial"/>
          <w:sz w:val="18"/>
          <w:szCs w:val="18"/>
          <w:color w:val="auto"/>
        </w:rPr>
      </w:pPr>
    </w:p>
    <w:p>
      <w:pPr>
        <w:ind w:left="1280" w:hanging="327"/>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280" w:hanging="327"/>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280" w:right="220" w:hanging="327"/>
        <w:spacing w:after="0" w:line="261"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184" w:lineRule="exact"/>
        <w:rPr>
          <w:sz w:val="20"/>
          <w:szCs w:val="20"/>
          <w:color w:val="auto"/>
        </w:rPr>
      </w:pPr>
    </w:p>
    <w:p>
      <w:pPr>
        <w:jc w:val="both"/>
        <w:ind w:left="340" w:firstLine="1296"/>
        <w:spacing w:after="0" w:line="30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 than 18,000 businesses, including Citibank, HSBC, Orange, and The Home Depot use our Conversational Commerce solutions to orchestrate humans and AI, at scale, and create a convenient, deeply personal relationship.</w:t>
      </w:r>
    </w:p>
    <w:p>
      <w:pPr>
        <w:spacing w:after="0" w:line="62" w:lineRule="exact"/>
        <w:rPr>
          <w:sz w:val="20"/>
          <w:szCs w:val="20"/>
          <w:color w:val="auto"/>
        </w:rPr>
      </w:pPr>
    </w:p>
    <w:p>
      <w:pPr>
        <w:jc w:val="both"/>
        <w:ind w:firstLine="673"/>
        <w:spacing w:after="0" w:line="286"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5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San Francisco (California) and Seattle (Washington), and international offices in Amsterdam (Netherlands), Berlin (Germany), London (United Kingdom), Mannheim (Germany), Melbourne (Australia), Milan (Italy), Paris (France), Ra'anana (Israel), Reading (United Kingdom), Tel Aviv (Israel), and Tokyo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LivePerson's LiveEngage platform enables consumers and businesses to use natural language over conversational interfaces such as SMS, Messenger, Apple Business Chat, Google’s Rich Business Messenger, and in-home personal assistants like Alexa, in order get answers to questions, make purchases and resolve customer care inquiries. These conversational messaging capabilities target lower costs and increased customer satisfaction, retention and revenue by utilizing human agents, AI and bots to provide convenient, personalized and content-rich communication as alternatives to calling a 1-800 number, navigating a website or downloading an app.</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view is that once a consumer has established their favorite brands as contacts in their preferred messaging app, they will no longer see a need to call that brand’s 1-800 number, visit their website or download their app. Instead, they will simply select the contact, open up the thread with their entire history with the brand, and then renew the conversation. As a result, the billions of dollars previously invested by brands across these legacy channels will be increasingly allocated to Conversational Commerce experiences on LiveEngage.</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brands have predominantly promoted calling the 1-800 number or using email as the primary means of contact with consumers. According to a 2018 IBM report, approximately 270 billion customer service calls are made to contact centers each year. With a median cost per call of approximately $5.60, according to US Contact Center Decision-Makers' Guide, we estimate that businesses spend approximately $1.5 trillion annually to support their 1-800 number call centers. We believe that moving these calls to messaging represents the largest portion of what we estimate is a nearly $200 billion addressable market. We arrive at this target by extrapolating our current average revenue per interaction to the global market of 270 billion annual services calls.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LivePerson is already capitalizing on this Conversational Commerce transformation. We cite the following considerations:</w:t>
      </w:r>
    </w:p>
    <w:p>
      <w:pPr>
        <w:spacing w:after="0" w:line="117" w:lineRule="exact"/>
        <w:rPr>
          <w:sz w:val="20"/>
          <w:szCs w:val="20"/>
          <w:color w:val="auto"/>
        </w:rPr>
      </w:pPr>
    </w:p>
    <w:p>
      <w:pPr>
        <w:jc w:val="both"/>
        <w:ind w:left="1040" w:hanging="316"/>
        <w:spacing w:after="0" w:line="25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preference has already shifted away from calling to messaging in our personal lives. Gartner, a technology research firm, estimates that the proportion of voice-based communication will drop from 41% in 2017 to 12% in 2022. In contrast, WhatsApp and Facebook users combined send more than 65 billion messages a day, and, according to Portio Research, people worldwide were estimated to send an estimated 23 billion text messages a day in 2015. According to Gartner, by 2020, more than 500 million consumers will use voice-enabled conversational AI to purchase on digital commerce platforms, growing from 160 million in 2017. The International Smartphone Mobility Report by mobile data tracking firm Infomate found that Americans spend about 26 minutes a day texting, as compared to six minutes a day on voice calls. A survey by transportation booking app, Hailo, found that making phone calls has dropped to the sixth most popular use of a mobile device, behind sending messages, receiving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5" w:name="page6"/>
    <w:bookmarkEnd w:id="5"/>
    <w:p>
      <w:pPr>
        <w:ind w:left="1040"/>
        <w:spacing w:after="0" w:line="352" w:lineRule="auto"/>
        <w:rPr>
          <w:sz w:val="20"/>
          <w:szCs w:val="20"/>
          <w:color w:val="auto"/>
        </w:rPr>
      </w:pPr>
      <w:r>
        <w:rPr>
          <w:rFonts w:ascii="Arial" w:cs="Arial" w:eastAsia="Arial" w:hAnsi="Arial"/>
          <w:sz w:val="16"/>
          <w:szCs w:val="16"/>
          <w:color w:val="auto"/>
        </w:rPr>
        <w:t>messages, checking email, surfing the Web, and using the alarm clock. The adoption of messaging has not been constrained to younger generations. According to Experian Marketing Services, adults 55 and older send and receive an average of nearly 500 text messages a month.</w:t>
      </w:r>
    </w:p>
    <w:p>
      <w:pPr>
        <w:spacing w:after="0" w:line="1" w:lineRule="exact"/>
        <w:rPr>
          <w:sz w:val="20"/>
          <w:szCs w:val="20"/>
          <w:color w:val="auto"/>
        </w:rPr>
      </w:pPr>
    </w:p>
    <w:p>
      <w:pPr>
        <w:jc w:val="both"/>
        <w:ind w:left="1040" w:hanging="316"/>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Calling a 1-800 number typically leads to a poor customer experience.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w:t>
      </w:r>
    </w:p>
    <w:p>
      <w:pPr>
        <w:spacing w:after="0" w:line="10" w:lineRule="exact"/>
        <w:rPr>
          <w:rFonts w:ascii="Arial" w:cs="Arial" w:eastAsia="Arial" w:hAnsi="Arial"/>
          <w:sz w:val="17"/>
          <w:szCs w:val="17"/>
          <w:color w:val="auto"/>
        </w:rPr>
      </w:pPr>
    </w:p>
    <w:p>
      <w:pPr>
        <w:jc w:val="both"/>
        <w:ind w:left="1040" w:hanging="316"/>
        <w:spacing w:after="0" w:line="25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Conversational Commerce, which harnesses the power of human agents, bots and AI over messaging has been demonstrated to provide a superior alternative to voice calls. LivePerson customers typically see contact center agent efficiency increase by at least two times for messaging on our platform versus voice, while fueling higher customer satisfaction and increased sales conversions. According to a RingCentral survey, “at least 78% of consumers who text wish they could have a text conversation with a business.” An Amdocs global consumer survey had a similar finding, with 76% of consumers stating they would rather use a mobile app than call the contact center. According to Forrester Research's Customer Experience Survey, 73% of US online adults say that valuing their time is the most important thing a company can do to provide them with good service.</w:t>
      </w:r>
    </w:p>
    <w:p>
      <w:pPr>
        <w:spacing w:after="0" w:line="27" w:lineRule="exact"/>
        <w:rPr>
          <w:rFonts w:ascii="Arial" w:cs="Arial" w:eastAsia="Arial" w:hAnsi="Arial"/>
          <w:sz w:val="18"/>
          <w:szCs w:val="18"/>
          <w:color w:val="auto"/>
        </w:rPr>
      </w:pPr>
    </w:p>
    <w:p>
      <w:pPr>
        <w:jc w:val="both"/>
        <w:ind w:left="1040" w:hanging="316"/>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believe the combination of strong alignment to consumer communication preferences, high returns on investment and a growing list of proven referenceable customers has positioned Conversational Commerce at an inflection point. More than 40% of our enterprise customers had adopted messaging by the end of 2018, up from approximately 20% at the end of 2017 and less than 10% at the end of 2016. In addition, more than 50% of messaging conversations had automation attached at the end of 2018, up from approximately 25% at the end of 2017. Mobile accounted for 54% of our interactions in the fourth quarter of 2018, up from 44% in the year-earlier period.</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market share opportunities in the legacy 1-800 number call center, we believe that consumer traffic and digital spending will increasingly shift away from websites and mobile apps to Conversational Commerce engagements on our platform. We think that websites and e-commerce have not lived up to the expectations of businesses and that consumers are likewise frustrated with the navigational experience and the challenges of getting questions answered on websites. In fact, after more than 20 years, e-commerce still only accounts for approximately 11% of total commerce and, in the United States, Amazon.com accounts for approximately half of this share. Even more alarming, is the growing disconnect as consumers go mobile. According to Adobe Analytics, on Cyber Monday in 2018, mobile accounted for approximately 51% of overall website traffic, but accounted for only approximately 31% of total revenue generated.</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low penetration rates of online and mobile e-commerce reflect disappointing website conversion rates, which average less than 5%. Low conversion rates are likely a factor of the trend for websites to be designed for content, as opposed to commerce, so that they can be indexed to show up in web searches. According to Forrester Research, 53% of customers are likely to abandon their online purchases if they can't find quick answers to their questions. This conflict between content and commerce not only impacts revenue, but also drives higher costs, as we estimate that 60%-80% of all calls to 1-800 numbers originate from consumers first visiting a website and then getting confused or not obtaining the answers they seek.</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the LiveEngage platform, which powers Conversational Commerce, once again provides a superior alternative. Certain LivePerson customers have demonstrated increases in website sales of up to 20%, while lowering the cost of engagement relative to voice or email. No longer are consumers navigating through clicks and searches to find answers across multiple static web pages. Instead they use natural language to engage conversationally with a brand. These conversations can be personalized to each brand’s unique identity and to each consumer’s unique history and preferences. The engagements are content rich, featuring images, reviews, ratings, and videos, and they are convenient, letting the consumer drive the conversation when it meets their needs, and offering the ability to integrate to credit cards, pay wallets and calendars.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believe that LiveEngage will steadily eliminate the need for investment in branded apps. We conclude that consumers will increasingly opt to connect with brands through their preferred messaging channels, such as Apple Business Chat, WhatsApp, SMS, Messenger, or Twitter, rather than clutter their mobile devices, waste storage, and potentially impact performance by downloading a multitude of individual apps.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Another emerging market opportunity for LivePerson is the leveraging of brick and mortar operations as an extension of the contact center. Retailers, telecommunications companies, and financial services companies, among others, all operate brick and mortar storefronts, where thousands of employees often sit idle during off peak hours. LiveEngage enables our customers to set up campaigns where these employees can connect through messaging to customers in their community, with check-ins, follow ups, and special offers, reinforcing relationships at the local level. For example, a telecommunications company targeted consumers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44" w:right="239" w:bottom="1440" w:gutter="0" w:footer="0" w:header="0"/>
        </w:sectPr>
      </w:pPr>
    </w:p>
    <w:bookmarkStart w:id="6" w:name="page7"/>
    <w:bookmarkEnd w:id="6"/>
    <w:p>
      <w:pPr>
        <w:jc w:val="both"/>
        <w:spacing w:after="0" w:line="312" w:lineRule="auto"/>
        <w:rPr>
          <w:sz w:val="20"/>
          <w:szCs w:val="20"/>
          <w:color w:val="auto"/>
        </w:rPr>
      </w:pPr>
      <w:r>
        <w:rPr>
          <w:rFonts w:ascii="Arial" w:cs="Arial" w:eastAsia="Arial" w:hAnsi="Arial"/>
          <w:sz w:val="16"/>
          <w:szCs w:val="16"/>
          <w:color w:val="auto"/>
        </w:rPr>
        <w:t>that were local to its storefronts with a trade-in offer. Additionally, our platform can arm employees in the field with the ability to rapidly obtain answers to questions as they engage with customers in the stores. For example, a consumer may have a specific question about a new appliance in a home improvement store, and the employee can engage through our platform with a specialist bot or human agent to obtained detailed information on that appliance.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Conversational Commerce. </w:t>
      </w:r>
      <w:r>
        <w:rPr>
          <w:rFonts w:ascii="Arial" w:cs="Arial" w:eastAsia="Arial" w:hAnsi="Arial"/>
          <w:sz w:val="18"/>
          <w:szCs w:val="18"/>
          <w:color w:val="auto"/>
        </w:rPr>
        <w:t>LivePerson brought our first customer live on messaging in June 2016.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time, we have been focused on building awareness for Conversational Commerce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that target executives from enterprise customers and prospects, and feature a key theme within Conversational Commerce, such as Apple Business Chat, Google Rich Business Messenger, IVR deflection or AI. LivePerson customers are the centerpoint of these summits, presenting why they chose LivePerson for Conversational Commerce,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2018, we had brought more than 200 customers live on messaging and increased adoption within our enterprise customers to more than 40%. In addition, more than 50% of messaging conversations had automation attached. We will continue to focus on building awareness for Conversational Commerce and driving adoption of messaging and AI across our customer base.</w:t>
      </w:r>
    </w:p>
    <w:p>
      <w:pPr>
        <w:spacing w:after="0" w:line="58"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5"/>
          <w:szCs w:val="15"/>
          <w:b w:val="1"/>
          <w:bCs w:val="1"/>
          <w:i w:val="1"/>
          <w:iCs w:val="1"/>
          <w:color w:val="auto"/>
        </w:rPr>
        <w:t xml:space="preserve">Increase volumes on LiveEngage by deploying a broad messaging ecosystem and expanding customer use cases. </w:t>
      </w:r>
      <w:r>
        <w:rPr>
          <w:rFonts w:ascii="Arial" w:cs="Arial" w:eastAsia="Arial" w:hAnsi="Arial"/>
          <w:sz w:val="15"/>
          <w:szCs w:val="15"/>
          <w:color w:val="auto"/>
        </w:rPr>
        <w:t>Our strategy is to drive higher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volumes on LiveEngage by going both wide across messaging endpoints and deep across consumer use cases.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order to go wide across messaging endpoints, it is imperative that LiveEngage integrates to all of the messaging apps that consumers prefer to use for communication. For example, if a consumer is an avid WhatsApp user, and a brand only offers SMS as a messaging option, that consumer may be reluctant to try messaging the brand. Therefore, a key strategy of ours has been to build one of the industry’s broadest ecosystems of messaging endpoints. In June 2016, we launched with In-App messaging. In 2017, we introduced Facebook Messenger, SMS, Web messaging and IVR deflection integrations. In 2018, we added Apple Business Chat, Google Rich Business Messenger, Line, WhatsApp, Alexa, Google Home, Google Ad Lingo and Twitter.</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channel added opens the door to hundreds of millions of new consumers, providing brands a greater opportunity to shift share away from their legacy contact center channels into messaging. LivePerson makes the management of all these disparate channels seamless to the brand. The LiveEngage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go deep across customer use cases, we are focused on extending LiveEngage beyond just taking share of the 270 billion calls made to customer service 1-800 numbers each year, into sales, marketing and brick and mortar conversations. For example, in 2018, a home improvement retailer launched a bot that autonomously sells millions of dollars of grills; a leading global concessions manager launched a service that lets patrons in a sports arena order beverages to their seats through Apple Business Chat; and a telecommunications company used LiveEngage to drive pre-sales for an iPhone series launch.</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this strategy has influenced LivePerson’s enterprise and mid-market revenue retention rate, (the trailing-twelve-month change in total revenue from existing customers after upsells, downsells and attrition) which was greater than 110% in 2018. The benefit can also be seen in LivePerson’s average revenue per user (ARPU) for our enterprise and mid-market customers, which increased more than 25% in 2018 to approximately $285,000 from approximately $220,000 in 2017. For this same customer set, when examining only the subset that have adopted messaging, the ARPU in 2018 increased to approximately $500,000. When examining customers that have adopted at least three endpoints, the APRU in 2018 increased into the low seven figures. We believe these ARPU trends are a clear indication of how LivePerson’s strategy to drive messaging adoption has successfully influenced our revenue growth by taking share from legacy communication channels. We will continue to focus on adding new messaging endpoints and driving higher adoption of each of these channels within our customer base.</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Globalize R&amp;D to attract the industry’s best AI, machine learning and conversational talent. </w:t>
      </w:r>
      <w:r>
        <w:rPr>
          <w:rFonts w:ascii="Arial" w:cs="Arial" w:eastAsia="Arial" w:hAnsi="Arial"/>
          <w:sz w:val="18"/>
          <w:szCs w:val="18"/>
          <w:color w:val="auto"/>
        </w:rPr>
        <w:t>We believe that AI and machine learning are 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successfully scaling Conversational Commerce, and that in order to develop the industry’s leading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technology, we need to open offices where the best talent is located. To spearhead that globalization effort, in 2018, LivePerson recruited Alex Spinelli, key architect of the Alexa Operating System at Amazon.com, as our Global CTO. Under Mr. Spinelli’s leadership, LivePerson opened an Advanced Technology Center in Seattle, Washington, in 2018, expanded our Mannheim, Germany development center, and added key development talent through the acquisitions of BotCentral in Mountain View, California and Conversable in Austin, Texas. The Company added more than 70 machine learning, AI and Conversational Commerce developers in 2018, recruiting top talent from firms such as Nike, Amazon.com, Microsoft and Target. We expect to continue adding industry leading development talent across our global offices in 2019.</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Conversational Commerce. </w:t>
      </w:r>
      <w:r>
        <w:rPr>
          <w:rFonts w:ascii="Arial" w:cs="Arial" w:eastAsia="Arial" w:hAnsi="Arial"/>
          <w:sz w:val="17"/>
          <w:szCs w:val="17"/>
          <w:color w:val="auto"/>
        </w:rPr>
        <w:t>We believe that over the past few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many vendors introduced AI and bot offerings that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Commerce platforms such as LiveEngage. In December 2018, LivePerson announced Maven, a patent pending AI engine that is designed to overcome these shortcomings and help brands rapidly bring to market conversational AI that can scale to millions of interactions, while increasing customer satisfaction and conversion rates.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Maven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Maven gives brands the ability to leverage the employees closest to the customer, those who are most versed in the voice of the brand, and with the most expertise in how to craft successful outcomes for customer service and sales journeys.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key innovations behind Maven include:</w:t>
      </w:r>
    </w:p>
    <w:p>
      <w:pPr>
        <w:spacing w:after="0" w:line="117" w:lineRule="exact"/>
        <w:rPr>
          <w:sz w:val="20"/>
          <w:szCs w:val="20"/>
          <w:color w:val="auto"/>
        </w:rPr>
      </w:pPr>
    </w:p>
    <w:p>
      <w:pPr>
        <w:ind w:left="1040" w:hanging="316"/>
        <w:spacing w:after="0" w:line="25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spacing w:after="0" w:line="1" w:lineRule="exact"/>
        <w:rPr>
          <w:rFonts w:ascii="Arial" w:cs="Arial" w:eastAsia="Arial" w:hAnsi="Arial"/>
          <w:sz w:val="18"/>
          <w:szCs w:val="18"/>
          <w:color w:val="auto"/>
        </w:rPr>
      </w:pP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40" w:hanging="316"/>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AI NLU integration, so customers aren't boxed into one vendor</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 analytics and reporting tailored to Conversational Commerce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enhance the Maven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6"/>
          <w:szCs w:val="16"/>
          <w:color w:val="auto"/>
        </w:rPr>
        <w:t>We believe that most contact center technology vendors incorrectly view messaging as a feature. They are content with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integrations to a messaging endpoint and offering messaging as just another product in their suite. LivePerson holds the perspective that messaging and AI are the foundation for Conversational Commerce, which transforms how agents operate and how brands engage with consumers across service, sales, marketing,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Commerce relationship, and traffic will steadily shift away from lower returning voice calls, websites and apps to higher returning messaging endpoints.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its technology and expertise:</w:t>
      </w:r>
    </w:p>
    <w:p>
      <w:pPr>
        <w:spacing w:after="0" w:line="117" w:lineRule="exact"/>
        <w:rPr>
          <w:sz w:val="20"/>
          <w:szCs w:val="20"/>
          <w:color w:val="auto"/>
        </w:rPr>
      </w:pPr>
    </w:p>
    <w:p>
      <w:pPr>
        <w:jc w:val="both"/>
        <w:ind w:left="1040" w:hanging="316"/>
        <w:spacing w:after="0" w:line="25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1" w:lineRule="exact"/>
        <w:rPr>
          <w:rFonts w:ascii="Arial" w:cs="Arial" w:eastAsia="Arial" w:hAnsi="Arial"/>
          <w:sz w:val="18"/>
          <w:szCs w:val="18"/>
          <w:color w:val="auto"/>
        </w:rPr>
      </w:pPr>
    </w:p>
    <w:p>
      <w:pPr>
        <w:jc w:val="both"/>
        <w:ind w:left="1040" w:hanging="316"/>
        <w:spacing w:after="0" w:line="232"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Index that measures each customer across multiple key indicators to ascertain their level of conversational maturity. Each business is then benchmarked against industry peers to determine their relative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7" w:right="239" w:bottom="1440" w:gutter="0" w:footer="0" w:header="0"/>
        </w:sectPr>
      </w:pPr>
    </w:p>
    <w:bookmarkStart w:id="8" w:name="page9"/>
    <w:bookmarkEnd w:id="8"/>
    <w:p>
      <w:pPr>
        <w:jc w:val="both"/>
        <w:ind w:left="1040"/>
        <w:spacing w:after="0" w:line="311" w:lineRule="auto"/>
        <w:rPr>
          <w:sz w:val="20"/>
          <w:szCs w:val="20"/>
          <w:color w:val="auto"/>
        </w:rPr>
      </w:pPr>
      <w:r>
        <w:rPr>
          <w:rFonts w:ascii="Arial" w:cs="Arial" w:eastAsia="Arial" w:hAnsi="Arial"/>
          <w:sz w:val="18"/>
          <w:szCs w:val="18"/>
          <w:color w:val="auto"/>
        </w:rPr>
        <w:t>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LivePerson’s differentiated approach to the Conversational Commerce industry,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81" w:lineRule="exact"/>
        <w:rPr>
          <w:sz w:val="20"/>
          <w:szCs w:val="20"/>
          <w:color w:val="auto"/>
        </w:rPr>
      </w:pPr>
    </w:p>
    <w:p>
      <w:pPr>
        <w:jc w:val="both"/>
        <w:ind w:firstLine="221"/>
        <w:spacing w:after="0" w:line="276"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our market position by increasing our customer base,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Healthcare, insurance, real estate and energy utilities are new target industries and natural extensions of our primary target markets. We are increasingly structuring our field organization to emphasize our domain expertise and strengthen customer relationships across target industries.</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expanding our international revenue contribution, which increased to 41% of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 2018, from 37% in 2017 and 34% in 2016. We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79" w:lineRule="exact"/>
        <w:rPr>
          <w:sz w:val="20"/>
          <w:szCs w:val="20"/>
          <w:color w:val="auto"/>
        </w:rPr>
      </w:pPr>
    </w:p>
    <w:p>
      <w:pPr>
        <w:jc w:val="both"/>
        <w:ind w:firstLine="279"/>
        <w:spacing w:after="0" w:line="273"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capable of offering additional applications and services to our customers. We integrate into nearly a dozen third-party messaging endpoints including SMS, Facebook Messenger, Apple Business Chat, Google Rich Business Messenger, Line, WhatsApp, Alexa, Google Home, Google Ad Lingo and Twitter, multiple IVR vendors and dozens of branded apps. Our offering is AI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opened up access to our platform and our products with more than three dozen APIs that allow customers and third parties to develop on top of our platform. Customers and partners can utilize these APIs to build our capabilities into their own applications and to enhance our applications with their services. In 2019, we expect to increase our marketing efforts to developers, raising awareness for how they can build programs and services on top of our platform.</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Expand sales partnerships to broaden our presence and accelerate sales cycles. </w:t>
      </w:r>
      <w:r>
        <w:rPr>
          <w:rFonts w:ascii="Arial" w:cs="Arial" w:eastAsia="Arial" w:hAnsi="Arial"/>
          <w:sz w:val="18"/>
          <w:szCs w:val="18"/>
          <w:color w:val="auto"/>
        </w:rPr>
        <w:t>We are focused on broadening our market reach and accelerating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cycles by partnering with systems integrators, technology providers, business process outsourcers, value added resellers and other sales partners. We formalized a relationship with IBM Global Business Services in 2017 and Accenture in 2018. LivePerson increased the number of partners focused on SMBs by more than 300% in 2018, to over 150 at year end from over 40 at the start of the year. These efforts are increasingly yielding positive results for us, as nearly one-third of annual contract value signed in 2018 was directly influenced by partners. We expect to increase investment in our partner channels in 2019.</w:t>
      </w:r>
    </w:p>
    <w:p>
      <w:pPr>
        <w:spacing w:after="0" w:line="85"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50"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44"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solutions offerings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LivePerson’s hosted platforms harness human, AI and bot-powered messaging on mobile apps, mobile and desktop web browsers, SMS, social media and third-party consumer messaging platforms. Our business-to-business services are all managed from a single user interface. By supplying a complete, unified consumer view, our solutions enable businesses to deliver a relevant, timely, personalized, and seamless consumer experience for heads of digital and customer care, as well as e-commerce, marketing, and contact center executives. In addition to product offerings, LivePerson provides professional services and value-added business consulting to support complete deployment and optimization of our enterprise solutions. Revenue attributable to our monthly hosted Business services accounted for 79% of total revenue for the year ended December 31, 2018 and 82% of total revenue for the years ended December 31, 2017 and 2016.</w:t>
      </w:r>
    </w:p>
    <w:p>
      <w:pPr>
        <w:spacing w:after="0" w:line="81"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LiveEngage. </w:t>
      </w:r>
      <w:r>
        <w:rPr>
          <w:rFonts w:ascii="Arial" w:cs="Arial" w:eastAsia="Arial" w:hAnsi="Arial"/>
          <w:sz w:val="17"/>
          <w:szCs w:val="17"/>
          <w:color w:val="auto"/>
        </w:rPr>
        <w:t>LiveEngage, LivePerson’s enterprise-class, cloud-based platform, enables businesses and consumers to connect through conversational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interfaces, such as in-app and mobile messaging, while leveraging bots and AI to increase efficiency. The platform, which is targeted at heads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Potential benefits of LiveEngage include increased agent efficiency, decreased customer care costs, improved customer experiences, higher conversion rates and increased customer lifetime value.</w:t>
      </w:r>
    </w:p>
    <w:p>
      <w:pPr>
        <w:spacing w:after="0" w:line="70" w:lineRule="exact"/>
        <w:rPr>
          <w:sz w:val="20"/>
          <w:szCs w:val="20"/>
          <w:color w:val="auto"/>
        </w:rPr>
      </w:pPr>
    </w:p>
    <w:p>
      <w:pPr>
        <w:jc w:val="both"/>
        <w:ind w:firstLine="516"/>
        <w:spacing w:after="0" w:line="255" w:lineRule="auto"/>
        <w:rPr>
          <w:sz w:val="20"/>
          <w:szCs w:val="20"/>
          <w:color w:val="auto"/>
        </w:rPr>
      </w:pPr>
      <w:r>
        <w:rPr>
          <w:rFonts w:ascii="Arial" w:cs="Arial" w:eastAsia="Arial" w:hAnsi="Arial"/>
          <w:sz w:val="18"/>
          <w:szCs w:val="18"/>
          <w:color w:val="auto"/>
        </w:rPr>
        <w:t>LiveEngage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SMS, social media and third-party consumer messaging platforms. Brands can also use LiveEngage to message consumers when they dial a 1-800 number instead of having them navigate interactive voice response systems and wait on hold. The platform seamlessly integrates LivePerson’s Maven AI engine as well as third-party bots, enabling brands to manage both AI-based agents and human agents from a single console.</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robust, cloud-based suite of rich mobile messaging and real-time chat offerings features intelligent routing and capacity mapping, queue prioritization, customer sentiment, real-time analytics and reporting, content delivery, Payment Card Industry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LiveEngage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LiveEngage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LiveEngage also reduces costs in the contact center relative to voice, by identifying consumers who may be struggling with their self-help experience, and proactively connecting them to a live consumer care specialist via messaging,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spacing w:after="0" w:line="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Maven</w:t>
      </w:r>
      <w:r>
        <w:rPr>
          <w:rFonts w:ascii="Arial" w:cs="Arial" w:eastAsia="Arial" w:hAnsi="Arial"/>
          <w:sz w:val="18"/>
          <w:szCs w:val="18"/>
          <w:color w:val="auto"/>
        </w:rPr>
        <w:t>. Maven, announced in December 2018, operates as the brains behind new LivePerson AI-based products, and was developed using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conversational data set of millions of brand-to-consumer interactions. Maven was custom designed for Conversational Commerce, putting the power of bot development, training and management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 Some of the first products developed on the Maven AI engine include:</w:t>
      </w:r>
    </w:p>
    <w:p>
      <w:pPr>
        <w:spacing w:after="0" w:line="85" w:lineRule="exact"/>
        <w:rPr>
          <w:sz w:val="20"/>
          <w:szCs w:val="20"/>
          <w:color w:val="auto"/>
        </w:rPr>
      </w:pPr>
    </w:p>
    <w:p>
      <w:pPr>
        <w:ind w:left="6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Conversation Builder, </w:t>
      </w:r>
      <w:r>
        <w:rPr>
          <w:rFonts w:ascii="Arial" w:cs="Arial" w:eastAsia="Arial" w:hAnsi="Arial"/>
          <w:sz w:val="18"/>
          <w:szCs w:val="18"/>
          <w:color w:val="auto"/>
        </w:rPr>
        <w:t>which non-technical staff such as contact center agents use to design high-quality automated conversations.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conversations are not built from scratch. Conversation Builder creates the initial versions by mining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3" w:right="239" w:bottom="1440" w:gutter="0" w:footer="0" w:header="0"/>
        </w:sectPr>
      </w:pPr>
    </w:p>
    <w:bookmarkStart w:id="10" w:name="page11"/>
    <w:bookmarkEnd w:id="10"/>
    <w:p>
      <w:pPr>
        <w:ind w:left="660"/>
        <w:spacing w:after="0" w:line="282" w:lineRule="auto"/>
        <w:rPr>
          <w:sz w:val="20"/>
          <w:szCs w:val="20"/>
          <w:color w:val="auto"/>
        </w:rPr>
      </w:pPr>
      <w:r>
        <w:rPr>
          <w:rFonts w:ascii="Arial" w:cs="Arial" w:eastAsia="Arial" w:hAnsi="Arial"/>
          <w:sz w:val="18"/>
          <w:szCs w:val="18"/>
          <w:color w:val="auto"/>
        </w:rPr>
        <w:t>a brand's existing conversation transcripts. Prebuilt industry templates are also available, providing the dialogue and integrations necessary for common use cases such as billing.</w:t>
      </w:r>
    </w:p>
    <w:p>
      <w:pPr>
        <w:spacing w:after="0" w:line="1" w:lineRule="exact"/>
        <w:rPr>
          <w:sz w:val="20"/>
          <w:szCs w:val="20"/>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Conversation Manager, </w:t>
      </w:r>
      <w:r>
        <w:rPr>
          <w:rFonts w:ascii="Arial" w:cs="Arial" w:eastAsia="Arial" w:hAnsi="Arial"/>
          <w:sz w:val="18"/>
          <w:szCs w:val="18"/>
          <w:color w:val="auto"/>
        </w:rPr>
        <w:t>a console that suggests automated responses and next best actions to contact center agents, who edit and select from them.</w:t>
      </w:r>
      <w:r>
        <w:rPr>
          <w:rFonts w:ascii="Arial" w:cs="Arial" w:eastAsia="Arial" w:hAnsi="Arial"/>
          <w:sz w:val="18"/>
          <w:szCs w:val="18"/>
          <w:b w:val="1"/>
          <w:bCs w:val="1"/>
          <w:color w:val="auto"/>
        </w:rPr>
        <w:t xml:space="preserve"> </w:t>
      </w:r>
      <w:r>
        <w:rPr>
          <w:rFonts w:ascii="Arial" w:cs="Arial" w:eastAsia="Arial" w:hAnsi="Arial"/>
          <w:sz w:val="18"/>
          <w:szCs w:val="18"/>
          <w:color w:val="auto"/>
        </w:rPr>
        <w:t>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Conversation Intelligence</w:t>
      </w:r>
      <w:r>
        <w:rPr>
          <w:rFonts w:ascii="Arial" w:cs="Arial" w:eastAsia="Arial" w:hAnsi="Arial"/>
          <w:sz w:val="18"/>
          <w:szCs w:val="18"/>
          <w:color w:val="auto"/>
        </w:rPr>
        <w:t>, dashboards and reporting which take the true voice of the customer - their direct discussions with a brand, spoken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natural language - and turn it into actionable sales and service intelligence. A major wireless provider using early versions of Conversation Intelligence reported the product identifies the root cause of service issues faster than monitoring software, enabling the provider to accelerate the fix and reduce inbound customer inquiries. A leading hospitality firm used Conversation Intelligence to identify and add new, top-selling items to its menu selection.</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Professional Services. </w:t>
      </w:r>
      <w:r>
        <w:rPr>
          <w:rFonts w:ascii="Arial" w:cs="Arial" w:eastAsia="Arial" w:hAnsi="Arial"/>
          <w:sz w:val="17"/>
          <w:szCs w:val="17"/>
          <w:color w:val="auto"/>
        </w:rPr>
        <w:t>The mission of our Professional Services team is to help customers optimize the performance of our products in order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 and human/bot agent optimization is an important component of the LivePerson offering, and gives our customers a competitive advantage in the digital world. Revenue attributable to professional services accounted for 13% of total revenue for the year ended December 31, 2018 and 10% of total revenue for each of the years ended December 31, 2017 and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offering</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 Revenue from our Consumer segment accounted for approximately 8% of total revenue for the years ended December 31, 2018 and 2017, and 7% of total revenue for the year ended December 31, 2016, respectively.</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 than 18,000 customers have deployed our business solutions, including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messaging and chat. We plan to continue to focus on key target markets: consumer/retail, telecommunications, financial services, travel/hospitality, technology and automotive, within the United States and Canada, Latin America, Europe and the Asia-Pacific region.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customer accounted for or exceeded 10% of our total revenue in 2018, 2017 or 2016.</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sell our business products and services by leveraging a common methodology through both direct and indirect sales channels.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process focuses on the perspective that Conversational Commerce requires an operational transformation that changes how brands engage with consumers across service, sales, marketing and brick and mortar. Brands must adapt their contact centers to an asynchronous messaging environment and leverage a combination of human agents, bots and AI to achieve scale and efficiencies. When done right, the entire consumer lifecycle with a brand will be maintained within the Conversational Commerce relationship, and traffic will steadily shift away from lower returning voice calls, websites and apps to higher returning messaging endpoints.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44" w:right="239" w:bottom="1440" w:gutter="0" w:footer="0" w:header="0"/>
        </w:sectPr>
      </w:pPr>
    </w:p>
    <w:bookmarkStart w:id="11" w:name="page12"/>
    <w:bookmarkEnd w:id="11"/>
    <w:p>
      <w:pPr>
        <w:jc w:val="both"/>
        <w:ind w:firstLine="648"/>
        <w:spacing w:after="0" w:line="273" w:lineRule="auto"/>
        <w:rPr>
          <w:sz w:val="20"/>
          <w:szCs w:val="20"/>
          <w:color w:val="auto"/>
        </w:rPr>
      </w:pPr>
      <w:r>
        <w:rPr>
          <w:rFonts w:ascii="Arial" w:cs="Arial" w:eastAsia="Arial" w:hAnsi="Arial"/>
          <w:sz w:val="17"/>
          <w:szCs w:val="17"/>
          <w:color w:val="auto"/>
        </w:rPr>
        <w:t>Our mobile and online messaging solutions are targeted at business executives whose primary responsibility is optimization of customer care, sales and marketing, or optimizing a consumer’s journey across the brand’s digital properties. Our solutions enable organizations to provide effective customer service, sales and marketing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LivePerson supports any organization with a company-wide strategic initiative to improve the overall mobile and online consumer experience.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Within the business solutions segment we have aligned our field organization to address the different sales strategies of our target markets: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Enterprise and large mid-market. </w:t>
      </w:r>
      <w:r>
        <w:rPr>
          <w:rFonts w:ascii="Arial" w:cs="Arial" w:eastAsia="Arial" w:hAnsi="Arial"/>
          <w:sz w:val="18"/>
          <w:szCs w:val="18"/>
          <w:color w:val="auto"/>
        </w:rPr>
        <w:t>We target large mid-market and enterprise businesses primarily with direct sales and customer success teams.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globe we are targeting a select group of brands, many of them already customers, that hold the power to transform customer care. These enterprises have thousands of agents in their contact centers and collectively connect with billions of consumers each year. We leverage thought leadership and related events to showcase our strength in messaging and AI, and highlight existing reference customers who share their successes on our platform and how they achieved positive ROIs. Increasingly, we are also working with large third-party system integrators, technology providers and business process outsourcers to supplement our direct sales effort.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we introduced a pilot accelerator program, where we offer customers the option to test our entire platform, across all messaging endpoints and customer use cases, at an entry level price point for a period of three to nine months. This pilot program is intended to accelerate sales cycles and enable customers to rapidly assess the potential ROI and differentiation of our solutions before committing to a more substantial and extended deployment. We expect pilot accelerators to be an increasingly larger component of our sales pipeline and initial deal activity in 2019, based on the initial success of the program in 2018.</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Small business and small mid-market. </w:t>
      </w:r>
      <w:r>
        <w:rPr>
          <w:rFonts w:ascii="Arial" w:cs="Arial" w:eastAsia="Arial" w:hAnsi="Arial"/>
          <w:sz w:val="16"/>
          <w:szCs w:val="16"/>
          <w:color w:val="auto"/>
        </w:rPr>
        <w:t>We target small business and small mid-market customers with a mix of direct, online self-service and 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Indirect Sales. </w:t>
      </w:r>
      <w:r>
        <w:rPr>
          <w:rFonts w:ascii="Arial" w:cs="Arial" w:eastAsia="Arial" w:hAnsi="Arial"/>
          <w:sz w:val="17"/>
          <w:szCs w:val="17"/>
          <w:color w:val="auto"/>
        </w:rPr>
        <w:t>Resources within our organization are focused on developing partnerships to generate revenues via referral partnerships and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through channel partners. By maximizing market coverage via partners who provide lead referrals and complementary products and services, we believe this channel supports revenue opportunities without incurring the costs associated with traditional direct sales.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Our Professional Services group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firstLine="529"/>
        <w:spacing w:after="0" w:line="257" w:lineRule="auto"/>
        <w:rPr>
          <w:sz w:val="20"/>
          <w:szCs w:val="20"/>
          <w:color w:val="auto"/>
        </w:rPr>
      </w:pPr>
      <w:r>
        <w:rPr>
          <w:rFonts w:ascii="Arial" w:cs="Arial" w:eastAsia="Arial" w:hAnsi="Arial"/>
          <w:sz w:val="18"/>
          <w:szCs w:val="18"/>
          <w:color w:val="auto"/>
        </w:rPr>
        <w:t>Our marketing efforts in support of our business operations are organized around the needs, trends and characteristics of our existing 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the consumer experience, marketing, sales, IT, and consumer service operations of their organization.</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main focus is on the consumer/retail, telecommunications, financial services, travel/hospitality, technology and automotive industries. Our integrated marketing strategy is focused on driving demand, building customer and consumer advocacy, driving adoption of our LiveEngage platform, and supporting key areas of business, especially large enterprise, but also including mid-sized and small business, partners and international entities. We aim to achieve this by delivering high-touch, small group events for senior executives, to educate them on messaging and the transformational ways that digital communication can help</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6"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their business. We also market our software via high-level thought leadership campaigns, industry event participation, personalized lead generation campaigns to reach potential and existing customers using mediums such as paid and organic search, direct email and mail, industry- and category-specific tradeshows and events, and telemarketing.</w:t>
      </w:r>
    </w:p>
    <w:p>
      <w:pPr>
        <w:spacing w:after="0" w:line="73" w:lineRule="exact"/>
        <w:rPr>
          <w:sz w:val="20"/>
          <w:szCs w:val="20"/>
          <w:color w:val="auto"/>
        </w:rPr>
      </w:pPr>
    </w:p>
    <w:p>
      <w:pPr>
        <w:jc w:val="both"/>
        <w:ind w:firstLine="700"/>
        <w:spacing w:after="0" w:line="279" w:lineRule="auto"/>
        <w:rPr>
          <w:sz w:val="20"/>
          <w:szCs w:val="20"/>
          <w:color w:val="auto"/>
        </w:rPr>
      </w:pPr>
      <w:r>
        <w:rPr>
          <w:rFonts w:ascii="Arial" w:cs="Arial" w:eastAsia="Arial" w:hAnsi="Arial"/>
          <w:sz w:val="17"/>
          <w:szCs w:val="17"/>
          <w:color w:val="auto"/>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most contact center technology vendors incorrectly view messaging as a feature. They are content with building integrations to a messaging endpoint and offering messaging as just another product in their suite. LivePerson holds the perspective that messaging and AI are the foundation for Conversational Commerce, which transforms how agents operate and how brands engage with consumers across service, sales, marketing,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Commerce relationship, and traffic will steadily shift away from lower returning voice calls, websites and apps to higher returning messaging endpoints.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our differentiated approach to the Conversational Commerce industry, combined with our unique technology and expertise, has established the Company as a market leader, with an ability to deliver superior returns on investment:</w:t>
      </w:r>
    </w:p>
    <w:p>
      <w:pPr>
        <w:spacing w:after="0" w:line="62" w:lineRule="exact"/>
        <w:rPr>
          <w:sz w:val="20"/>
          <w:szCs w:val="20"/>
          <w:color w:val="auto"/>
        </w:rPr>
      </w:pPr>
    </w:p>
    <w:p>
      <w:pPr>
        <w:jc w:val="both"/>
        <w:ind w:left="1040" w:hanging="316"/>
        <w:spacing w:after="0" w:line="285"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NLU providers.</w:t>
      </w:r>
    </w:p>
    <w:p>
      <w:pPr>
        <w:spacing w:after="0" w:line="2" w:lineRule="exact"/>
        <w:rPr>
          <w:rFonts w:ascii="Arial" w:cs="Arial" w:eastAsia="Arial" w:hAnsi="Arial"/>
          <w:sz w:val="16"/>
          <w:szCs w:val="16"/>
          <w:color w:val="auto"/>
        </w:rPr>
      </w:pPr>
    </w:p>
    <w:p>
      <w:pPr>
        <w:jc w:val="both"/>
        <w:ind w:left="1040" w:hanging="316"/>
        <w:spacing w:after="0" w:line="23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this same focus on technological innovation, expertise and enterprise-class capabilities contributed to LivePerson’s positioning as a leader in the legacy chat market. We estimate our share of legacy chat was approximately 35% in 2016, based on Allied Market Research’s industry forecast of $590 million, and our 2016 chat-driven B2B revenue of approximately $207 million.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1100" w:hanging="322"/>
        <w:spacing w:after="0" w:line="258"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1100" w:hanging="322"/>
        <w:spacing w:after="0" w:line="261"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providers that offer basic messaging products or services with limited functionality free of charge or at significantly reduced entry level prices;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3" w:name="page14"/>
    <w:bookmarkEnd w:id="13"/>
    <w:p>
      <w:pPr>
        <w:jc w:val="both"/>
        <w:ind w:left="1100" w:hanging="322"/>
        <w:spacing w:after="0" w:line="256"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 and</w:t>
      </w: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key technological features distinguish the LivePerson services:</w:t>
      </w:r>
    </w:p>
    <w:p>
      <w:pPr>
        <w:spacing w:after="0" w:line="117" w:lineRule="exact"/>
        <w:rPr>
          <w:sz w:val="20"/>
          <w:szCs w:val="20"/>
          <w:color w:val="auto"/>
        </w:rPr>
      </w:pPr>
    </w:p>
    <w:p>
      <w:pPr>
        <w:jc w:val="both"/>
        <w:ind w:left="1300" w:hanging="320"/>
        <w:spacing w:after="0" w:line="25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support our customers through a secure, scalable server infrastructure.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1" w:lineRule="exact"/>
        <w:rPr>
          <w:rFonts w:ascii="Arial" w:cs="Arial" w:eastAsia="Arial" w:hAnsi="Arial"/>
          <w:sz w:val="18"/>
          <w:szCs w:val="18"/>
          <w:color w:val="auto"/>
        </w:rPr>
      </w:pPr>
    </w:p>
    <w:p>
      <w:pPr>
        <w:ind w:left="1300" w:right="20" w:hanging="320"/>
        <w:spacing w:after="0" w:line="323" w:lineRule="auto"/>
        <w:tabs>
          <w:tab w:leader="none" w:pos="13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Software Design. </w:t>
      </w:r>
      <w:r>
        <w:rPr>
          <w:rFonts w:ascii="Arial" w:cs="Arial" w:eastAsia="Arial" w:hAnsi="Arial"/>
          <w:sz w:val="18"/>
          <w:szCs w:val="18"/>
          <w:color w:val="auto"/>
        </w:rPr>
        <w:t>Our software design is based on client-server architecture. Since we are a SaaS provider, LiveEngage customers and visitors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websites require only a standard Web browser and do not need to download software from LivePerson in order to interact with our customers’ operators or to use the LivePerson services. We also provide APIs that enable our customers and third-parties to integrate LiveEngage with custom designed applications.</w:t>
      </w:r>
    </w:p>
    <w:p>
      <w:pPr>
        <w:spacing w:after="0" w:line="79" w:lineRule="exact"/>
        <w:rPr>
          <w:sz w:val="20"/>
          <w:szCs w:val="20"/>
          <w:color w:val="auto"/>
        </w:rPr>
      </w:pPr>
    </w:p>
    <w:p>
      <w:pPr>
        <w:jc w:val="both"/>
        <w:ind w:firstLine="693"/>
        <w:spacing w:after="0" w:line="293" w:lineRule="auto"/>
        <w:rPr>
          <w:sz w:val="20"/>
          <w:szCs w:val="20"/>
          <w:color w:val="auto"/>
        </w:rPr>
      </w:pPr>
      <w:r>
        <w:rPr>
          <w:rFonts w:ascii="Arial" w:cs="Arial" w:eastAsia="Arial" w:hAnsi="Arial"/>
          <w:sz w:val="16"/>
          <w:szCs w:val="16"/>
          <w:b w:val="1"/>
          <w:bCs w:val="1"/>
          <w:i w:val="1"/>
          <w:iCs w:val="1"/>
          <w:color w:val="auto"/>
        </w:rPr>
        <w:t xml:space="preserve">Network Architecture. </w:t>
      </w:r>
      <w:r>
        <w:rPr>
          <w:rFonts w:ascii="Arial" w:cs="Arial" w:eastAsia="Arial" w:hAnsi="Arial"/>
          <w:sz w:val="16"/>
          <w:szCs w:val="16"/>
          <w:color w:val="auto"/>
        </w:rPr>
        <w:t>The software underlying our services is integrated with scalable and reliable network architecture. Our network is scalable;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comply with security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17"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 and international privacy laws and regulations are evolving and changing, are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the growth of our business.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Laws and practices regarding handling and use of personal and other information by companies have come under increased public scrutiny, and governmental entities,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became effective in May 2018 and applies across the European Union. The GDPR replaces the current EU Data Protection Directive and imposes significantly greater compliance burdens on companies with users and/or operations in the European Union and, for noncompliance, provides for considerable fines up to the higher of 20 million Euros and 4% of global annual revenue. Since the summer of 2018, European regulators have already issued several fines pursuant to the GDPR.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require us to make changes to our services to enable LivePerson and/or our customers to meet the new legal requirements and may impact how data protection is addressed in our customer and vendor agreements. Ensuring compliance with the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EU Data Protection Authorities or lawsuits by private parties and our business could be negatively impacted.</w:t>
      </w:r>
    </w:p>
    <w:p>
      <w:pPr>
        <w:spacing w:after="0" w:line="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European Union has also released a proposed Regulation on Privacy and Electronic Communications (e-Privacy Regulation) to replace the EU’s current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spacing w:after="0" w:line="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as web and mobile commerce continues to evolve, regulation by federal, state and foreign governments or agencies in the areas of data privacy and data security is likely to increase. For instance, the EU-US Safe Harbor program, which provided a valid legal basis for transfers of personal data from Europe to the United States, was invalidated on October 6, 2015, resulting in a significant impact on the transfer of data from the European Union to U.S. companies, including us. In July 2016, the European Union and the United States agreed to a new framework called the EU-US Privacy Shield (“EU Privacy Shield”) that provides a mechanism for companies to transfer data from EU member states to the United States and that LivePerson certified to in September 2016. Similarly, a new Swiss-U.S. Privacy Shield (“Swiss Privacy Shield”) was announced in January 2017 that replaces the former Swiss-U.S. Safe Harbor. The EU Privacy Shield is subject to an annual review that could result in changes to our obligations. It could also be disruptive to our business if customers have concerns regarding the transfer of data from the European Union to the United States using the EU Privacy Shield or Swiss Privacy Shield as a transfer mechanism.</w:t>
      </w:r>
    </w:p>
    <w:p>
      <w:pPr>
        <w:spacing w:after="0" w:line="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 Privacy Shield, Swiss Privacy Shield, and other frameworks may be challenged by regulators and/or private parties and reviewed by the European courts, which may lead to uncertainty about the legal basis for data transfers outside the EU. For example, there is current litigation pending that could impact companies’ ability to use the “standard contractual clauses” previously approved by the European Commission as a mechanism for data transfers from the EU to the US. Ongoing legal reviews may result in burdensome or inconsistent requirements affecting the location and movement of our customer and internal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17"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changing regulatory landscape in the European Union, in June 2018, the State of California legislature passed the California Consumer Privacy Act of 2018 (“CCPA”), which gives California residents new data privacy rights and may require us to make new disclosures to them about our data collection, use and sharing practices. The CCPA also allows consumers to opt out of certain data sharing with third parties, and provides a new cause of action for data breaches. As currently enacted, the CCPA takes effect on January 1, 2020.</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spacing w:after="0" w:line="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data privacy and data security and other consumer protection areas could significantly increase the cost to us and our customers of regulatory compliance and could negatively impact our business.</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17"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harm our reputation or otherwise impact the growth of our business. Any costs incurred as a result of this potential liability could harm our business and operating results.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Federal Trade Commission, or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8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might unintentionally violate such laws now and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21" w:lineRule="exact"/>
        <w:rPr>
          <w:sz w:val="20"/>
          <w:szCs w:val="20"/>
          <w:color w:val="auto"/>
        </w:rPr>
      </w:pPr>
    </w:p>
    <w:p>
      <w:pPr>
        <w:jc w:val="both"/>
        <w:ind w:firstLine="522"/>
        <w:spacing w:after="0" w:line="285" w:lineRule="auto"/>
        <w:rPr>
          <w:sz w:val="20"/>
          <w:szCs w:val="20"/>
          <w:color w:val="auto"/>
        </w:rPr>
      </w:pPr>
      <w:r>
        <w:rPr>
          <w:rFonts w:ascii="Arial" w:cs="Arial" w:eastAsia="Arial" w:hAnsi="Arial"/>
          <w:sz w:val="16"/>
          <w:szCs w:val="16"/>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65" w:lineRule="exact"/>
        <w:rPr>
          <w:sz w:val="20"/>
          <w:szCs w:val="20"/>
          <w:color w:val="auto"/>
        </w:rPr>
      </w:pPr>
    </w:p>
    <w:p>
      <w:pPr>
        <w:jc w:val="both"/>
        <w:ind w:firstLine="549"/>
        <w:spacing w:after="0" w:line="277" w:lineRule="auto"/>
        <w:rPr>
          <w:sz w:val="20"/>
          <w:szCs w:val="20"/>
          <w:color w:val="auto"/>
        </w:rPr>
      </w:pPr>
      <w:r>
        <w:rPr>
          <w:rFonts w:ascii="Arial" w:cs="Arial" w:eastAsia="Arial" w:hAnsi="Arial"/>
          <w:sz w:val="18"/>
          <w:szCs w:val="18"/>
          <w:color w:val="auto"/>
        </w:rPr>
        <w:t>Substantial litigation regarding intellectual property rights exists in the software industry. In the ordinary course of our business, our services and/or our customers' use of our services have been and may be increasingly subject to third-party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17" w:right="23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6"/>
          <w:szCs w:val="16"/>
          <w:color w:val="auto"/>
        </w:rPr>
        <w:t>infringement claims as claims by non-practicing entities become more prevalent and as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As of December 31, 2018, we had 1,106 full-time employees. Our employees are not covered by collective bargaining agreements. We believe our relations with our employees are satisfactory.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firstLine="559"/>
        <w:spacing w:after="0" w:line="293" w:lineRule="auto"/>
        <w:rPr>
          <w:sz w:val="20"/>
          <w:szCs w:val="20"/>
          <w:color w:val="auto"/>
        </w:rPr>
      </w:pPr>
      <w:r>
        <w:rPr>
          <w:rFonts w:ascii="Arial" w:cs="Arial" w:eastAsia="Arial" w:hAnsi="Arial"/>
          <w:sz w:val="16"/>
          <w:szCs w:val="16"/>
          <w:color w:val="auto"/>
        </w:rPr>
        <w:t xml:space="preserve">We make available, free of charge, on our website (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Securities and Exchange Commission.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Company’s web site address 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SEC maintains an Internet site that contains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proxy and information statements and other information regarding issuers that file electronically with the SEC at www.sec.gov.</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immaterial, may become important factors that impair our business operations. Prospective and existing investors are strongly urged to carefully consider the various cautionary statements and risks set forth in this report and other public filings before deciding to purchase, hold or sell our common stock.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quarterly revenue and operating results may fluctuate significantly, which may cause a substantial decline in the trading price of our common stock.</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spacing w:after="0" w:line="57" w:lineRule="exact"/>
        <w:rPr>
          <w:sz w:val="20"/>
          <w:szCs w:val="20"/>
          <w:color w:val="auto"/>
        </w:rPr>
      </w:pPr>
    </w:p>
    <w:p>
      <w:pPr>
        <w:ind w:left="1100" w:hanging="322"/>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new customers;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demand for our services and business success;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demand for our services;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services by us or our competitors;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17" w:right="239" w:bottom="1440" w:gutter="0" w:footer="0" w:header="0"/>
        </w:sectPr>
      </w:pPr>
    </w:p>
    <w:bookmarkStart w:id="18" w:name="page19"/>
    <w:bookmarkEnd w:id="18"/>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innovate and provide new services for our customers;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add integrations with third-party consumer messaging platforms and endpoints;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models or policies or the pricing policies of our current and future competitors;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adoption by companies of mobile and cloud-based messaging solutions;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adoption by Experts and Users of web-based advice services;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avoid and/or manage service interruptions, disruptions, or security incidents;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and</w:t>
      </w:r>
    </w:p>
    <w:p>
      <w:pPr>
        <w:spacing w:after="0" w:line="9" w:lineRule="exact"/>
        <w:rPr>
          <w:rFonts w:ascii="Arial" w:cs="Arial" w:eastAsia="Arial" w:hAnsi="Arial"/>
          <w:sz w:val="18"/>
          <w:szCs w:val="18"/>
          <w:color w:val="auto"/>
        </w:rPr>
      </w:pPr>
    </w:p>
    <w:p>
      <w:pPr>
        <w:ind w:left="1100" w:right="320" w:hanging="322"/>
        <w:spacing w:after="0" w:line="261"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other costs related to operation and expansion of our business, including those related to acquisitions.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revenue and operating results may also fluctuate significantly in the future due to the following factors that are entirely outside of our control:</w:t>
      </w:r>
    </w:p>
    <w:p>
      <w:pPr>
        <w:spacing w:after="0" w:line="140" w:lineRule="exact"/>
        <w:rPr>
          <w:sz w:val="20"/>
          <w:szCs w:val="20"/>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conditions specific to the Internet, mobile technology, electronic commerce and cloud computing; and</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regional and/or global economic and political conditions.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markets in which we participate are highly competitive, and we may lose customers and revenue if we are not able to innovate or effectively compete.</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and develop successful integrations with social media and other third-party consumer messaging platforms and endpoints, or our competitors are more successful than us at developing compelling new products, services and integrations, or at attracting and retaining customers, we may lose revenue and market share and our operating results could be adversely affected.</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most online retailers view messaging and Conversational Commerce as a feature. They are content with building integrations to a messaging endpoint and offering messaging as just another product in their suite. LivePerson holds the perspective that Conversational Commerce requires an operational transformation that changes how brands engage with consumers across service, sales, marketing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Commerce relationship, and traffic will steadily shift away from lower returning voice calls, websites and apps to higher returning messaging endpoints.</w:t>
      </w:r>
    </w:p>
    <w:p>
      <w:pPr>
        <w:spacing w:after="0" w:line="16"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We believe that LivePerson’s differentiated approach to the Conversational Commerce industry, combined with its unique technology and expertise, has established the Company as a market leader, with an ability to deliver superior returns on investment:</w:t>
      </w:r>
    </w:p>
    <w:p>
      <w:pPr>
        <w:spacing w:after="0" w:line="8" w:lineRule="exact"/>
        <w:rPr>
          <w:sz w:val="20"/>
          <w:szCs w:val="20"/>
          <w:color w:val="auto"/>
        </w:rPr>
      </w:pPr>
    </w:p>
    <w:p>
      <w:pPr>
        <w:jc w:val="both"/>
        <w:ind w:left="1040" w:hanging="316"/>
        <w:spacing w:after="0" w:line="297"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NLU providers.</w:t>
      </w:r>
    </w:p>
    <w:p>
      <w:pPr>
        <w:spacing w:after="0" w:line="50" w:lineRule="exact"/>
        <w:rPr>
          <w:rFonts w:ascii="Arial" w:cs="Arial" w:eastAsia="Arial" w:hAnsi="Arial"/>
          <w:sz w:val="16"/>
          <w:szCs w:val="16"/>
          <w:color w:val="auto"/>
        </w:rPr>
      </w:pPr>
    </w:p>
    <w:p>
      <w:pPr>
        <w:jc w:val="both"/>
        <w:ind w:left="1040" w:hanging="316"/>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QuotientTM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460" w:right="760" w:hanging="330"/>
        <w:spacing w:after="0" w:line="25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 ;</w:t>
      </w:r>
    </w:p>
    <w:p>
      <w:pPr>
        <w:spacing w:after="0" w:line="32" w:lineRule="exact"/>
        <w:rPr>
          <w:rFonts w:ascii="Arial" w:cs="Arial" w:eastAsia="Arial" w:hAnsi="Arial"/>
          <w:sz w:val="16"/>
          <w:szCs w:val="16"/>
          <w:color w:val="auto"/>
        </w:rPr>
      </w:pPr>
    </w:p>
    <w:p>
      <w:pPr>
        <w:ind w:left="460" w:right="60" w:hanging="330"/>
        <w:spacing w:after="0" w:line="26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 and</w:t>
      </w:r>
    </w:p>
    <w:p>
      <w:pPr>
        <w:ind w:left="460" w:hanging="33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retention of existing customers and their purchase of additional services, the migration of existing customers to our new platform, and attracting new customers and new consumer users of our consumer services.</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Our revenue could decline unless we are able to obtain additional customers or alternate revenue sources.</w:t>
      </w:r>
    </w:p>
    <w:p>
      <w:pPr>
        <w:spacing w:after="0" w:line="8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scope of U.S. and international privacy laws and regulations is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attention focused upon liability as a result of lawsuits and legislative proposals and enactments could harm our reputation or otherwise impact the growth of our business.</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Laws and practices regarding handling and use of personal and other information by companies have come under increased public scrutiny, and governmental entities,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which became effective in May 2018 and applies across the European Union. The GDPR replaces the EU Data Protection Directive, imposes significantly greater compliance burdens on companies with users and/or operations in the European Union and, for noncompliance, provides for considerable fines up to the higher of 20 million Euros and 4% of global annual revenue. Since the summer of 2018, European regulators have already issued several fines pursuant to the GDPR.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require us to make changes to our services to enable LivePerson and/or our customers to meet the new legal requirements and may impact how data protection is addressed in our customer and vendor agreements. Ensuring compliance with the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EU Data Protection Authorities or lawsuits by private parties and our business could be negatively impacted.</w:t>
      </w:r>
    </w:p>
    <w:p>
      <w:pPr>
        <w:spacing w:after="0" w:line="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European Union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spacing w:after="0" w:line="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as web and mobile commerce continues to evolve, regulation by federal, state and foreign governments or agencies in the areas of data privacy and data security is likely to increase. For instance, the EU-US Safe Harbor program, which provided a valid legal basis for transfers of personal data from Europe to the United States, was invalidated on October 6, 2015, resulting in a significant impact on the transfer of data from the European Union to U.S. companies, including us. In July 2016, the European Union and the United States agreed to a new framework called the EU-US Privacy Shield (“EU Privacy Shield”) that provides a mechanism for companies to transfer data from EU member states to the United States and that LivePerson certified to in September 2016. Similarly, a new Swiss-U.S. Privacy Shield (“Swiss Privacy Shield”) was announced in January 2017 that replaces the former Swiss-U.S. Safe Harbor. The EU Privacy Shield is subject to an annual review that could result in changes to our obligations. It could also be disruptive to our business if customers have concerns regarding the transfer of data from the European Union to the United States using the EU Privacy Shield or Swiss Privacy Shield as a transfer mechanism.</w:t>
      </w:r>
    </w:p>
    <w:p>
      <w:pPr>
        <w:spacing w:after="0" w:line="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EU Privacy Shield, Swiss Privacy Shield, and other frameworks may be challenged by regulators and/or private parties and reviewed by the European courts, which may lead to uncertainty about the legal basis for data transfers outside the EU. For example, there is current litigation pending that could impact companies’ ability to use the “standard contractual clauses” previously approved by the European Commission as a mechanism for data transfers from the EU to the US. Ongoing legal reviews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 addition to the changing regulatory landscape in the European Union, in June 2018, the State of California legislature passed the California Consumer Privacy Act of 2018 (“CCPA”), which gives California residents new data privacy rights and may require us to make new disclosures to them about our data collection, use and sharing practices. The CCPA also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t>allows consumers to opt out of certain data sharing with third parties, and provides a new cause of action for data breaches. As currently enacted, the CCPA takes effect on January 1, 2020.</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and our customers are subject to a number of laws and regulations in the United States and abroad, including laws related to conducting business on the Internet or mobile devices, such as laws regarding data privacy, data protection, information security, cybersecurity, restrictions or technological requirements regarding the collection, use, storage, protection,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various federal, state and foreign government bodies and agencies are highly focused on consumer protection initiatives, particularly in light of the increase in new technologies and services that incorporate or use bots, artificial intelligence and/or machine learning. For example, in September 2018, the State of California legislature passed the B.O.T. Act, which takes effect on July 1, 2019, and requires that companies using bots on platforms with more than 10 million unique monthly visitors from the U.S. use clear and conspicuous disclosure to inform consumers that they are not speaking to a human. A similar bill entitled the “Bot Disclosure and Accountability Act of 2018” was introduced to the U.S. Senate in June 2018. Regulation in this area could impact how businesses use our products and services to interact with consumers and how we provide our services to our customers. These new AI tools can also present unique technological and legal challenges, such as the possibility of insufficient data sets, or data sets that contain biased information, which can negatively impact the decisions, predictions or analyses that AI applications produce. Deficiencies such as these could cause us reputational harm and subject us to legal liability, including claims of product liability, breach of warranty or negligence.</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recently adopted the California Consumer Privacy Act of 2018.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security breaches in our services or systems, those of our third party providers, or in the websites of our customers, including those resulting from cyber-attacks, security vulnerabilities, defects or errors, could harm our business.</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products and services involve the storage and transmission of proprietary information and personal data related to our customers and their users, as well as experts and consumers, and theft and security breaches expose us to a risk of loss of such information and data, improper use and disclosure thereof, litigation, regulatory investigation, and potential liability. We experience cyber-attacks of varying degrees on a regular basis. Our security measures may also be breached due to employee or other error, intentional malfeasance and other third party acts, and system errors or vulnerabilities, including vulnerabilities of our third party vendors, or customers, or otherwise.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we continue to expand our focus on this issue and are taking measures to safeguard our products and services from cybersecurity threats and vulnerabilities in desktop computers, mobile phones, smartphones and handheld devices, cyber-attacks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6"/>
          <w:szCs w:val="16"/>
          <w:color w:val="auto"/>
        </w:rPr>
        <w:t>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We engage third parties to review and assist in safeguarding our products and services from such threats. Those parties may identify vulnerabilities, some of which may not be immediately remedied. A significant cyber-attack, or a security incident of any magnitude that is profiled in the media, involving our, our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customers may authorize third party access to their customer data located in our cloud environment. Because we do not control the transmissions between customer 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due to our exposure to foreign currency exchange rate fluctuations.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w:t>
      </w:r>
    </w:p>
    <w:p>
      <w:pPr>
        <w:spacing w:after="0" w:line="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Since we conduct business in currencies other than the U.S. dollar but report our financial results in U.S. dollars, fluctuations in currency exchange rates could adversely affect our results of operations. For example, during 2018 we experienced a foreign currency exchange impact of approximately 1% percent, or approximately $3.3 million if held in constant currency, to our revenue. Fluctuations in the value of the U.S. dollar relative to other foreign currencies could materially affect our revenue, cost of revenue and operating expenses, and result in foreign currency transaction gains and losses. In January 2015, we began hedging a portion of our foreign currency exchange rate exposure; however, significant fluctuations in exchange rates between the U.S. dollar and foreign currencies may nonetheless adversely affect our net income (loss). As of December 31, 2018, we are no longer party to any foreign currency hedging transactions. We may seek to enter into additional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negatively impact our business.</w:t>
      </w:r>
    </w:p>
    <w:p>
      <w:pPr>
        <w:spacing w:after="0" w:line="1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June 2016, voters in the United Kingdom (“U.K.”) approved a referendum to withdraw the U.K.'s membership from the European Union (“E.U.”), which is commonly referred to as “Brexit”. In March 2017, the U.K. government initiated the exit process under Article 50 of the Treaty of the European Union, commencing a period of up to two years for the U.K. and the other E.U. member states to negotiate the terms of the withdrawal. These negotiations will determine the future terms of the U.K.’s relationship with the E.U., including the terms of trade between the U.K. and the E.U. The U.K. and E.U. announced in March 2018 an agreement in principle to transitional provisions under which E.U. law would remain in force in the U.K. until the end of December 2020, but this remains subject to the successful conclusion of an agreement between the U.K. and the E.U. In the absence of such an agreement, there would be no transitional provisions and the U.K. would exit the E.U. at the end of the two-year period on March 29, 2019. As of February 2019, the process for the U.K. to exit the E.U., and the longer term economic, legal, political and social framework to be put in place between the U.K. and the E.U., remain unclear and may lead to ongoing political, regulatory and economic uncertainty and periods of exacerbated volatility in both the U.K. and in wider European markets for some time. Such uncertainty may have a material adverse effect on our ability to operate in the U.K. and the E.U.</w:t>
      </w:r>
    </w:p>
    <w:p>
      <w:pPr>
        <w:spacing w:after="0" w:line="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announcement of Brexit and the continued uncertainty resulting from the ongoing negotiations concerning the U.K's exit from the E.U. has resulted in significant volatility in global stock market and currency exchange rate fluctuations that resulted in strengthening of the U.S. dollar relative to other foreign currencies in which we conduct business. The announcement of Brexit and likely withdrawal of the U.K. from the E.U. has also created global economic uncertainty. The continuing uncertainty may cause our customers to closely monitor their costs and reduce their spending budgets. This could negatively impact our business,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including affecting our relationships with our existing and future customers, suppliers and employees, which could have a negative impact on our business, prospects, results of operations, financial condition and cash flows.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volatility in exchange rates resulting from Brexit is expected to continue in the short term as the U.K. continues to negotiate its exit from the E.U.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effects of Brexit will depend on any agreements the U.K. makes to retain access to E.U. markets either during a transitional period or more permanently and may be significant in the event that the U.K exits the E.U. without a comprehensive transitional agreement in place. The measures could potentially disrupt the markets we serve and the tax jurisdictions in which we operate and adversely change tax benefits or liabilities in these or other jurisdictions. They may also impact how we deliver our products and services to customers in the U.K. and in the E.U., which may cause us to lose customers, suppliers and/or employees and could result in increased operating expenses. In addition, Brexit could lead to legal uncertainty and potentially divergent national laws and regulations as the U.K. determines which E.U. laws to replace or replicate, as well as other adverse effects that we are unable to anticipate. Any of these effects of Brexit, among others, could negatively impact our prospects,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significantly on our ability to retain our key personnel, attract new personnel, and manage attrition.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pl us at a competitive disadvantage.</w:t>
      </w:r>
    </w:p>
    <w:p>
      <w:pPr>
        <w:spacing w:after="0" w:line="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impact our ability to innovate and deliver new or updated products to our customers, which could harm our business.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Supporting our existing and growing customer base could strain our personnel resources and infrastructure, and if we are unable to scale our operations and increase productivity, we may not be able to successfully implement our business plan.</w:t>
      </w:r>
    </w:p>
    <w:p>
      <w:pPr>
        <w:spacing w:after="0" w:line="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continue to experience significant growth in our customer base and personnel, which has placed a strain on our management, administrative, operational and financial infrastructure. We anticipate that additional investments in our internal infrastructure, data center capacity, research, customer support and development, and real estate spending will be required to scale our operations and increase productivity, to address the needs of our customers, to further develop and enhance our services, to expand into new geographic areas, and to scale with our overall growth. The additional investments we are making will increase our cost base, which will make it more difficult for us to offset any future revenue shortfalls by reducing expenses in the short term.</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will depend in part upon the ability of our senior management to manage our projected growth effectively. To do so, we must continue to increase the productivity of our existing employees and to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estate. If we fail to successfully scale our operations and increase productivity, we may be unable to execute our business plan and the fair value of our common stock could decline.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operate on mobile devices, our business could be adversely affected.</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or are not widely adopted by our customers and consumers, we may fail to retain existing customers and we may have difficulty attracting new customers. Such solutions may also create new risks related to privacy and security, which could subject us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4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8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38" w:lineRule="exact"/>
        <w:rPr>
          <w:sz w:val="20"/>
          <w:szCs w:val="20"/>
          <w:color w:val="auto"/>
        </w:rPr>
      </w:pPr>
    </w:p>
    <w:p>
      <w:pPr>
        <w:jc w:val="both"/>
        <w:ind w:firstLine="59"/>
        <w:spacing w:after="0" w:line="277" w:lineRule="auto"/>
        <w:rPr>
          <w:sz w:val="20"/>
          <w:szCs w:val="20"/>
          <w:color w:val="auto"/>
        </w:rPr>
      </w:pPr>
      <w:r>
        <w:rPr>
          <w:rFonts w:ascii="Arial" w:cs="Arial" w:eastAsia="Arial" w:hAnsi="Arial"/>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United States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United States,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we may not realize the expected business or financial benefits and our business could adversely impacted.</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business strategy, we have made and will continue to make acquisitions to add complementary businesses, products, technologies, revenue and intellectual property rights. We have made a number of acquisitions in the past, including three in 2018. In October 2018, we acquired AdvantageTec, Inc., a leading provider of texting solutions for service departments of automotive dealerships that helps enable Conversational Commerce across the entire dealership, including variable and fixed operations. In September 2018, we acquired the employees and technology assets of Conversable, Inc. a SaaS based Artificial Intelligence powered conversational platform. In January 2018, we acquired the employees and technology assets of BotCentral, Inc., a Silicon Valley based startup which has created a number of bot solutions for major brands in banking, insurance, and travel, running on LivePerson's conversational platform.</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Acquisitions and investments involve numerous risks to us, including:</w:t>
      </w:r>
    </w:p>
    <w:p>
      <w:pPr>
        <w:spacing w:after="0" w:line="117" w:lineRule="exact"/>
        <w:rPr>
          <w:sz w:val="20"/>
          <w:szCs w:val="20"/>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of the combination or acquisition;</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products and personnel;</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efforts related to existing operations;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of entering new markets in which we have little or no experience or where competitors may have stronger market positions;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our existing key employees or key employees of the company we acquire;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tax effects of any such acquisitions.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our operations in the United States, we have operations in Australia, Canada, France, Germany, Israel, Italy, Japan, Netherlands, Singapore and the United Kingdom. We have also continued to invest in global messaging initiatives and in acquisitions.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international operations and direct-to-consumer services may also fail due to other risks inherent in foreign and/or online consumer operations, including:</w:t>
      </w:r>
    </w:p>
    <w:p>
      <w:pPr>
        <w:spacing w:after="0" w:line="62" w:lineRule="exact"/>
        <w:rPr>
          <w:sz w:val="20"/>
          <w:szCs w:val="20"/>
          <w:color w:val="auto"/>
        </w:rPr>
      </w:pPr>
    </w:p>
    <w:p>
      <w:pPr>
        <w:ind w:left="1100" w:right="460" w:hanging="322"/>
        <w:spacing w:after="0" w:line="258"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varied, unfamiliar, unclear and changing legal and regulatory restrictions, including different legal and regulatory standards applicable to Internet or mobile services, communications, privacy, and data protection;</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intellectual property laws that may not provide sufficient protection for our intellectual property;</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consequences or additional tax liabilities;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addressing country-specific business requirements and regulations, for instance, data privacy laws;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strains on financial and other systems to properly administer VAT and other taxes;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consumer preferences and requirements in specific international markets; and</w:t>
      </w:r>
    </w:p>
    <w:p>
      <w:pPr>
        <w:spacing w:after="0" w:line="9" w:lineRule="exact"/>
        <w:rPr>
          <w:rFonts w:ascii="Arial" w:cs="Arial" w:eastAsia="Arial" w:hAnsi="Arial"/>
          <w:sz w:val="18"/>
          <w:szCs w:val="18"/>
          <w:color w:val="auto"/>
        </w:rPr>
      </w:pPr>
    </w:p>
    <w:p>
      <w:pPr>
        <w:jc w:val="both"/>
        <w:ind w:left="1100" w:hanging="322"/>
        <w:spacing w:after="0" w:line="255"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third parties access or misappropriate confidential or personal data from our systems or services.</w:t>
      </w:r>
    </w:p>
    <w:p>
      <w:pPr>
        <w:spacing w:after="0" w:line="11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dialogue transcripts of the text-based chats, email interactions and other interactions between our customers and their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users or the text of customer service inquiries, our competitive position may be harmed and we could be subject to liability. In the event of a security incident, we could be liable for compliance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United States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 security risks, such insurance coverage is subject to certain exclusions and exceptions and may be insufficient to cover all losses.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8" w:name="page29"/>
    <w:bookmarkEnd w:id="28"/>
    <w:p>
      <w:pPr>
        <w:jc w:val="both"/>
        <w:ind w:firstLine="648"/>
        <w:spacing w:after="0" w:line="309" w:lineRule="auto"/>
        <w:rPr>
          <w:sz w:val="20"/>
          <w:szCs w:val="20"/>
          <w:color w:val="auto"/>
        </w:rPr>
      </w:pPr>
      <w:r>
        <w:rPr>
          <w:rFonts w:ascii="Arial" w:cs="Arial" w:eastAsia="Arial" w:hAnsi="Arial"/>
          <w:sz w:val="16"/>
          <w:szCs w:val="16"/>
          <w:color w:val="auto"/>
        </w:rPr>
        <w:t>Furthermore, certain software and services that we use to operate our business are hosted and/or operated by third parties or integrated with our systems. If these services were to be interrupted or their security breached, our business operations could be similarly disrupted and we could be exposed to liability and costly investigations or litigation. The need to properly secure, and securely transmit and store, confidential information online has historically been a significant barrier to e-commerce and online communications, and will become increasingly highlighted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we may be contractually obligated to provide these customers with service credits and/or pay financial penalties, which could significantly impact our revenue. In addition, even if our contracts provide otherwise, these customers may attempt to terminate their contracts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technology systems and third-party content that are beyond our control.</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from our product development efforts or cause significant customer relations problems.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rely in part on third-party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third-party services that support our web hosting and infrastructure or if our services experience interruptions or delays due to third party providers, our reputation and business could be harmed, and we may be exposed to legal and reputational risk, and significant remediation costs.</w:t>
      </w:r>
    </w:p>
    <w:p>
      <w:pPr>
        <w:spacing w:after="0" w:line="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rely on the security of our third party providers to protect our proprietary information and information of our customers. Information technology system failures, including a breach of our or our third party providers’ data security, could disrupt our ability to function in the normal course of business by potentially causing, among other things, an unintentional disclosure of customer information or loss of information. Additionally, despite our security procedures or those of our third party providers, information systems may be vulnerable to threats such as computer hacking,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had patent and other infringement lawsuits filed against us claiming that certain of our products and services infringe third party intellectual property rights, and we are subject to the future risk of additional third 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would suffer if we are unable to protect and enforce our intellectual property rights.</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possible that:</w:t>
      </w:r>
    </w:p>
    <w:p>
      <w:pPr>
        <w:spacing w:after="0" w:line="117" w:lineRule="exact"/>
        <w:rPr>
          <w:sz w:val="20"/>
          <w:szCs w:val="20"/>
          <w:color w:val="auto"/>
        </w:rPr>
      </w:pPr>
    </w:p>
    <w:p>
      <w:pPr>
        <w:ind w:left="1100" w:hanging="322"/>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issued patent or patents issued in the future may not be broad enough to protect our intellectual property rights;</w:t>
      </w:r>
    </w:p>
    <w:p>
      <w:pPr>
        <w:spacing w:after="0" w:line="23" w:lineRule="exact"/>
        <w:rPr>
          <w:rFonts w:ascii="Arial" w:cs="Arial" w:eastAsia="Arial" w:hAnsi="Arial"/>
          <w:sz w:val="18"/>
          <w:szCs w:val="18"/>
          <w:color w:val="auto"/>
        </w:rPr>
      </w:pPr>
    </w:p>
    <w:p>
      <w:pPr>
        <w:ind w:left="1100" w:right="20" w:hanging="322"/>
        <w:spacing w:after="0" w:line="250"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ind w:left="1100" w:hanging="322"/>
        <w:spacing w:after="0" w:line="250"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and future competitors may independently develop similar technologies, duplicate our services or design around any patents we may have; and</w:t>
      </w:r>
    </w:p>
    <w:p>
      <w:pPr>
        <w:jc w:val="both"/>
        <w:ind w:left="1100" w:hanging="322"/>
        <w:spacing w:after="0" w:line="255"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268" w:lineRule="auto"/>
        <w:rPr>
          <w:sz w:val="20"/>
          <w:szCs w:val="20"/>
          <w:color w:val="auto"/>
        </w:rPr>
      </w:pPr>
      <w:r>
        <w:rPr>
          <w:rFonts w:ascii="Arial" w:cs="Arial" w:eastAsia="Arial" w:hAnsi="Arial"/>
          <w:sz w:val="17"/>
          <w:szCs w:val="17"/>
          <w:color w:val="auto"/>
        </w:rPr>
        <w:t>Further, to the extent that the invention described in any United States patent was made public prior to the filing of the patent application, we may not be able to obtain patent protection in certain foreign countries. We also rely upon copyright, trade secret, trademark and other common law in the United States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United States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and/or negative publicity for the services provided to consumers via our technology platforms.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United States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Claims could be made against online services companies under both United States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Digital Millennium Copyright Act, or DMCA, is intended, among other things, to reduce the liability of online service providers for listing or linking to third party web properties that include materials that infringe copyrights or rights of others. Additionally, portions of The Communications Decency Act, or CDA, are intended to provide statutory protections to online service providers who distribute third party content. A safe harbor for copyright infringement is also available under the DMCA to certain online service providers that provide specific services, if the providers take certain affirmative steps as set forth in the DMCA.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or mobile transactions are unsettled.</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648"/>
        <w:spacing w:after="0" w:line="291" w:lineRule="auto"/>
        <w:rPr>
          <w:sz w:val="20"/>
          <w:szCs w:val="20"/>
          <w:color w:val="auto"/>
        </w:rPr>
      </w:pPr>
      <w:r>
        <w:rPr>
          <w:rFonts w:ascii="Arial" w:cs="Arial" w:eastAsia="Arial" w:hAnsi="Arial"/>
          <w:sz w:val="16"/>
          <w:szCs w:val="16"/>
          <w:color w:val="auto"/>
        </w:rPr>
        <w:t>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Software-as-a-Service industry, and/or the application of existing laws and regulations to the Internet, mobile devices, software sales or export and/or the cloud or Software-as-a-Service industry, could create new legal or regulatory burdens on our business that could have a material adverse effect on our business, results of operations and financial condition. Additionally, as we operate outside the United States, the international regulatory environment relating to the Internet, mobile devices, software sales or export, and/or the Software-as-a-Service industry could have a material adverse effect on our business, results of operations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or other defects could disrupt or negatively impact our services, which could harm our business and reputation.</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These problems, if not remedied, could harm our business.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73" w:lineRule="exact"/>
        <w:rPr>
          <w:sz w:val="20"/>
          <w:szCs w:val="20"/>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lost sales;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terminations;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market share;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or loss of market acceptance of our products; and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complex, and errors, failures or “bugs” may be difficult to correct.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2018, we increased our allowance for doubtful accounts from $1.3 million to approximately $2.3 million. During 2017, we increased our allowance for doubtful accounts by $0.4 million to approximately $1.3 million. We base our allowance for doubtful accounts on specifically identified credit risks of customers, historical trends and other information that we believe to be reasonable. A large proportion of receivables are due from larger corporate customers that typically have longer payment cycles. We adjust our allowance for doubtful accounts when accounts previously reserved have been collected.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our stock price to decline.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services are subject to payment-related risks.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our implementation cycles could have an adverse effect on our results of operations.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accounting principles generally accepted in the United States,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2018, we determined that it is not more-likely than not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is determined, resulting in a negative impact on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auto"/>
        </w:rPr>
        <w:t>In the past, we have experienced losses, we had an accumulated deficit of $187.5 million as of December 31, 2018 and we may incur losses in the future.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 the past incurred, and we may in the future, incur losses and experience negative cash flow, either or both of which may be significant. We recorded net losses from inception through the year ended December 31, 2003. We recorded net income for the years ended December 31, 2004 through 2007 and 2009 through 2012, while we recorded net losses for the years ended December 31, 2008, and 2013 through 2018. We recorded a net loss of $25.0 million for the year ended December 31, 2018. As of December 31, 2018, our accumulated deficit was approximately $187.5 million. We cannot assure you that we can sustain or increase profitability on a quarterly or annual basis in the future. Failure to maintain profitability may materially and adversely affect the market price of our common stock.</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With the recent volatility in the capital markets, there is a risk that we could suffer a loss of principal in our cash and cash equivalents and short term investments and suffer a reduction in our interest income or in our return on investments.</w:t>
      </w:r>
    </w:p>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2018, we had $66.4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any ongoing uncertainty in the United States and global credit markets. In the future, these market risks associated with our investment portfolio may harm the results of our operations, liquidity and financial condition. Although we believe we have chosen a more cautious portfolio designed to preserve our existing cash position, it may not adequately protect the value of our investments. Furthermore, this more cautious portfolio is unlikely to provide us with any significant interest income in the near term.</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and warrants.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w:t>
      </w:r>
    </w:p>
    <w:p>
      <w:pPr>
        <w:spacing w:after="0" w:line="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Third-party licenses may expose us to increased risks, including risks associated with the integration of new technology, the impact of new technology integration on our existing technology, open source software disclosure requirements, the diversion of resources from the development of our own proprietary technology, and our inability to generate revenue from new technology sufficient to offset associated acquisition and maintenance costs.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depends, in part, on factors which are partially or entirely outside of our control.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services typically appear under the LivePerson brand or as a LivePerson-branded icon on our customers’ websites. The customer service operators and Experts who respond to the inquiries of our customers’ users are employees or agents of our customers or independent consultants rather than employees of the Company. As a result, we are not able to control the actions of these operators or Experts and the impression that such operator or Expert leaves the user with whom they interact. A user may not know that the operator or Expert is not a LivePerson employee. If a user were to have a negative experience in a LivePerson-powered real-time dialogue, it is possible that this experience could be attributed to us, which could diminish our brand and harm our business. Additionally, we believe the success of our business services is aided by the prominent placement of the chat icon on a customer’s website, over which we also have no control.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sales cycles can be lengthy, and the timing of sales can be difficult to predict, which may cause our operating results to vary significantly.</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negatively impact our Israeli operations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product development staff, help desk and online sales support operations are located in Israel. As of December 31, 2018, we had 365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or the interruption or curtailment of trade between Israel and its trading partners could adversely affect our operations and results of operations.</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In 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principles generally accepted in the United States are subject to interpretation by the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cannot assure our stockholders that any stock repurchase programs will be fully consummated or will enhance long-term stockholder value, and stock repurchases could increase the volatility of the price of our common stock and will diminish our cash reserves.</w:t>
      </w:r>
    </w:p>
    <w:p>
      <w:pPr>
        <w:spacing w:after="0" w:line="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We may or may not enter into a new stock repurchase program in the future.</w:t>
      </w:r>
    </w:p>
    <w:p>
      <w:pPr>
        <w:spacing w:after="0" w:line="64"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8"/>
          <w:szCs w:val="18"/>
          <w:color w:val="auto"/>
        </w:rPr>
        <w:t>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Additionally, repurchases under a stock repurchase program would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and our largest office is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of December 31, 2018, we had federal net operating loss carryforwards (“NOLs”) of approximately $73.0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Federal NOLs generated in taxable years ending on or before December 31, 2017, are eligible to be carried forward for up to 20 tax years (and carried back up to two tax years) following their incurrence. Under the Tax Cuts and Jobs Act (discussed below), federal NOLs generated in taxable years ending after December 31, 2017, are eligible to be carried forward indefinitely, but generally may only offset up to 80% of federal taxable income earned in a taxable year. As of December 31, 2018, approximately $32.8 million of our approximately $73.0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 Since we do not know whether or when we will generate the U.S. federal taxable income necessary to utilize our remaining NOLs, our NOLs generated on or prior to December 31, 2017 could expire unused.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changes to the U.S. tax laws may have a material impact on 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H.R.1 (commonly referred to as the “Tax Cuts and Jobs Act”) was signed into law. The Tax Cuts and Jobs Act makes extensive changes to the federal tax laws and includes provisions that, among other things, reduce the U.S. corporate tax rate, introduce a capital investment deduction, limit the interest deduction, limit the use of NOLs to offset future taxable income, and make extensive changes to the U.S. international tax system, including the taxation of foreign earnings of U.S. multinational corporations. Certain provisions of the Tax Cuts and Jobs Act are likely to undergo revisions or are set to expire on certain specified future dates, unless such provisions are further modified in subsequent legislation. Changes in interpretations of the Tax Cuts and Jobs Act, any legislative action to address questions that arise because of the Tax Cuts and Jobs Act and any changes in accounting standards for income taxes or related interpretations in response to the Tax Cuts and Jobs Act may cause uncertainty with respect to the ultimate impact of the Tax Cuts and Jobs Act on our tax provisions. In addition, it is possible that reactionary legislation or regulation may be instituted by one or more foreign authorities that could ultimately adversely affect us and/or negate or minimize some or all of the favorable impacts that we have or may derive from the Tax Cuts and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regulation of the Internet or mobile devices may slow our growth, resulting in decreased demand for our services and increased costs of doing business.</w:t>
      </w:r>
    </w:p>
    <w:p>
      <w:pPr>
        <w:spacing w:after="0" w:line="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or mobile devices, including but not limited to laws affecting net neutrality could also decrease demand for our services and increase our costs. Some jurisdictions have adopted regulations prohibiting certain forms of discrimination by Internet access providers; however, substantial uncertainty exists in the United States and elsewhere. For example, in the United States, the Federal Communications Commission repealed net neutrality rules effective June 11, 2018, which could lead internet access providers to restrict, block, degrade or charge for access to our products and services.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continued growth and development of the market for online services may prompt calls for more stringent consumer protection laws or laws that will inhibit the use of Internet-based or mobile-based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or smartphone usage. A decline in the growth of the Internet or smartphone usage,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mobile and other online services could increase our costs and harm our growth.</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social media and other third-party consumer messaging platforms and endpoints, our business, results of operations and financial condition could be adversely affected.</w:t>
      </w:r>
    </w:p>
    <w:p>
      <w:pPr>
        <w:spacing w:after="0" w:line="62" w:lineRule="exact"/>
        <w:rPr>
          <w:sz w:val="20"/>
          <w:szCs w:val="20"/>
          <w:color w:val="auto"/>
        </w:rPr>
      </w:pPr>
    </w:p>
    <w:p>
      <w:pPr>
        <w:ind w:right="20" w:firstLine="243"/>
        <w:spacing w:after="0" w:line="254" w:lineRule="auto"/>
        <w:rPr>
          <w:sz w:val="20"/>
          <w:szCs w:val="20"/>
          <w:color w:val="auto"/>
        </w:rPr>
      </w:pPr>
      <w:r>
        <w:rPr>
          <w:rFonts w:ascii="Arial" w:cs="Arial" w:eastAsia="Arial" w:hAnsi="Arial"/>
          <w:sz w:val="18"/>
          <w:szCs w:val="18"/>
          <w:color w:val="auto"/>
        </w:rPr>
        <w:t>We believe that continued growth for companies in our industry depends, in part, on enabling brands to connect with consumers across consumers’ preferred conversational interfaces and messaging endpoints, such as SMS, Facebook Messenger, WhatsApp, Apple Business Chat, Google Rich Business Messenger, Line and Alexa. In order to grow our business, we have identified and developed, and maintain, strategic relationships with many key technology partners. As part of our growth strategy, we plan to further develop partnerships and specific solution areas with additional technology partners. If we fail to establish these relationships in a timely and cost-effective manner, or at all, or if we lose any or all of our current relationships, then our business, results of operations and financial condition could be adversely affected. Additionally, even if we are successful at developing these relationships, but there are problems or issues with the integrations, or our ability to scale and onboard our customers onto new endpoints, our reputation and ability to grow our business may be adversely affected.</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unable, for technological, legal, financial or other reasons, to adapt in a timely manner to changing market conditions in the online sales, marketing, customer service and/or e-commerce industry or our customers’ or consumers’ requirements or preferences, our business, results of operations and financial condition would be materially and adversely affected. Online business is characterized by rapid technological change. In addition, the market for online sales, marketing, customer service and expert advice solutions is relatively new. Sudden changes in customer and consumer requirements and preferences, frequent new product and service introductions embodying new technologies,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71" w:lineRule="exact"/>
        <w:rPr>
          <w:sz w:val="20"/>
          <w:szCs w:val="20"/>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the features and performance of our services;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offer new services that are valuable to companies doing business online as well as consumers;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and regulatory standards and practices in a cost-effective and timely manner.</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new services, including upgrades to our current services, do not meet our customers’ or consumers’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depend on the continued viability of the infrastructure of the Internet.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their use of LiveEngage) in particular. If the infrastructure of the Internet does not effectively support the growth of the Internet, we may not maintain profitability and our business, results of operations and financial condition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may continue to be, highly volatile, which could reduce the value of your investment and subject us to litigation.</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spacing w:after="0" w:line="73" w:lineRule="exact"/>
        <w:rPr>
          <w:sz w:val="20"/>
          <w:szCs w:val="20"/>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operating results or those of our competitors;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announcements that are not in line with analyst expectations;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recommendations or financial estimates by securities analysts;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or rumors about mergers or strategic acquisitions by us or by our competitors;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about customer additions and cancellations or failure to complete significant sales;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market valuations of companies that investors believe are comparable to us;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 w:lineRule="exact"/>
        <w:rPr>
          <w:rFonts w:ascii="Arial" w:cs="Arial" w:eastAsia="Arial" w:hAnsi="Arial"/>
          <w:sz w:val="18"/>
          <w:szCs w:val="18"/>
          <w:color w:val="auto"/>
        </w:rPr>
      </w:pPr>
    </w:p>
    <w:p>
      <w:pPr>
        <w:ind w:left="1100" w:right="80" w:hanging="322"/>
        <w:spacing w:after="0" w:line="261"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 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traded on more than one market and this may result in price variations.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common stock is currently traded on the NASDAQ Global Select Market and the Tel Aviv Stock Exchange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our executive officers, directors and holders of 5% or more of our outstanding common stock and their affiliates in the aggregate beneficially owned approximately 49.6%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the company’s interests or the interests of other stockholders, and they may act in a manner that advances their best interests and not necessarily those of our other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substantial amounts of our common stock may negatively affect our stock price.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8"/>
          <w:szCs w:val="18"/>
          <w:color w:val="auto"/>
        </w:rPr>
        <w:t>If we or our stockholders sell substantial amounts of our common stock, including shares issuable upon the exercise of outstanding options and warrants,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could discourage, delay or prevent a takeover that stockholders may consider favorable.</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6" w:lineRule="exact"/>
        <w:rPr>
          <w:sz w:val="20"/>
          <w:szCs w:val="20"/>
          <w:color w:val="auto"/>
        </w:rPr>
      </w:pPr>
    </w:p>
    <w:p>
      <w:pPr>
        <w:ind w:left="1100" w:right="440" w:hanging="322"/>
        <w:spacing w:after="0" w:line="258"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Vacancies on our board of directors may only be filled by a vote of a majority of directors then in office, even if less than a quorum.</w:t>
      </w:r>
    </w:p>
    <w:p>
      <w:pPr>
        <w:spacing w:after="0" w:line="20" w:lineRule="exact"/>
        <w:rPr>
          <w:rFonts w:ascii="Arial" w:cs="Arial" w:eastAsia="Arial" w:hAnsi="Arial"/>
          <w:sz w:val="17"/>
          <w:szCs w:val="17"/>
          <w:color w:val="auto"/>
        </w:rPr>
      </w:pPr>
    </w:p>
    <w:p>
      <w:pPr>
        <w:ind w:left="1100" w:right="140" w:hanging="322"/>
        <w:spacing w:after="0" w:line="250"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or any other matters. This limits the ability of minority stockholders to elect director candidates.</w:t>
      </w: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stockholders may only act at a duly called annual or special meeting and may not act by written consent.</w:t>
      </w:r>
    </w:p>
    <w:p>
      <w:pPr>
        <w:spacing w:after="0" w:line="9" w:lineRule="exact"/>
        <w:rPr>
          <w:rFonts w:ascii="Arial" w:cs="Arial" w:eastAsia="Arial" w:hAnsi="Arial"/>
          <w:sz w:val="18"/>
          <w:szCs w:val="18"/>
          <w:color w:val="auto"/>
        </w:rPr>
      </w:pPr>
    </w:p>
    <w:p>
      <w:pPr>
        <w:ind w:left="1100" w:right="60" w:hanging="322"/>
        <w:spacing w:after="0" w:line="250"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our board of directors or to propose other matters that can be acted upon at a stockholders’ meeting.</w:t>
      </w:r>
    </w:p>
    <w:p>
      <w:pPr>
        <w:ind w:left="1100" w:hanging="322"/>
        <w:spacing w:after="0" w:line="250"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require super-majority voting by stockholders to amend certain provisions in our amended and restated certificate of incorporation and to amend our amended and restated bylaws.</w:t>
      </w:r>
    </w:p>
    <w:p>
      <w:pPr>
        <w:ind w:left="1100" w:hanging="322"/>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amended and restated bylaws expressly authorize a super-majority of the board of directors to amend our amended and restated bylaws.</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corporate headquarters are located in New York City, where we lease approximately 37,000 square feet of office space under a lease that expires in 2020. We also lease office space of approximately 68,000 square feet in Ra'anana, Israel, for research and development, sales and support under leases that expire in 2018, of approximately 40,000 square feet in Alpharetta, Georgia, for sales and support under a lease that expires in 2024; and approximately 38,000 square feet in Seattle, for research and development that expires in 2020.</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we also lease office space for marketing, sales and support of approximately 45,000 square feet in various locations in the United States, Europe, Asia and Australia. In addition,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rulings by both the Court and the United States Patent Office in our favor have have invalidated the majority of [24]7 patents that were asserted in the patent cases. Trial for our intellectual property and other claims asserted against [24]7 in the original litigation is not scheduled to allow for mediation. We believe the claims filed by [24]7 are entirely without merit and intend to defend them vigorously.</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0" w:firstLine="648"/>
        <w:spacing w:after="0" w:line="277" w:lineRule="auto"/>
        <w:rPr>
          <w:sz w:val="20"/>
          <w:szCs w:val="20"/>
          <w:color w:val="auto"/>
        </w:rPr>
      </w:pPr>
      <w:r>
        <w:rPr>
          <w:rFonts w:ascii="Arial" w:cs="Arial" w:eastAsia="Arial" w:hAnsi="Arial"/>
          <w:sz w:val="18"/>
          <w:szCs w:val="18"/>
          <w:color w:val="auto"/>
        </w:rPr>
        <w:t>The principal United States market on which our common stock is traded is The NASDAQ Global Select Market under the symbol LPSN. Our shares of common stock are also traded on the Tel Aviv Stock Exchange under the symbol LPSN TA.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12, 2019, there were approximately 165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earnings, if any, to finance the operation and expansion of our business and do not anticipate paying any cash dividends in the foreseeable future.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December 31, 2018 is as follows: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6"/>
              </w:rPr>
              <w:t>Total Number of Shares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w:t>
            </w:r>
          </w:p>
        </w:tc>
        <w:tc>
          <w:tcPr>
            <w:tcW w:w="160" w:type="dxa"/>
            <w:vAlign w:val="bottom"/>
          </w:tcPr>
          <w:p>
            <w:pPr>
              <w:spacing w:after="0"/>
              <w:rPr>
                <w:sz w:val="17"/>
                <w:szCs w:val="17"/>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Number of Shares</w:t>
            </w: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 Paid per</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Publicly Announced Plans</w:t>
            </w:r>
          </w:p>
        </w:tc>
        <w:tc>
          <w:tcPr>
            <w:tcW w:w="210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4"/>
              </w:rPr>
              <w:t>Purchased Under the Plans</w:t>
            </w:r>
          </w:p>
        </w:tc>
      </w:tr>
      <w:tr>
        <w:trPr>
          <w:trHeight w:val="210"/>
        </w:trPr>
        <w:tc>
          <w:tcPr>
            <w:tcW w:w="29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Period</w:t>
            </w:r>
          </w:p>
        </w:tc>
        <w:tc>
          <w:tcPr>
            <w:tcW w:w="2200" w:type="dxa"/>
            <w:vAlign w:val="bottom"/>
            <w:gridSpan w:val="2"/>
          </w:tcPr>
          <w:p>
            <w:pPr>
              <w:ind w:left="680"/>
              <w:spacing w:after="0"/>
              <w:rPr>
                <w:sz w:val="20"/>
                <w:szCs w:val="20"/>
                <w:color w:val="auto"/>
              </w:rPr>
            </w:pPr>
            <w:r>
              <w:rPr>
                <w:rFonts w:ascii="Arial" w:cs="Arial" w:eastAsia="Arial" w:hAnsi="Arial"/>
                <w:sz w:val="16"/>
                <w:szCs w:val="16"/>
                <w:b w:val="1"/>
                <w:bCs w:val="1"/>
                <w:color w:val="auto"/>
              </w:rPr>
              <w:t>Purchased</w:t>
            </w:r>
          </w:p>
        </w:tc>
        <w:tc>
          <w:tcPr>
            <w:tcW w:w="4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or Programs</w:t>
            </w:r>
          </w:p>
        </w:tc>
        <w:tc>
          <w:tcPr>
            <w:tcW w:w="160" w:type="dxa"/>
            <w:vAlign w:val="bottom"/>
          </w:tcPr>
          <w:p>
            <w:pPr>
              <w:spacing w:after="0"/>
              <w:rPr>
                <w:sz w:val="18"/>
                <w:szCs w:val="18"/>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17,050,059</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10/1/2018 - 10/31/2018</w:t>
            </w:r>
          </w:p>
        </w:tc>
        <w:tc>
          <w:tcPr>
            <w:tcW w:w="120" w:type="dxa"/>
            <w:vAlign w:val="bottom"/>
          </w:tcPr>
          <w:p>
            <w:pPr>
              <w:spacing w:after="0"/>
              <w:rPr>
                <w:sz w:val="21"/>
                <w:szCs w:val="21"/>
                <w:color w:val="auto"/>
              </w:rPr>
            </w:pPr>
          </w:p>
        </w:tc>
        <w:tc>
          <w:tcPr>
            <w:tcW w:w="22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17,050,059</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11/1/2018 - 11/30/2018</w:t>
            </w:r>
          </w:p>
        </w:tc>
        <w:tc>
          <w:tcPr>
            <w:tcW w:w="120" w:type="dxa"/>
            <w:vAlign w:val="bottom"/>
            <w:tcBorders>
              <w:bottom w:val="single" w:sz="8" w:color="CCFFCC"/>
            </w:tcBorders>
            <w:shd w:val="clear" w:color="auto" w:fill="CCFFCC"/>
          </w:tcPr>
          <w:p>
            <w:pPr>
              <w:spacing w:after="0"/>
              <w:rPr>
                <w:sz w:val="21"/>
                <w:szCs w:val="21"/>
                <w:color w:val="auto"/>
              </w:rPr>
            </w:pPr>
          </w:p>
        </w:tc>
        <w:tc>
          <w:tcPr>
            <w:tcW w:w="2200" w:type="dxa"/>
            <w:vAlign w:val="bottom"/>
            <w:tcBorders>
              <w:bottom w:val="single" w:sz="8" w:color="CCFFCC"/>
            </w:tcBorders>
            <w:gridSpan w:val="2"/>
            <w:shd w:val="clear" w:color="auto" w:fill="CCFFCC"/>
          </w:tcPr>
          <w:p>
            <w:pPr>
              <w:ind w:left="18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17,050,059</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12/1/2018 - 12/31/2018</w:t>
            </w:r>
          </w:p>
        </w:tc>
        <w:tc>
          <w:tcPr>
            <w:tcW w:w="120" w:type="dxa"/>
            <w:vAlign w:val="bottom"/>
          </w:tcPr>
          <w:p>
            <w:pPr>
              <w:spacing w:after="0"/>
              <w:rPr>
                <w:sz w:val="21"/>
                <w:szCs w:val="21"/>
                <w:color w:val="auto"/>
              </w:rPr>
            </w:pPr>
          </w:p>
        </w:tc>
        <w:tc>
          <w:tcPr>
            <w:tcW w:w="22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17,050,059</w:t>
            </w:r>
          </w:p>
        </w:tc>
      </w:tr>
      <w:tr>
        <w:trPr>
          <w:trHeight w:val="27"/>
        </w:trPr>
        <w:tc>
          <w:tcPr>
            <w:tcW w:w="27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gridSpan w:val="2"/>
            <w:shd w:val="clear" w:color="auto" w:fill="CCFFCC"/>
          </w:tcPr>
          <w:p>
            <w:pPr>
              <w:ind w:left="18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FFCC"/>
            </w:tcBorders>
            <w:shd w:val="clear" w:color="auto" w:fill="CCFFCC"/>
          </w:tcPr>
          <w:p>
            <w:pPr>
              <w:jc w:val="right"/>
              <w:ind w:right="19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FFCC"/>
            </w:tcBorders>
            <w:gridSpan w:val="2"/>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17,050,059</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39</w:t>
      </w:r>
    </w:p>
    <w:p>
      <w:pPr>
        <w:sectPr>
          <w:pgSz w:w="11900" w:h="16838" w:orient="portrait"/>
          <w:cols w:equalWidth="0" w:num="1">
            <w:col w:w="11260"/>
          </w:cols>
          <w:pgMar w:left="240" w:top="364" w:right="3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graph depicted below compares the annual percentage changes in the LivePerson’s cumulative total stockholder 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48895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graph covers the period from December 31, 2013 to December 31, 2018.</w:t>
      </w:r>
    </w:p>
    <w:p>
      <w:pPr>
        <w:spacing w:after="0" w:line="117" w:lineRule="exact"/>
        <w:rPr>
          <w:rFonts w:ascii="Arial" w:cs="Arial" w:eastAsia="Arial" w:hAnsi="Arial"/>
          <w:sz w:val="18"/>
          <w:szCs w:val="18"/>
          <w:color w:val="auto"/>
        </w:rPr>
      </w:pPr>
    </w:p>
    <w:p>
      <w:pPr>
        <w:ind w:left="280" w:right="2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graph assumes that $100 was invested at the market close on December 31, 2013 in LivePerson’s Common Stock, in the Standard &amp; Poor’s SmallCap 600 Index and in the Standard &amp; Poor’s Information Technology Index, and that all dividends were reinvested. No cash dividends have been declared on LivePerson’s Common Stock.</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Securities and Exchange Commission,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selected consolidated financial data with respect to our consolidated balance sheets as of December 31, 2018 and 2017 and the related consolidated statements of operations for the years ended December 31, 2018, 2017 and 2016 have been derived from our audited consolidated financial statements which are included herein. The selected financial data with respect to our balance sheets as of December 31, 2016, 2015 and 2014 and the related statements of operations for the years ended December 31, 2015 and 2014 have been derived from our audited financial statements which are not included herein. Due to our acquisitions of AdvantageTec, Conversable, and Bot Central in 2018 and CAO!, Synchronite and NexGraph in 2014, we believe that comparisons of our operating results with each other, or with those of prior periods, may not be meaningful. The following selected consolidated financial data should be read in conjunction with the consolidated financial statements and the notes thereto and the information contained in Item 7,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center"/>
              <w:ind w:left="751"/>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(In Thousands, Except Share and per Share Data)</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218,876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222,779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239,012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209,931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103,344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90,905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89,529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94,728</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83,253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40,192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Product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55,707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40,034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40,198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38,974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37,329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1,840</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236,702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242,188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249,440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215,098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(23,703)</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(17,826)</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(24,174)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(17,690)</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(25,032)</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per share of common stock:</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3"/>
              </w:rPr>
              <w:t>Weighted-average shares used to compute net loss per share: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59,203,400</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56,358,017</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56,063,777</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56,452,408</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54,478,754</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59,203,400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56,358,017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56,063,777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5"/>
              </w:rPr>
              <w:t>56,452,408</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54,478,754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Financial and Operational Data:</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shd w:val="clear" w:color="auto" w:fill="CCFFCC"/>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19,090</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18,400</w:t>
            </w:r>
          </w:p>
        </w:tc>
        <w:tc>
          <w:tcPr>
            <w:tcW w:w="1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19,198</w:t>
            </w:r>
          </w:p>
        </w:tc>
        <w:tc>
          <w:tcPr>
            <w:tcW w:w="100" w:type="dxa"/>
            <w:vAlign w:val="bottom"/>
            <w:tcBorders>
              <w:bottom w:val="single" w:sz="8" w:color="CCFFCC"/>
            </w:tcBorders>
            <w:shd w:val="clear" w:color="auto" w:fill="CCFFCC"/>
          </w:tcPr>
          <w:p>
            <w:pPr>
              <w:spacing w:after="0"/>
              <w:rPr>
                <w:sz w:val="24"/>
                <w:szCs w:val="24"/>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22,672</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40"/>
              <w:spacing w:after="0" w:line="251"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4,902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9,130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13,601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8"/>
        <w:spacing w:after="0" w:line="257" w:lineRule="auto"/>
        <w:tabs>
          <w:tab w:leader="none" w:pos="153" w:val="left"/>
        </w:tabs>
        <w:numPr>
          <w:ilvl w:val="0"/>
          <w:numId w:val="28"/>
        </w:numPr>
        <w:rPr>
          <w:rFonts w:ascii="Arial" w:cs="Arial" w:eastAsia="Arial" w:hAnsi="Arial"/>
          <w:sz w:val="9"/>
          <w:szCs w:val="9"/>
          <w:color w:val="auto"/>
        </w:rPr>
      </w:pPr>
      <w:r>
        <w:rPr>
          <w:rFonts w:ascii="Arial" w:cs="Arial" w:eastAsia="Arial" w:hAnsi="Arial"/>
          <w:sz w:val="14"/>
          <w:szCs w:val="14"/>
          <w:color w:val="auto"/>
        </w:rPr>
        <w:t>We define adjusted EBITDA as net loss before provision for (benefit from) income taxes, other (expense) income, net, depreciation and amortization, stock-based compensation, restructuring costs, acquisition costs and other charges. Please see “Adjusted EBITDA” below for more information and for a reconciliation of adjusted EBITDA to net (loss) income, the most directly comparable financial measure calculated and presented in accordance with U.S. generally accepted accounting principles, or ("GAAP").</w:t>
      </w:r>
    </w:p>
    <w:p>
      <w:pPr>
        <w:spacing w:after="0" w:line="23" w:lineRule="exact"/>
        <w:rPr>
          <w:rFonts w:ascii="Arial" w:cs="Arial" w:eastAsia="Arial" w:hAnsi="Arial"/>
          <w:sz w:val="9"/>
          <w:szCs w:val="9"/>
          <w:color w:val="auto"/>
        </w:rPr>
      </w:pPr>
    </w:p>
    <w:p>
      <w:pPr>
        <w:jc w:val="both"/>
        <w:ind w:firstLine="8"/>
        <w:spacing w:after="0" w:line="286" w:lineRule="auto"/>
        <w:tabs>
          <w:tab w:leader="none" w:pos="143" w:val="left"/>
        </w:tabs>
        <w:numPr>
          <w:ilvl w:val="0"/>
          <w:numId w:val="28"/>
        </w:numPr>
        <w:rPr>
          <w:rFonts w:ascii="Arial" w:cs="Arial" w:eastAsia="Arial" w:hAnsi="Arial"/>
          <w:sz w:val="8"/>
          <w:szCs w:val="8"/>
          <w:color w:val="auto"/>
        </w:rPr>
      </w:pPr>
      <w:r>
        <w:rPr>
          <w:rFonts w:ascii="Arial" w:cs="Arial" w:eastAsia="Arial" w:hAnsi="Arial"/>
          <w:sz w:val="13"/>
          <w:szCs w:val="13"/>
          <w:color w:val="auto"/>
        </w:rPr>
        <w:t>We define adjusted operating income as income (loss) before provision for income taxes excluding amortization, stock-based compensation, restructuring costs, acquisition costs, contingent earn-out adjustments, other charges and other (expense) income. Please see “Adjusted Operating Income” below for more information and for a reconciliation of adjusted operating income to income (loss) before provision for income taxes, the most directly comparable financial measure calculated and presented in accordance with U.S. generally accepted accounting principles or GAAP.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Stock-based compensation included in the statements of operations above was as follows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2014</w:t>
            </w: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3,399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4,921</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3,691</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3,809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3,606</w:t>
            </w:r>
          </w:p>
        </w:tc>
      </w:tr>
      <w:tr>
        <w:trPr>
          <w:trHeight w:val="27"/>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stock-based compensation</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14,841</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8,944</w:t>
            </w:r>
          </w:p>
        </w:tc>
        <w:tc>
          <w:tcPr>
            <w:tcW w:w="420" w:type="dxa"/>
            <w:vAlign w:val="bottom"/>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11,814</w:t>
            </w: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12,306</w:t>
            </w: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2014</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66,449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56,115</w:t>
            </w:r>
          </w:p>
        </w:tc>
        <w:tc>
          <w:tcPr>
            <w:tcW w:w="42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50,889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48,803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49,372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21,234</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13,789</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39,122</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34,954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290,103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219,638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226,194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239,817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170,729</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140,063</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138,476</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165,305</w:t>
            </w: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180,337</w:t>
            </w:r>
          </w:p>
        </w:tc>
      </w:tr>
      <w:tr>
        <w:trPr>
          <w:trHeight w:val="27"/>
        </w:trPr>
        <w:tc>
          <w:tcPr>
            <w:tcW w:w="52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Operating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included adjusted EBITDA and adjusted operating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jc w:val="both"/>
        <w:ind w:left="1300" w:hanging="320"/>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32"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pre-tax GAAP loss and our other GAAP results. The following table presents a reconciliation of adjusted EBITDA for each of the periods indicated (amounts in thousands):</w:t>
      </w:r>
    </w:p>
    <w:p>
      <w:pPr>
        <w:spacing w:after="0" w:line="209" w:lineRule="exact"/>
        <w:rPr>
          <w:sz w:val="20"/>
          <w:szCs w:val="20"/>
          <w:color w:val="auto"/>
        </w:rPr>
      </w:pPr>
    </w:p>
    <w:p>
      <w:pPr>
        <w:jc w:val="center"/>
        <w:ind w:left="3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37465</wp:posOffset>
            </wp:positionV>
            <wp:extent cx="4853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80" w:lineRule="exact"/>
        <w:rPr>
          <w:sz w:val="20"/>
          <w:szCs w:val="20"/>
          <w:color w:val="auto"/>
        </w:rPr>
      </w:pPr>
    </w:p>
    <w:p>
      <w:pPr>
        <w:ind w:left="4240"/>
        <w:spacing w:after="0"/>
        <w:tabs>
          <w:tab w:leader="none" w:pos="5820" w:val="left"/>
          <w:tab w:leader="none" w:pos="7420" w:val="left"/>
          <w:tab w:leader="none" w:pos="9020" w:val="left"/>
          <w:tab w:leader="none" w:pos="106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Adjusted EBITDA: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(25,032)</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2,813</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14,841</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4,468</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14,188</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Other litigation and consulting costs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5,928</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858</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3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19,090</w:t>
            </w:r>
          </w:p>
        </w:tc>
      </w:tr>
      <w:tr>
        <w:trPr>
          <w:trHeight w:val="20"/>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570" w:hanging="570"/>
        <w:spacing w:after="0"/>
        <w:tabs>
          <w:tab w:leader="none" w:pos="5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(18,191)</w:t>
      </w:r>
    </w:p>
    <w:p>
      <w:pPr>
        <w:spacing w:after="0" w:line="86" w:lineRule="exact"/>
        <w:rPr>
          <w:rFonts w:ascii="Arial" w:cs="Arial" w:eastAsia="Arial" w:hAnsi="Arial"/>
          <w:sz w:val="16"/>
          <w:szCs w:val="16"/>
          <w:color w:val="auto"/>
        </w:rPr>
      </w:pPr>
    </w:p>
    <w:p>
      <w:pPr>
        <w:ind w:left="710"/>
        <w:spacing w:after="0"/>
        <w:rPr>
          <w:rFonts w:ascii="Arial" w:cs="Arial" w:eastAsia="Arial" w:hAnsi="Arial"/>
          <w:sz w:val="16"/>
          <w:szCs w:val="16"/>
          <w:color w:val="auto"/>
        </w:rPr>
      </w:pPr>
      <w:r>
        <w:rPr>
          <w:rFonts w:ascii="Arial" w:cs="Arial" w:eastAsia="Arial" w:hAnsi="Arial"/>
          <w:sz w:val="18"/>
          <w:szCs w:val="18"/>
          <w:color w:val="auto"/>
        </w:rPr>
        <w:t>4,682</w:t>
      </w:r>
    </w:p>
    <w:p>
      <w:pPr>
        <w:spacing w:after="0" w:line="63" w:lineRule="exact"/>
        <w:rPr>
          <w:rFonts w:ascii="Arial" w:cs="Arial" w:eastAsia="Arial" w:hAnsi="Arial"/>
          <w:sz w:val="16"/>
          <w:szCs w:val="16"/>
          <w:color w:val="auto"/>
        </w:rPr>
      </w:pPr>
    </w:p>
    <w:p>
      <w:pPr>
        <w:ind w:left="710"/>
        <w:spacing w:after="0"/>
        <w:rPr>
          <w:rFonts w:ascii="Arial" w:cs="Arial" w:eastAsia="Arial" w:hAnsi="Arial"/>
          <w:sz w:val="16"/>
          <w:szCs w:val="16"/>
          <w:color w:val="auto"/>
        </w:rPr>
      </w:pPr>
      <w:r>
        <w:rPr>
          <w:rFonts w:ascii="Arial" w:cs="Arial" w:eastAsia="Arial" w:hAnsi="Arial"/>
          <w:sz w:val="18"/>
          <w:szCs w:val="18"/>
          <w:color w:val="auto"/>
        </w:rPr>
        <w:t>8,944</w:t>
      </w:r>
    </w:p>
    <w:p>
      <w:pPr>
        <w:spacing w:after="0" w:line="63" w:lineRule="exact"/>
        <w:rPr>
          <w:rFonts w:ascii="Arial" w:cs="Arial" w:eastAsia="Arial" w:hAnsi="Arial"/>
          <w:sz w:val="16"/>
          <w:szCs w:val="16"/>
          <w:color w:val="auto"/>
        </w:rPr>
      </w:pPr>
    </w:p>
    <w:p>
      <w:pPr>
        <w:ind w:left="95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710"/>
        <w:spacing w:after="0"/>
        <w:rPr>
          <w:rFonts w:ascii="Arial" w:cs="Arial" w:eastAsia="Arial" w:hAnsi="Arial"/>
          <w:sz w:val="16"/>
          <w:szCs w:val="16"/>
          <w:color w:val="auto"/>
        </w:rPr>
      </w:pPr>
      <w:r>
        <w:rPr>
          <w:rFonts w:ascii="Arial" w:cs="Arial" w:eastAsia="Arial" w:hAnsi="Arial"/>
          <w:sz w:val="18"/>
          <w:szCs w:val="18"/>
          <w:color w:val="auto"/>
        </w:rPr>
        <w:t>2,594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-653415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-310515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12,358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630" w:hanging="630"/>
        <w:spacing w:after="0"/>
        <w:tabs>
          <w:tab w:leader="none" w:pos="6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97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580" w:hanging="57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(25,873)</w:t>
      </w:r>
    </w:p>
    <w:p>
      <w:pPr>
        <w:spacing w:after="0" w:line="8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6,673</w:t>
      </w:r>
    </w:p>
    <w:p>
      <w:pPr>
        <w:spacing w:after="0" w:line="63"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9,736</w:t>
      </w:r>
    </w:p>
    <w:p>
      <w:pPr>
        <w:spacing w:after="0" w:line="6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2,369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12,011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7,818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5,934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97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620" w:hanging="616"/>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19,198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48895</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(26,444)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(7,348)</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8,040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5,090</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11,814</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12,306</w:t>
            </w:r>
          </w:p>
        </w:tc>
      </w:tr>
      <w:tr>
        <w:trPr>
          <w:trHeight w:val="270"/>
        </w:trPr>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340" w:type="dxa"/>
            <w:vAlign w:val="bottom"/>
          </w:tcPr>
          <w:p>
            <w:pPr>
              <w:jc w:val="right"/>
              <w:ind w:right="102"/>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12,114</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9,071</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15,814</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1,859</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21,244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22,672</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7">
            <w:col w:w="5040" w:space="40"/>
            <w:col w:w="120" w:space="210"/>
            <w:col w:w="1190" w:space="60"/>
            <w:col w:w="140" w:space="200"/>
            <w:col w:w="1180" w:space="80"/>
            <w:col w:w="120" w:space="200"/>
            <w:col w:w="2840"/>
          </w:cols>
          <w:pgMar w:left="240" w:top="368" w:right="23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ind w:left="1300" w:hanging="320"/>
        <w:spacing w:after="0" w:line="306"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non-recurring costs;</w:t>
      </w:r>
    </w:p>
    <w:p>
      <w:pPr>
        <w:spacing w:after="0" w:line="76"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type w:val="continuous"/>
        </w:sectPr>
      </w:pPr>
    </w:p>
    <w:bookmarkStart w:id="46" w:name="page47"/>
    <w:bookmarkEnd w:id="46"/>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209" w:lineRule="exact"/>
        <w:rPr>
          <w:sz w:val="20"/>
          <w:szCs w:val="20"/>
          <w:color w:val="auto"/>
        </w:rPr>
      </w:pPr>
    </w:p>
    <w:p>
      <w:pPr>
        <w:jc w:val="center"/>
        <w:ind w:left="37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4493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80" w:lineRule="exact"/>
        <w:rPr>
          <w:sz w:val="20"/>
          <w:szCs w:val="20"/>
          <w:color w:val="auto"/>
        </w:rPr>
      </w:pPr>
    </w:p>
    <w:p>
      <w:pPr>
        <w:ind w:left="4440"/>
        <w:spacing w:after="0"/>
        <w:tabs>
          <w:tab w:leader="none" w:pos="5920" w:val="left"/>
          <w:tab w:leader="none" w:pos="7380" w:val="left"/>
          <w:tab w:leader="none" w:pos="8860" w:val="left"/>
          <w:tab w:leader="none" w:pos="103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68" w:lineRule="exact"/>
        <w:rPr>
          <w:sz w:val="20"/>
          <w:szCs w:val="20"/>
          <w:color w:val="auto"/>
        </w:rPr>
      </w:pPr>
    </w:p>
    <w:p>
      <w:pPr>
        <w:ind w:left="40" w:right="1660"/>
        <w:spacing w:after="0" w:line="282" w:lineRule="auto"/>
        <w:rPr>
          <w:sz w:val="20"/>
          <w:szCs w:val="20"/>
          <w:color w:val="auto"/>
        </w:rPr>
      </w:pPr>
      <w:r>
        <w:rPr>
          <w:rFonts w:ascii="Arial" w:cs="Arial" w:eastAsia="Arial" w:hAnsi="Arial"/>
          <w:sz w:val="18"/>
          <w:szCs w:val="18"/>
          <w:b w:val="1"/>
          <w:bCs w:val="1"/>
          <w:color w:val="auto"/>
        </w:rPr>
        <w:t>Reconciliation of Adjusted Operating Income (Loss)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(24,174)</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2,813</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14,841</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4,468</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Other litigation and consulting costs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5,928</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555</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471</w:t>
            </w:r>
          </w:p>
        </w:tc>
      </w:tr>
      <w:tr>
        <w:trPr>
          <w:trHeight w:val="27"/>
        </w:trPr>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4,902</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441" w:hanging="441"/>
        <w:spacing w:after="0"/>
        <w:tabs>
          <w:tab w:leader="none" w:pos="4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(17,690)</w:t>
      </w:r>
    </w:p>
    <w:p>
      <w:pPr>
        <w:spacing w:after="0" w:line="86"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4,682</w:t>
      </w:r>
    </w:p>
    <w:p>
      <w:pPr>
        <w:spacing w:after="0" w:line="63"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8,944</w:t>
      </w:r>
    </w:p>
    <w:p>
      <w:pPr>
        <w:spacing w:after="0" w:line="63"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2,594</w:t>
      </w:r>
    </w:p>
    <w:p>
      <w:pPr>
        <w:spacing w:after="0" w:line="63"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7,648</w:t>
      </w:r>
    </w:p>
    <w:p>
      <w:pPr>
        <w:spacing w:after="0" w:line="63"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661"/>
        <w:spacing w:after="0"/>
        <w:rPr>
          <w:rFonts w:ascii="Arial" w:cs="Arial" w:eastAsia="Arial" w:hAnsi="Arial"/>
          <w:sz w:val="16"/>
          <w:szCs w:val="16"/>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-1160780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-817880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-474345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-131445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8" w:lineRule="exact"/>
        <w:rPr>
          <w:sz w:val="20"/>
          <w:szCs w:val="20"/>
          <w:color w:val="auto"/>
        </w:rPr>
      </w:pPr>
    </w:p>
    <w:p>
      <w:pPr>
        <w:ind w:left="601" w:hanging="601"/>
        <w:spacing w:after="0"/>
        <w:tabs>
          <w:tab w:leader="none" w:pos="6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6,042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449" w:hanging="449"/>
        <w:spacing w:after="0"/>
        <w:tabs>
          <w:tab w:leader="none" w:pos="4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(19,939)</w:t>
      </w:r>
    </w:p>
    <w:p>
      <w:pPr>
        <w:spacing w:after="0" w:line="86"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6,673</w:t>
      </w:r>
    </w:p>
    <w:p>
      <w:pPr>
        <w:spacing w:after="0" w:line="63"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9,736</w:t>
      </w:r>
    </w:p>
    <w:p>
      <w:pPr>
        <w:spacing w:after="0" w:line="63"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2,369</w:t>
      </w:r>
    </w:p>
    <w:p>
      <w:pPr>
        <w:spacing w:after="0" w:line="63"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8,134</w:t>
      </w:r>
    </w:p>
    <w:p>
      <w:pPr>
        <w:spacing w:after="0" w:line="63" w:lineRule="exact"/>
        <w:rPr>
          <w:rFonts w:ascii="Arial" w:cs="Arial" w:eastAsia="Arial" w:hAnsi="Arial"/>
          <w:sz w:val="16"/>
          <w:szCs w:val="16"/>
          <w:color w:val="auto"/>
        </w:rPr>
      </w:pPr>
    </w:p>
    <w:p>
      <w:pPr>
        <w:ind w:left="82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82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729"/>
        <w:spacing w:after="0"/>
        <w:rPr>
          <w:rFonts w:ascii="Arial" w:cs="Arial" w:eastAsia="Arial" w:hAnsi="Arial"/>
          <w:sz w:val="16"/>
          <w:szCs w:val="16"/>
          <w:color w:val="auto"/>
        </w:rPr>
      </w:pPr>
      <w:r>
        <w:rPr>
          <w:rFonts w:ascii="Arial" w:cs="Arial" w:eastAsia="Arial" w:hAnsi="Arial"/>
          <w:sz w:val="18"/>
          <w:szCs w:val="18"/>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7" w:lineRule="exact"/>
        <w:rPr>
          <w:sz w:val="20"/>
          <w:szCs w:val="20"/>
          <w:color w:val="auto"/>
        </w:rPr>
      </w:pPr>
    </w:p>
    <w:p>
      <w:pPr>
        <w:ind w:left="589" w:hanging="589"/>
        <w:spacing w:after="0"/>
        <w:tabs>
          <w:tab w:leader="none" w:pos="5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7,503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(10,630)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8,040</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11,814</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12,306</w:t>
            </w:r>
          </w:p>
        </w:tc>
        <w:tc>
          <w:tcPr>
            <w:tcW w:w="0" w:type="dxa"/>
            <w:vAlign w:val="bottom"/>
          </w:tcPr>
          <w:p>
            <w:pPr>
              <w:spacing w:after="0"/>
              <w:rPr>
                <w:sz w:val="1"/>
                <w:szCs w:val="1"/>
                <w:color w:val="auto"/>
              </w:rPr>
            </w:pPr>
          </w:p>
        </w:tc>
      </w:tr>
      <w:tr>
        <w:trPr>
          <w:trHeight w:val="270"/>
        </w:trPr>
        <w:tc>
          <w:tcPr>
            <w:tcW w:w="320" w:type="dxa"/>
            <w:vAlign w:val="bottom"/>
          </w:tcPr>
          <w:p>
            <w:pPr>
              <w:jc w:val="right"/>
              <w:ind w:right="108"/>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3,384</w:t>
            </w:r>
          </w:p>
        </w:tc>
        <w:tc>
          <w:tcPr>
            <w:tcW w:w="320" w:type="dxa"/>
            <w:vAlign w:val="bottom"/>
          </w:tcPr>
          <w:p>
            <w:pPr>
              <w:jc w:val="right"/>
              <w:ind w:right="102"/>
              <w:spacing w:after="0"/>
              <w:rPr>
                <w:sz w:val="20"/>
                <w:szCs w:val="20"/>
                <w:color w:val="auto"/>
              </w:rPr>
            </w:pPr>
            <w:r>
              <w:rPr>
                <w:rFonts w:ascii="Arial" w:cs="Arial" w:eastAsia="Arial" w:hAnsi="Arial"/>
                <w:sz w:val="11"/>
                <w:szCs w:val="11"/>
                <w:color w:val="auto"/>
                <w:w w:val="88"/>
              </w:rPr>
              <w:t>(4)</w:t>
            </w: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20" w:type="dxa"/>
            <w:vAlign w:val="bottom"/>
            <w:vMerge w:val="restart"/>
          </w:tcPr>
          <w:p>
            <w:pPr>
              <w:jc w:val="right"/>
              <w:ind w:right="108"/>
              <w:spacing w:after="0"/>
              <w:rPr>
                <w:sz w:val="20"/>
                <w:szCs w:val="20"/>
                <w:color w:val="auto"/>
              </w:rPr>
            </w:pPr>
            <w:r>
              <w:rPr>
                <w:rFonts w:ascii="Arial" w:cs="Arial" w:eastAsia="Arial" w:hAnsi="Arial"/>
                <w:sz w:val="11"/>
                <w:szCs w:val="11"/>
                <w:color w:val="auto"/>
                <w:w w:val="88"/>
              </w:rPr>
              <w:t>(8)</w:t>
            </w:r>
          </w:p>
        </w:tc>
        <w:tc>
          <w:tcPr>
            <w:tcW w:w="300" w:type="dxa"/>
            <w:vAlign w:val="bottom"/>
          </w:tcPr>
          <w:p>
            <w:pPr>
              <w:spacing w:after="0"/>
              <w:rPr>
                <w:sz w:val="14"/>
                <w:szCs w:val="14"/>
                <w:color w:val="auto"/>
              </w:rPr>
            </w:pPr>
          </w:p>
        </w:tc>
        <w:tc>
          <w:tcPr>
            <w:tcW w:w="840" w:type="dxa"/>
            <w:vAlign w:val="bottom"/>
          </w:tcPr>
          <w:p>
            <w:pPr>
              <w:jc w:val="right"/>
              <w:ind w:right="30"/>
              <w:spacing w:after="0" w:line="16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3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9,130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13,601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6">
            <w:col w:w="5180" w:space="20"/>
            <w:col w:w="140" w:space="219"/>
            <w:col w:w="1061" w:space="80"/>
            <w:col w:w="120" w:space="211"/>
            <w:col w:w="1069" w:space="60"/>
            <w:col w:w="3260"/>
          </w:cols>
          <w:pgMar w:left="240" w:top="368" w:right="239" w:bottom="1440" w:gutter="0" w:footer="0" w:header="0"/>
          <w:type w:val="continuous"/>
        </w:sectPr>
      </w:pPr>
    </w:p>
    <w:p>
      <w:pPr>
        <w:ind w:right="20" w:firstLine="8"/>
        <w:spacing w:after="0" w:line="247" w:lineRule="auto"/>
        <w:tabs>
          <w:tab w:leader="none" w:pos="127"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These costs include severance and associated costs of $4.5 million for the year ended December 31, 2018. As detailed in Note 13 of the Notes to the Consolidated Financial Statements, the Company’s restructuring costs relate to resource reallocation for the Company’s platform transformation as well as wind down costs to focus on areas of high growth potential, and the termination of a large customer contract.</w:t>
      </w:r>
    </w:p>
    <w:p>
      <w:pPr>
        <w:spacing w:after="0" w:line="1" w:lineRule="exact"/>
        <w:rPr>
          <w:rFonts w:ascii="Arial" w:cs="Arial" w:eastAsia="Arial" w:hAnsi="Arial"/>
          <w:sz w:val="9"/>
          <w:szCs w:val="9"/>
          <w:b w:val="1"/>
          <w:bCs w:val="1"/>
          <w:color w:val="auto"/>
        </w:rPr>
      </w:pPr>
    </w:p>
    <w:p>
      <w:pPr>
        <w:ind w:right="680" w:firstLine="8"/>
        <w:spacing w:after="0" w:line="241" w:lineRule="auto"/>
        <w:tabs>
          <w:tab w:leader="none" w:pos="127"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wind down costs of legacy platform of $1.9 million and severance costs of $0.7 million for the year ended December 31, 2017. Please refer to footnote (1) above for additional information related to the nature of these restructuring costs.</w:t>
      </w:r>
    </w:p>
    <w:p>
      <w:pPr>
        <w:ind w:right="180" w:firstLine="8"/>
        <w:spacing w:after="0" w:line="241" w:lineRule="auto"/>
        <w:tabs>
          <w:tab w:leader="none" w:pos="127"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severance costs of $1.6 million, wind down costs of legacy platform of $1.2 million and a benefit of $0.4 million of cash collected on previously written off bad debt for the year ended December 31, 2016. Please refer to footnote (1) above for additional information related to the nature of these restructuring costs.</w:t>
      </w:r>
    </w:p>
    <w:p>
      <w:pPr>
        <w:ind w:right="160" w:firstLine="8"/>
        <w:spacing w:after="0" w:line="241" w:lineRule="auto"/>
        <w:tabs>
          <w:tab w:leader="none" w:pos="127"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approximately $1.7 million of termination costs associated with a large customer contract that ended in 2015 and $1.7 million of severance and other associated costs for the year ended December 31, 2015. Please refer to footnote (1) above for additional information related to the nature of these restructuring costs.</w:t>
      </w:r>
    </w:p>
    <w:p>
      <w:pPr>
        <w:ind w:right="40" w:firstLine="8"/>
        <w:spacing w:after="0" w:line="241" w:lineRule="auto"/>
        <w:tabs>
          <w:tab w:leader="none" w:pos="141"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litigation costs of $4.1 million, consulting costs of $1.3 million, executive recruitment costs of $0.3 million, and executive relocation costs of $0.2 million for the year ended December 31, 2018. As detailed in Note 12 of the Notes to the consolidated Financial Statements, the Company's other litigation costs relate to the Company’s intellectual property suit against [24]7 Customer, Inc.</w:t>
      </w:r>
    </w:p>
    <w:p>
      <w:pPr>
        <w:spacing w:after="0" w:line="1" w:lineRule="exact"/>
        <w:rPr>
          <w:rFonts w:ascii="Arial" w:cs="Arial" w:eastAsia="Arial" w:hAnsi="Arial"/>
          <w:sz w:val="9"/>
          <w:szCs w:val="9"/>
          <w:b w:val="1"/>
          <w:bCs w:val="1"/>
          <w:color w:val="auto"/>
        </w:rPr>
      </w:pPr>
    </w:p>
    <w:p>
      <w:pPr>
        <w:ind w:right="240" w:firstLine="8"/>
        <w:spacing w:after="0" w:line="241" w:lineRule="auto"/>
        <w:tabs>
          <w:tab w:leader="none" w:pos="127"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litigation costs of $6.2 million, executive one-time compensation payment of $1.0 million, and executive separation cost of $0.5 million for the year ended December 31, 2017. Please refer to footnote (5) above for additional information related to the nature of these other litigation costs.</w:t>
      </w:r>
    </w:p>
    <w:p>
      <w:pPr>
        <w:ind w:right="260" w:firstLine="8"/>
        <w:spacing w:after="0" w:line="241" w:lineRule="auto"/>
        <w:tabs>
          <w:tab w:leader="none" w:pos="141"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and severance costs of $0.5 million for the year ended December 31, 2016. Please refer to footnote (5) above for additional information related to the nature of these other litigation costs.</w:t>
      </w:r>
    </w:p>
    <w:p>
      <w:pPr>
        <w:ind w:right="240" w:firstLine="8"/>
        <w:spacing w:after="0" w:line="255" w:lineRule="auto"/>
        <w:tabs>
          <w:tab w:leader="none" w:pos="141" w:val="left"/>
        </w:tabs>
        <w:numPr>
          <w:ilvl w:val="0"/>
          <w:numId w:val="39"/>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severance costs of $0.5 million, and write off of office facility depreciation of $0.3 million for the year ended December 31, 2016. Please refer to footnote (5) above for additional information related to the nature of these other litigation costs.</w:t>
      </w:r>
    </w:p>
    <w:p>
      <w:pPr>
        <w:spacing w:after="0" w:line="200" w:lineRule="exact"/>
        <w:rPr>
          <w:sz w:val="20"/>
          <w:szCs w:val="20"/>
          <w:color w:val="auto"/>
        </w:rPr>
      </w:pPr>
    </w:p>
    <w:p>
      <w:pPr>
        <w:spacing w:after="0" w:line="257"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General</w:t>
      </w: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763"/>
        <w:spacing w:after="0" w:line="269" w:lineRule="auto"/>
        <w:rPr>
          <w:sz w:val="20"/>
          <w:szCs w:val="20"/>
          <w:color w:val="auto"/>
        </w:rPr>
      </w:pPr>
      <w:r>
        <w:rPr>
          <w:rFonts w:ascii="Arial" w:cs="Arial" w:eastAsia="Arial" w:hAnsi="Arial"/>
          <w:sz w:val="17"/>
          <w:szCs w:val="17"/>
          <w:color w:val="auto"/>
        </w:rPr>
        <w:t>LivePerson, Inc. ("LivePerson", the "Company", "we" or "our") makes life easier by transforming how people communicate with brands.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type w:val="continuous"/>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appointments, apply for credit, approve repairs, make purchases or payments - all without ever leaving the messaging channel. We call these AI and human-assisted conversational experiences over messaging Conversational Commerce.</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LiveEngage, our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we call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5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 than 18,000 businesses, including Citibank, HSBC, Orange, and The Home Depot use our Conversational Commerce solutions to orchestrate humans and AI, at scale, and create a convenient, deeply personal relationship.</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solutions benefit organizations of all sizes conducting business or communicating with consumers through mobile and online messaging and chat. We plan to continue to focus on key target markets: consumer/retail, telecommunications, financial services, travel/hospitality, technology and automotive, within the United States and Canada, Latin America, Europe and the Asia-Pacific region.</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transform how people communicate with brands. To accomplish this, we are focused on the following current initiatives: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Conversational Commerce. </w:t>
      </w:r>
      <w:r>
        <w:rPr>
          <w:rFonts w:ascii="Arial" w:cs="Arial" w:eastAsia="Arial" w:hAnsi="Arial"/>
          <w:sz w:val="18"/>
          <w:szCs w:val="18"/>
          <w:color w:val="auto"/>
        </w:rPr>
        <w:t>LivePerson brought its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Commerce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key component of our industry awareness marketing strategy has been to hold multiple global customer summits each year that target executives from enterprise customers and prospects, and feature a key theme within Conversational Commerce, such as Apple Business Chat, Google Rich Business Messenger, IVR deflection or AI. LivePerson customers are the centerpoint of these summits, presenting why they chose LivePerson for Conversational Commerce, how they achieved success, and what type of ROI they have realized. Each attendee then receives a blueprint for how they can achieve similar outcomes. We have found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7" w:right="2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this strategy to drive strong results for LivePerson, as we have seen a greater than 40% conversion rate on opportunities that were created or advanced as part of the customer summits. By year end 2018, we had brought more than 200 customers live on messaging and increased adoption within our enterprise customers to more than 40%. In addition, more than 50% of messaging conversations had automation attached. We will continue to focus on building awareness for Conversational Commerce and driving adoption of messaging and AI across our customer base.</w:t>
      </w:r>
    </w:p>
    <w:p>
      <w:pPr>
        <w:spacing w:after="0" w:line="6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5"/>
          <w:szCs w:val="15"/>
          <w:b w:val="1"/>
          <w:bCs w:val="1"/>
          <w:i w:val="1"/>
          <w:iCs w:val="1"/>
          <w:color w:val="auto"/>
        </w:rPr>
        <w:t xml:space="preserve">Increase volumes on LiveEngage by deploying a broad messaging ecosystem and expanding customer use cases. </w:t>
      </w:r>
      <w:r>
        <w:rPr>
          <w:rFonts w:ascii="Arial" w:cs="Arial" w:eastAsia="Arial" w:hAnsi="Arial"/>
          <w:sz w:val="15"/>
          <w:szCs w:val="15"/>
          <w:color w:val="auto"/>
        </w:rPr>
        <w:t>Our strategy is to drive higher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volumes on LiveEngage by going both wide across messaging endpoints and deep across consumer use cases.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order to go wide across messaging endpoints, it is imperative that LiveEngage integrates to all of the messaging apps that consumers prefer to use for communication. For example, if a consumer is an avid WhatsApp user, and a brand only offers SMS as a messaging option, that consumer may be reluctant to try messaging the brand. Therefore, a key strategy of our has been to build one of the industry’s broadest ecosystems of messaging endpoints. In June 2016, we launched with In-App messaging. In 2017, we introduced Facebook Messenger, SMS, Web messaging and IVR deflection integrations. In 2018, we added Apple Business Chat, Google Rich Business Messenger, Line, WhatsApp, Alexa, Google Home, Google Ad Lingo and Twitter.</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channel added opens the door to hundreds of millions of new consumers, providing brands a greater opportunity to shift share away from their legacy contact center channels into messaging. LivePerson makes the management of all these disparate channels seamless to the brand. The LiveEngage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go deep across customer use cases, we are focused on extending LiveEngage beyond just taking share of the 270 billion calls made to customer service 1-800 numbers each year, into sales, marketing and brick and mortar conversations. For example, in 2018, a home improvement retailer launched a bot that autonomously sells millions of dollars of grills; a leading global concessions manager launched a service that lets patrons in a sports arena order beverages to their seats through Apple Business Chat; and a telecommunications company used LiveEngage to drive pre-sales for an iPhone series launch.</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this strategy has influenced LivePerson’s enterprise and mid-market revenue retention rate, (the trailing-twelve-month change in total revenue from existing customers after upsells, downsells and attrition) which was greater than 110% in 2018. The benefit can also be seen in LivePerson’s average revenue per user (ARPU) for our enterprise and mid-market customers, which increased more than 25% in 2018 to approximately $285,000 from approximately $225,000 in 2017. For this same customer set, when examining only the subset that have adopted messaging, the ARPU in 2018 increased to approximately $500,000. When examining customers that have adopted at least three endpoints, the APRU in 2018 increased into the low seven figures. We believe these ARPU trends are a clear indication of how LivePerson’s strategy to drive messaging adoption has successfully influenced our revenue growth by taking share from legacy communication channels. We will continue to focus on adding new messaging endpoints and driving higher adoption of each of these channels within our customer base.</w:t>
      </w:r>
    </w:p>
    <w:p>
      <w:pPr>
        <w:spacing w:after="0" w:line="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Globalize R&amp;D to attract the industry’s best AI, machine learning and conversational talent. </w:t>
      </w:r>
      <w:r>
        <w:rPr>
          <w:rFonts w:ascii="Arial" w:cs="Arial" w:eastAsia="Arial" w:hAnsi="Arial"/>
          <w:sz w:val="16"/>
          <w:szCs w:val="16"/>
          <w:color w:val="auto"/>
        </w:rPr>
        <w:t>We believe that AI and machine learning are critical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successfully scaling Conversational Commerce, and that in order to develop the industry’s leading technology, we need to open offices where the best talent is located. To spearhead that globalization effort, in 2018, LivePerson recruited Alex Spinelli, key architect of the Alexa Operating System at Amazon.com, as our Global CTO. Under Mr. Spinelli’s leadership, we opened an Advanced Technology Center in Seattle, Washington, in 2018, expanded our Mannheim, Germany development center, and added key development talent through the acquisitions of BotCentral in Mountain View, California and Conversable in Austin, Texas. We added more than 70 machine learning, AI and Conversational Commerce developers in 2018, recruiting top talent from firms such as Nike, Amazon.com, Microsoft and Target. We expect to continue adding industry leading development talent across our global offices in 2019.</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Bring to market best-in-class AI and machine learning technologies designed for Conversational Commerce. </w:t>
      </w:r>
      <w:r>
        <w:rPr>
          <w:rFonts w:ascii="Arial" w:cs="Arial" w:eastAsia="Arial" w:hAnsi="Arial"/>
          <w:sz w:val="18"/>
          <w:szCs w:val="18"/>
          <w:color w:val="auto"/>
        </w:rPr>
        <w:t>We believe that over the past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many first generation AI and bots have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Commerce platforms such as LiveEngage. In December 2018, LivePerson announced Maven, a patent pending AI engine that is designed to overcome these shortcomings and help brands rapidly bring to market conversational AI that can scale to millions of interactions, while increasing customer satisfaction and conversion rates.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Maven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Maven gives brands the ability to leverage the employees closest to the customer, those who are most versed in the voice of the brand, and with the most expertise in how to craft successful outcomes for customer service and sales journeys.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17"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Some of the key innovations behind Maven include:</w:t>
      </w:r>
    </w:p>
    <w:p>
      <w:pPr>
        <w:spacing w:after="0" w:line="117" w:lineRule="exact"/>
        <w:rPr>
          <w:sz w:val="20"/>
          <w:szCs w:val="20"/>
          <w:color w:val="auto"/>
        </w:rPr>
      </w:pPr>
    </w:p>
    <w:p>
      <w:pPr>
        <w:ind w:left="1040" w:hanging="316"/>
        <w:spacing w:after="0" w:line="258"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spacing w:after="0" w:line="1" w:lineRule="exact"/>
        <w:rPr>
          <w:rFonts w:ascii="Arial" w:cs="Arial" w:eastAsia="Arial" w:hAnsi="Arial"/>
          <w:sz w:val="18"/>
          <w:szCs w:val="18"/>
          <w:color w:val="auto"/>
        </w:rPr>
      </w:pPr>
    </w:p>
    <w:p>
      <w:pPr>
        <w:ind w:left="1040" w:hanging="316"/>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40" w:hanging="316"/>
        <w:spacing w:after="0" w:line="25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40" w:hanging="316"/>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AI NLU integration, so customers aren't boxed into one vendor</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AI analytics and reporting tailored to Conversational Commerce</w:t>
      </w:r>
    </w:p>
    <w:p>
      <w:pPr>
        <w:spacing w:after="0" w:line="211"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Our strategy is to continue to enhance the Maven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6"/>
          <w:szCs w:val="16"/>
          <w:color w:val="auto"/>
        </w:rPr>
        <w:t>We believe that most online retailers view messaging and Conversational Commerce as a feature. They are content with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integrations to a messaging endpoint and offering messaging as just another product in their suite. LivePerson holds the perspective that Conversational Commerce requires an operational transformation that changes how brands engage with consumers across service, sales, marketing and brick and mortar. Brands must adapt their contact centers to an asynchronous messaging environment and leverage a combination of human agents, bots and AI to achieve scale and efficiencies. When done right, the entire consumer lifecycle with a brand will be maintained within the Conversational Commerce relationship, and traffic will steadily shift away from lower returning voice calls, websites and apps to higher returning messaging endpoints.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its technology and expertise:</w:t>
      </w:r>
    </w:p>
    <w:p>
      <w:pPr>
        <w:spacing w:after="0" w:line="117" w:lineRule="exact"/>
        <w:rPr>
          <w:sz w:val="20"/>
          <w:szCs w:val="20"/>
          <w:color w:val="auto"/>
        </w:rPr>
      </w:pPr>
    </w:p>
    <w:p>
      <w:pPr>
        <w:jc w:val="both"/>
        <w:ind w:left="1040" w:hanging="316"/>
        <w:spacing w:after="0" w:line="255"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85" w:lineRule="exact"/>
        <w:rPr>
          <w:rFonts w:ascii="Arial" w:cs="Arial" w:eastAsia="Arial" w:hAnsi="Arial"/>
          <w:sz w:val="18"/>
          <w:szCs w:val="18"/>
          <w:color w:val="auto"/>
        </w:rPr>
      </w:pPr>
    </w:p>
    <w:p>
      <w:pPr>
        <w:jc w:val="both"/>
        <w:ind w:left="1040" w:hanging="316"/>
        <w:spacing w:after="0" w:line="23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LivePerson’s differentiated approach to the Conversational Commerce industry, combined with our unique technology and expertise has established us as a market leader, with an ability to deliver superior returns on investment. LivePerson customers typically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81" w:lineRule="exact"/>
        <w:rPr>
          <w:sz w:val="20"/>
          <w:szCs w:val="20"/>
          <w:color w:val="auto"/>
        </w:rPr>
      </w:pPr>
    </w:p>
    <w:p>
      <w:pPr>
        <w:jc w:val="both"/>
        <w:ind w:firstLine="234"/>
        <w:spacing w:after="0" w:line="276"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its market position by increasing our customer base,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Healthcare, insurance, real estate and energy utilities are new target industries and natural extensions of our primary target markets. We are increasingly structuring our field organization to emphasize our domain expertise and strengthen customer relationships.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17" w:right="2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Continue to build our international international presence. </w:t>
      </w:r>
      <w:r>
        <w:rPr>
          <w:rFonts w:ascii="Arial" w:cs="Arial" w:eastAsia="Arial" w:hAnsi="Arial"/>
          <w:sz w:val="18"/>
          <w:szCs w:val="18"/>
          <w:color w:val="auto"/>
        </w:rPr>
        <w:t>We are focused on expanding our international revenue contribution, which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41% of total revenue in 2018, from 37% in 2017 and 34% in 2016. We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79" w:lineRule="exact"/>
        <w:rPr>
          <w:sz w:val="20"/>
          <w:szCs w:val="20"/>
          <w:color w:val="auto"/>
        </w:rPr>
      </w:pPr>
    </w:p>
    <w:p>
      <w:pPr>
        <w:jc w:val="both"/>
        <w:ind w:firstLine="279"/>
        <w:spacing w:after="0" w:line="273"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capable of offering additional applications and services to our customers. We integrate into nearly a dozen third-party messaging endpoints including SMS, Facebook Messenger, Apple Business Chat, Google Rich Business Messenger, Line, WhatsApp, Alexa, Google Home, Google Ad Lingo and Twitter, multiple IVR vendors and dozens of branded apps. Our offering is AI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opened up access to our platform and our products with more than three dozen APIs that allow customers and third parties to develop on top of our platform. Customers and partners can utilize these APIs to build our capabilities into their own applications and to enhance our applications with their services. In 2019, we expect to increase our marketing efforts to developers, raising awareness for how they can build programs and services on top of our platform.</w:t>
      </w:r>
    </w:p>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its market reach and accelerating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cycles by partnering with systems integrators, technology providers, business process outsourcers, value added resellers and other sales partners. We formalized a relationship with IBM Global Business Services in 2017 and Accenture in 2018. We increased the number of partners focused on SMBs by more than 300% in 2018, to over 150 at year end from 40 at the start of the year. These efforts are increasingly yielding positive results for us, as nearly one-third of annual contract value signed in 2018 was directly influenced by partners. We expect to increase investment in our partner channels in 2019.</w:t>
      </w:r>
    </w:p>
    <w:p>
      <w:pPr>
        <w:spacing w:after="0" w:line="50"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50"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overview of the three and twelve months ended December 31, 2018 compared to the comparable periods in 2017 are as follows:</w:t>
      </w:r>
    </w:p>
    <w:p>
      <w:pPr>
        <w:spacing w:after="0" w:line="129" w:lineRule="exact"/>
        <w:rPr>
          <w:sz w:val="20"/>
          <w:szCs w:val="20"/>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increased 15% and 14% to $65.7 million and $249.8 million in the three and twelve months ended December 31, 2018, respectively, from $57.4 million and $218.9 million in the comparable periods in 2017.</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from our Business segment increased 15% and 14% to $60.7 million and $230.3 million in the three and twelve months ended December 31, 2018, respectively, from $52.9 million and $201.4 million in the comparable periods in 2017.</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profit margin remained consistent at 74% in the three months ended December 31, 2018 and 2017. Gross profit margin increased to 75% in the twelve months ended December 31, 2018 from 73% in the comparable period in 2017.</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and expenses increased 15% and 16% to $73.0 million and $273.5 million in the three and twelve months ended December 31, 2018, respectively, from $63.3 million and $236.7 million in the comparable periods in 2017.</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loss increased to $6.5 million and $25.0 million in the three and twelve months ended December 31, 2018, respectively, from net loss of $3.7 million and $18.2 million for the three and twelve months ended December 31, 2017, respectively.</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Trailing-twelve-month average revenue per enterprise and mid-market customer was greater than $285,000 in 2018, as compared to approximately $220,000 in 2017.</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retention rate for enterprise and mid-market customers on LiveEngage was greater than 110% for the twelve months ended December 31, 2018 and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1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3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Total revenue of $249.8 million recognized during the year ended December 31, 2018 under ASU No. 2014-09, "Revenue from Contracts with Customers" ("Topic 606"), was not materially different from what would have been recognized under Topic 605.</w:t>
      </w:r>
    </w:p>
    <w:p>
      <w:pPr>
        <w:spacing w:after="0" w:line="170" w:lineRule="exact"/>
        <w:rPr>
          <w:sz w:val="20"/>
          <w:szCs w:val="20"/>
          <w:color w:val="auto"/>
        </w:rPr>
      </w:pPr>
    </w:p>
    <w:p>
      <w:pPr>
        <w:ind w:right="2840"/>
        <w:spacing w:after="0" w:line="277" w:lineRule="auto"/>
        <w:rPr>
          <w:sz w:val="20"/>
          <w:szCs w:val="20"/>
          <w:color w:val="auto"/>
        </w:rPr>
      </w:pPr>
      <w:r>
        <w:rPr>
          <w:rFonts w:ascii="Arial" w:cs="Arial" w:eastAsia="Arial" w:hAnsi="Arial"/>
          <w:sz w:val="18"/>
          <w:szCs w:val="18"/>
          <w:color w:val="auto"/>
        </w:rPr>
        <w:t>For more information about our revenue recognition policies, please see “-- Critical Accounting Policies and Estimates --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attributable to our monthly hosted Business services accounted for 79% of total revenue for the year ended December 31, 2018 and 82% of total revenue for the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 attributable to professional services accounted for 13% of total revenue for the year ended December 31, 2018 and 10% of total revenue for the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accounted for approximately 8% of total revenue for the years ended December 31, 2018 and 2017 and 7% of total revenue for the year ended December 31,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of $19.7 million in the deferred revenue balance for the year ended December 31, 2018 is primarily driven by cash payments received or due in advance of satisfying our performance obligations, partially offset by $32.7 million of revenues recognized that were included in the deferred revenue balance as of December 31, 2017.</w:t>
      </w:r>
    </w:p>
    <w:p>
      <w:pPr>
        <w:spacing w:after="0" w:line="25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63" w:lineRule="exact"/>
        <w:rPr>
          <w:sz w:val="20"/>
          <w:szCs w:val="20"/>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32" w:lineRule="exact"/>
        <w:rPr>
          <w:rFonts w:ascii="Arial" w:cs="Arial" w:eastAsia="Arial" w:hAnsi="Arial"/>
          <w:sz w:val="16"/>
          <w:szCs w:val="16"/>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the consumer and SMB services; and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global customer summits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litigation,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2018, we increased our allowance for doubtful accounts from $1.3 million to approximately $2.3 million. During 2017, we decreased our allowance for doubtful accounts by approximately $0.4 million to approximately $1.3 million. We perform a detailed assessment of the collectability of our accounts receivable. In estimating the allowance for doubtful accounts, management considers, among other factors, the aging of the accounts receivable, historical write-offs and the creditworthiness of each customer. A large proportion of receivables are due from larger corporate customers that typically have longer payment cycles.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for the years ended December 31, 2018, 2017 and 2016 consist of (amounts in thousands):</w:t>
      </w:r>
    </w:p>
    <w:p>
      <w:pPr>
        <w:spacing w:after="0" w:line="185" w:lineRule="exact"/>
        <w:rPr>
          <w:sz w:val="20"/>
          <w:szCs w:val="20"/>
          <w:color w:val="auto"/>
        </w:rPr>
      </w:pPr>
    </w:p>
    <w:p>
      <w:pPr>
        <w:ind w:left="7900"/>
        <w:spacing w:after="0"/>
        <w:tabs>
          <w:tab w:leader="none" w:pos="9240" w:val="left"/>
          <w:tab w:leader="none" w:pos="106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440" w:val="left"/>
          <w:tab w:leader="none" w:pos="8060" w:val="left"/>
          <w:tab w:leader="none" w:pos="8800" w:val="left"/>
          <w:tab w:leader="none" w:pos="9520" w:val="left"/>
          <w:tab w:leader="none" w:pos="10180" w:val="left"/>
          <w:tab w:leader="none" w:pos="10880" w:val="left"/>
        </w:tabs>
        <w:rPr>
          <w:sz w:val="20"/>
          <w:szCs w:val="20"/>
          <w:color w:val="auto"/>
        </w:rPr>
      </w:pPr>
      <w:r>
        <w:rPr>
          <w:rFonts w:ascii="Arial" w:cs="Arial" w:eastAsia="Arial" w:hAnsi="Arial"/>
          <w:sz w:val="18"/>
          <w:szCs w:val="18"/>
          <w:color w:val="auto"/>
        </w:rPr>
        <w:t>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14,841</w:t>
        <w:tab/>
        <w:t>$</w:t>
      </w:r>
      <w:r>
        <w:rPr>
          <w:sz w:val="20"/>
          <w:szCs w:val="20"/>
          <w:color w:val="auto"/>
        </w:rPr>
        <w:tab/>
      </w:r>
      <w:r>
        <w:rPr>
          <w:rFonts w:ascii="Arial" w:cs="Arial" w:eastAsia="Arial" w:hAnsi="Arial"/>
          <w:sz w:val="18"/>
          <w:szCs w:val="18"/>
          <w:color w:val="auto"/>
        </w:rPr>
        <w:t>8,944</w:t>
        <w:tab/>
        <w:t>$</w:t>
      </w:r>
      <w:r>
        <w:rPr>
          <w:sz w:val="20"/>
          <w:szCs w:val="20"/>
          <w:color w:val="auto"/>
        </w:rPr>
        <w:tab/>
      </w:r>
      <w:r>
        <w:rPr>
          <w:rFonts w:ascii="Arial" w:cs="Arial" w:eastAsia="Arial" w:hAnsi="Arial"/>
          <w:sz w:val="16"/>
          <w:szCs w:val="16"/>
          <w:color w:val="auto"/>
        </w:rPr>
        <w:t>9,736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48895</wp:posOffset>
            </wp:positionV>
            <wp:extent cx="2529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2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30"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37465</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17"/>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97"/>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9"/>
          </w:tcPr>
          <w:p>
            <w:pPr>
              <w:ind w:left="480"/>
              <w:spacing w:after="0"/>
              <w:rPr>
                <w:sz w:val="20"/>
                <w:szCs w:val="20"/>
                <w:color w:val="auto"/>
              </w:rPr>
            </w:pPr>
            <w:r>
              <w:rPr>
                <w:rFonts w:ascii="Arial" w:cs="Arial" w:eastAsia="Arial" w:hAnsi="Arial"/>
                <w:sz w:val="16"/>
                <w:szCs w:val="16"/>
                <w:b w:val="1"/>
                <w:bCs w:val="1"/>
                <w:color w:val="auto"/>
                <w:w w:val="90"/>
              </w:rPr>
              <w:t>(as a percentage of revenue)</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
        </w:trPr>
        <w:tc>
          <w:tcPr>
            <w:tcW w:w="34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3480" w:type="dxa"/>
            <w:vAlign w:val="bottom"/>
            <w:gridSpan w:val="2"/>
            <w:shd w:val="clear" w:color="auto" w:fill="CCFFCC"/>
          </w:tcPr>
          <w:p>
            <w:pPr>
              <w:ind w:left="40"/>
              <w:spacing w:after="0"/>
              <w:rPr>
                <w:sz w:val="20"/>
                <w:szCs w:val="20"/>
                <w:color w:val="auto"/>
              </w:rPr>
            </w:pPr>
            <w:r>
              <w:rPr>
                <w:rFonts w:ascii="Arial" w:cs="Arial" w:eastAsia="Arial" w:hAnsi="Arial"/>
                <w:sz w:val="16"/>
                <w:szCs w:val="16"/>
                <w:b w:val="1"/>
                <w:bCs w:val="1"/>
                <w:color w:val="auto"/>
                <w:w w:val="93"/>
              </w:rPr>
              <w:t xml:space="preserve">Consolidated Statements of Operations Data: </w:t>
            </w:r>
            <w:r>
              <w:rPr>
                <w:rFonts w:ascii="Arial" w:cs="Arial" w:eastAsia="Arial" w:hAnsi="Arial"/>
                <w:sz w:val="21"/>
                <w:szCs w:val="21"/>
                <w:b w:val="1"/>
                <w:bCs w:val="1"/>
                <w:color w:val="auto"/>
                <w:w w:val="93"/>
                <w:vertAlign w:val="superscript"/>
              </w:rPr>
              <w:t>(1)</w:t>
            </w:r>
          </w:p>
        </w:tc>
        <w:tc>
          <w:tcPr>
            <w:tcW w:w="9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44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340" w:type="dxa"/>
            <w:vAlign w:val="bottom"/>
          </w:tcPr>
          <w:p>
            <w:pPr>
              <w:spacing w:after="0"/>
              <w:rPr>
                <w:sz w:val="23"/>
                <w:szCs w:val="23"/>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100 %</w:t>
            </w:r>
          </w:p>
        </w:tc>
        <w:tc>
          <w:tcPr>
            <w:tcW w:w="34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CCFFCC"/>
            </w:tcBorders>
          </w:tcPr>
          <w:p>
            <w:pPr>
              <w:spacing w:after="0"/>
              <w:rPr>
                <w:sz w:val="2"/>
                <w:szCs w:val="2"/>
                <w:color w:val="auto"/>
              </w:rPr>
            </w:pPr>
          </w:p>
        </w:tc>
        <w:tc>
          <w:tcPr>
            <w:tcW w:w="9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28 %</w:t>
            </w:r>
          </w:p>
        </w:tc>
        <w:tc>
          <w:tcPr>
            <w:tcW w:w="34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340" w:type="dxa"/>
            <w:vAlign w:val="bottom"/>
          </w:tcPr>
          <w:p>
            <w:pPr>
              <w:spacing w:after="0"/>
              <w:rPr>
                <w:sz w:val="21"/>
                <w:szCs w:val="2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19 %</w:t>
            </w:r>
          </w:p>
        </w:tc>
        <w:tc>
          <w:tcPr>
            <w:tcW w:w="34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340" w:type="dxa"/>
            <w:vAlign w:val="bottom"/>
          </w:tcPr>
          <w:p>
            <w:pPr>
              <w:spacing w:after="0"/>
              <w:rPr>
                <w:sz w:val="21"/>
                <w:szCs w:val="21"/>
                <w:color w:val="auto"/>
              </w:rPr>
            </w:pPr>
          </w:p>
        </w:tc>
      </w:tr>
      <w:tr>
        <w:trPr>
          <w:trHeight w:val="243"/>
        </w:trPr>
        <w:tc>
          <w:tcPr>
            <w:tcW w:w="322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34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Amortization of purchased intangibles</w:t>
            </w: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2 %</w:t>
            </w:r>
          </w:p>
        </w:tc>
        <w:tc>
          <w:tcPr>
            <w:tcW w:w="340" w:type="dxa"/>
            <w:vAlign w:val="bottom"/>
          </w:tcPr>
          <w:p>
            <w:pPr>
              <w:spacing w:after="0"/>
              <w:rPr>
                <w:sz w:val="23"/>
                <w:szCs w:val="23"/>
                <w:color w:val="auto"/>
              </w:rPr>
            </w:pPr>
          </w:p>
        </w:tc>
      </w:tr>
      <w:tr>
        <w:trPr>
          <w:trHeight w:val="217"/>
        </w:trPr>
        <w:tc>
          <w:tcPr>
            <w:tcW w:w="322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340" w:type="dxa"/>
            <w:vAlign w:val="bottom"/>
          </w:tcPr>
          <w:p>
            <w:pPr>
              <w:spacing w:after="0"/>
              <w:rPr>
                <w:sz w:val="18"/>
                <w:szCs w:val="18"/>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CCFFCC"/>
            </w:tcBorders>
          </w:tcPr>
          <w:p>
            <w:pPr>
              <w:spacing w:after="0"/>
              <w:rPr>
                <w:sz w:val="2"/>
                <w:szCs w:val="2"/>
                <w:color w:val="auto"/>
              </w:rPr>
            </w:pPr>
          </w:p>
        </w:tc>
        <w:tc>
          <w:tcPr>
            <w:tcW w:w="9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26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0"/>
                <w:szCs w:val="20"/>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0"/>
                <w:szCs w:val="20"/>
                <w:color w:val="auto"/>
              </w:rPr>
            </w:pPr>
          </w:p>
        </w:tc>
        <w:tc>
          <w:tcPr>
            <w:tcW w:w="1220" w:type="dxa"/>
            <w:vAlign w:val="bottom"/>
            <w:gridSpan w:val="4"/>
          </w:tcPr>
          <w:p>
            <w:pPr>
              <w:ind w:left="440"/>
              <w:spacing w:after="0"/>
              <w:rPr>
                <w:sz w:val="20"/>
                <w:szCs w:val="20"/>
                <w:color w:val="auto"/>
              </w:rPr>
            </w:pPr>
            <w:r>
              <w:rPr>
                <w:rFonts w:ascii="Arial" w:cs="Arial" w:eastAsia="Arial" w:hAnsi="Arial"/>
                <w:sz w:val="16"/>
                <w:szCs w:val="16"/>
                <w:color w:val="auto"/>
              </w:rPr>
              <w:t>— %</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 %</w:t>
            </w: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CCFFCC"/>
            </w:tcBorders>
          </w:tcPr>
          <w:p>
            <w:pPr>
              <w:spacing w:after="0"/>
              <w:rPr>
                <w:sz w:val="2"/>
                <w:szCs w:val="2"/>
                <w:color w:val="auto"/>
              </w:rPr>
            </w:pPr>
          </w:p>
        </w:tc>
        <w:tc>
          <w:tcPr>
            <w:tcW w:w="9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0"/>
                <w:szCs w:val="20"/>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0"/>
                <w:szCs w:val="20"/>
                <w:color w:val="auto"/>
              </w:rPr>
            </w:pPr>
          </w:p>
        </w:tc>
        <w:tc>
          <w:tcPr>
            <w:tcW w:w="1220" w:type="dxa"/>
            <w:vAlign w:val="bottom"/>
            <w:gridSpan w:val="4"/>
          </w:tcPr>
          <w:p>
            <w:pPr>
              <w:ind w:left="44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3 %</w:t>
            </w:r>
          </w:p>
        </w:tc>
        <w:tc>
          <w:tcPr>
            <w:tcW w:w="34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CCFFCC"/>
            </w:tcBorders>
          </w:tcPr>
          <w:p>
            <w:pPr>
              <w:spacing w:after="0"/>
              <w:rPr>
                <w:sz w:val="2"/>
                <w:szCs w:val="2"/>
                <w:color w:val="auto"/>
              </w:rPr>
            </w:pPr>
          </w:p>
        </w:tc>
        <w:tc>
          <w:tcPr>
            <w:tcW w:w="9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21"/>
                <w:szCs w:val="2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7"/>
        </w:trPr>
        <w:tc>
          <w:tcPr>
            <w:tcW w:w="3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3220" w:type="dxa"/>
            <w:vAlign w:val="bottom"/>
            <w:shd w:val="clear" w:color="auto" w:fill="CCFFCC"/>
          </w:tcPr>
          <w:p>
            <w:pPr>
              <w:ind w:left="40"/>
              <w:spacing w:after="0"/>
              <w:rPr>
                <w:sz w:val="20"/>
                <w:szCs w:val="20"/>
                <w:color w:val="auto"/>
              </w:rPr>
            </w:pPr>
            <w:r>
              <w:rPr>
                <w:rFonts w:ascii="Arial" w:cs="Arial" w:eastAsia="Arial" w:hAnsi="Arial"/>
                <w:sz w:val="21"/>
                <w:szCs w:val="21"/>
                <w:color w:val="auto"/>
                <w:w w:val="95"/>
                <w:vertAlign w:val="superscript"/>
              </w:rPr>
              <w:t>(1)</w:t>
            </w:r>
            <w:r>
              <w:rPr>
                <w:rFonts w:ascii="Arial" w:cs="Arial" w:eastAsia="Arial" w:hAnsi="Arial"/>
                <w:sz w:val="16"/>
                <w:szCs w:val="16"/>
                <w:color w:val="auto"/>
                <w:w w:val="95"/>
              </w:rPr>
              <w:t xml:space="preserve"> Certain items may not total due to rounding.</w:t>
            </w:r>
          </w:p>
        </w:tc>
        <w:tc>
          <w:tcPr>
            <w:tcW w:w="260" w:type="dxa"/>
            <w:vAlign w:val="bottom"/>
            <w:shd w:val="clear" w:color="auto" w:fill="CCFFCC"/>
          </w:tcPr>
          <w:p>
            <w:pPr>
              <w:spacing w:after="0"/>
              <w:rPr>
                <w:sz w:val="23"/>
                <w:szCs w:val="23"/>
                <w:color w:val="auto"/>
              </w:rPr>
            </w:pPr>
          </w:p>
        </w:tc>
        <w:tc>
          <w:tcPr>
            <w:tcW w:w="9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44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340" w:type="dxa"/>
            <w:vAlign w:val="bottom"/>
          </w:tcPr>
          <w:p>
            <w:pPr>
              <w:spacing w:after="0"/>
              <w:rPr>
                <w:sz w:val="23"/>
                <w:szCs w:val="23"/>
                <w:color w:val="auto"/>
              </w:rPr>
            </w:pPr>
          </w:p>
        </w:tc>
      </w:tr>
      <w:tr>
        <w:trPr>
          <w:trHeight w:val="648"/>
        </w:trPr>
        <w:tc>
          <w:tcPr>
            <w:tcW w:w="32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
        </w:trPr>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420" w:type="dxa"/>
            <w:vAlign w:val="bottom"/>
            <w:gridSpan w:val="3"/>
          </w:tcPr>
          <w:p>
            <w:pPr>
              <w:ind w:left="30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20"/>
                <w:szCs w:val="20"/>
                <w:color w:val="auto"/>
              </w:rPr>
            </w:pPr>
          </w:p>
        </w:tc>
        <w:tc>
          <w:tcPr>
            <w:tcW w:w="660" w:type="dxa"/>
            <w:vAlign w:val="bottom"/>
          </w:tcPr>
          <w:p>
            <w:pPr>
              <w:jc w:val="right"/>
              <w:ind w:right="5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1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8"/>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40" w:type="dxa"/>
            <w:vAlign w:val="bottom"/>
            <w:tcBorders>
              <w:bottom w:val="single" w:sz="8" w:color="CCFFCC"/>
            </w:tcBorders>
          </w:tcPr>
          <w:p>
            <w:pPr>
              <w:spacing w:after="0"/>
              <w:rPr>
                <w:sz w:val="2"/>
                <w:szCs w:val="2"/>
                <w:color w:val="auto"/>
              </w:rPr>
            </w:pPr>
          </w:p>
        </w:tc>
        <w:tc>
          <w:tcPr>
            <w:tcW w:w="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2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 by Segment:</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230,285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201,426</w:t>
            </w:r>
          </w:p>
        </w:tc>
        <w:tc>
          <w:tcPr>
            <w:tcW w:w="10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201,426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206,521</w:t>
            </w:r>
          </w:p>
        </w:tc>
        <w:tc>
          <w:tcPr>
            <w:tcW w:w="1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70"/>
        </w:trPr>
        <w:tc>
          <w:tcPr>
            <w:tcW w:w="3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17,450</w:t>
            </w:r>
          </w:p>
        </w:tc>
        <w:tc>
          <w:tcPr>
            <w:tcW w:w="10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7 %</w:t>
            </w:r>
          </w:p>
        </w:tc>
      </w:tr>
      <w:tr>
        <w:trPr>
          <w:trHeight w:val="257"/>
        </w:trPr>
        <w:tc>
          <w:tcPr>
            <w:tcW w:w="32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218,876</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218,876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222,779</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revenue growth has traditionally been driven by a mix of revenue from new customers as well as expansion from existing customers. Business revenue increased by 14% to $230.3 million for the year ended December 31, 2018, from $201.4 million for the year ended December 31, 2017. This increase is primarily attributable to revenue from existing customers of approximately $11.8 million, net of cancellations, revenue from professional services provided to clients in the amount of $10.3 million, revenue from new customers of approximately $5.9 million, and revenue that is variable based on interactions and usage of approximately $0.8 million.</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decreased by 2% to $201.4 million for the year ended December 31, 2017, from $206.5 million for the year ended December 31, 2016. The decrease is primarily attributable to revenue from existing customers of approximately $14.9 million, net of cancellations, and revenue that is variable based on interactions and usage in the amount of $1.0 million. This is partially offset by increases in revenue from new customers of approximately $10.1 million and revenue from professional services of approximately $0.7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4" w:name="page55"/>
    <w:bookmarkEnd w:id="54"/>
    <w:p>
      <w:pPr>
        <w:jc w:val="both"/>
        <w:ind w:firstLine="281"/>
        <w:spacing w:after="0" w:line="257" w:lineRule="auto"/>
        <w:rPr>
          <w:sz w:val="20"/>
          <w:szCs w:val="20"/>
          <w:color w:val="auto"/>
        </w:rPr>
      </w:pPr>
      <w:r>
        <w:rPr>
          <w:rFonts w:ascii="Arial" w:cs="Arial" w:eastAsia="Arial" w:hAnsi="Arial"/>
          <w:sz w:val="18"/>
          <w:szCs w:val="18"/>
          <w:color w:val="auto"/>
        </w:rPr>
        <w:t>The overall increase in business revenue in 2018 is primarily attributable to the Company's renewed selling focus after completing the migration to LiveEngage in 2017. LivePerson has also developed a large ecosystem of conversational messaging endpoints that integrates to our platform and is driving adoption of these endpoints along with bots and AI. The business revenue decrease in 2017, primarily reflects the carry-over effect from the 2016 migration to the LiveEngage platform and the end of life of the legacy offering in the second quarter of 2017. Acquisitions during the year ended December 31, 2018 did not have a material impact on revenue.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Consumer revenue increased by 12% to $19.6 million for the year ended December 31, 2018, from $17.5 million for the year ended December 31, 2017. This increase is primarily attributable to an increase in chat minutes and price per minute. Consumer revenue increased by 7% to $17.5 million for the year ended December 31, 2017, from $16.3 million for the year ended December 31, 2016. This increase is primarily attributable to an increase in price per minute.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our customers, compensation costs relating to our network support staff, the cost of supporting our server and network infrastructure, and allocated occupancy costs and related overhead.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8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58,420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54,600</w:t>
            </w:r>
          </w:p>
        </w:tc>
        <w:tc>
          <w:tcPr>
            <w:tcW w:w="13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54,600</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60,352</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8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228</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205</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236</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2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increased by 7% to $58.4 million for the year ended December 31, 2018, from $54.6 million for the year ended December 31, 2017. This increase in expense is primarily attributable to an increase in business services and outsourced subcontracted labor of approximately $2.8 million, in salary and related employee expenses of approximately $2.6 million, and in depreciation expense of approximately $0.4 million. This was partially offset by a decrease in amortization of approximately $1.7 million and in primary and backup server facilities and allocated overhead cost related to costs of supporting our server and network infrastructure of approximately $0.3 million.</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decreased by 10% to $54.6 million for the year ended December 31, 2017, from $60.4 million for the year ended December 31, 2016. This decrease in expense is primarily attributable to a decrease in salary and related employee expenses of approximately $3.1 million, a decrease in primary and backup server facilities and allocated overhead cost related to costs of supporting our server and network infrastructure of approximately $1.5 million, and a decrease in depreciation of approximately $1.3 million.</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profit margin increased by 2% to 75% and 73% for the year ended December 31, 2018 and 2017, respectively. The increase in gross margin was tied to our ability to operationalize cost savings by moving brands off of our legacy platform and realigning our go-to-market strategy around LiveEngage.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ind w:right="212"/>
              <w:spacing w:after="0"/>
              <w:rPr>
                <w:sz w:val="20"/>
                <w:szCs w:val="20"/>
                <w:color w:val="auto"/>
              </w:rPr>
            </w:pPr>
            <w:r>
              <w:rPr>
                <w:rFonts w:ascii="Arial" w:cs="Arial" w:eastAsia="Arial" w:hAnsi="Arial"/>
                <w:sz w:val="16"/>
                <w:szCs w:val="16"/>
                <w:b w:val="1"/>
                <w:bCs w:val="1"/>
                <w:color w:val="auto"/>
                <w:w w:val="95"/>
              </w:rPr>
              <w:t>Year Ended December 31,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4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Cost of revenue - Consumer</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4,059</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3,605</w:t>
            </w:r>
          </w:p>
        </w:tc>
        <w:tc>
          <w:tcPr>
            <w:tcW w:w="174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13 %  $</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3,605</w:t>
            </w:r>
          </w:p>
        </w:tc>
        <w:tc>
          <w:tcPr>
            <w:tcW w:w="3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2,809</w:t>
            </w:r>
          </w:p>
        </w:tc>
        <w:tc>
          <w:tcPr>
            <w:tcW w:w="13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18</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16</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13% to $4.1 million for the year ended December 31, 2018, from $3.6 million for the year ended December 31, 2017. This is primarily related to an increase in depreciation expense of approximately $0.2 million, credit card processing fees of approximately $0.2 million, and salary, outsourced labor, and related employee expenses of approximately $0.1 million. This increase is partially offset by a decrease in expenses for backup server facilities of approximately $0.1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5" w:name="page56"/>
    <w:bookmarkEnd w:id="55"/>
    <w:p>
      <w:pPr>
        <w:jc w:val="both"/>
        <w:ind w:firstLine="648"/>
        <w:spacing w:after="0" w:line="264" w:lineRule="auto"/>
        <w:rPr>
          <w:sz w:val="20"/>
          <w:szCs w:val="20"/>
          <w:color w:val="auto"/>
        </w:rPr>
      </w:pPr>
      <w:r>
        <w:rPr>
          <w:rFonts w:ascii="Arial" w:cs="Arial" w:eastAsia="Arial" w:hAnsi="Arial"/>
          <w:sz w:val="18"/>
          <w:szCs w:val="18"/>
          <w:color w:val="auto"/>
        </w:rPr>
        <w:t>Cost of revenue increased by 28% to $3.6 million for the year ended December 31, 2017, from $2.8 million for the year ended December 31, 2016. This is primarily related to an increase in salary and related employee expenses of approximately $1.1 million. This increase is partially offset by a decrease in expenses for backup server facilities of approximately $0.5 million.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8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94,339</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82,420</w:t>
            </w:r>
          </w:p>
        </w:tc>
        <w:tc>
          <w:tcPr>
            <w:tcW w:w="13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82,420</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82,063</w:t>
            </w:r>
          </w:p>
        </w:tc>
        <w:tc>
          <w:tcPr>
            <w:tcW w:w="10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8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291</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310</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2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14% to $94.3 million for the year ended December 31, 2018 from $82.4 million for the year ended December 31, 2017. This is primarily related to an increase in salary, recruitment, and related employee expenses of approximately $5.5 million, in business services and outsourced labor of approximately $3.8 million, in marketing events, advertising, public relations, and trade show exhibit expenses of approximately $2.2 million, and in facilities and allocated overhead of $0.4 million.</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and marketing expenses remained relatively flat for the year ended December 31, 2017 as compared the year ended December 31, 2016. This primarily related to an increase in marketing events, advertising, public relations, and trade show exhibit expenses of approximately $3.1 million, an increase in business services and outsourced labor of approximately $1.7 million, and an increase in depreciation expense by approximately $0.3 million. This was offset by a decrease in salary and related employee expenses of approximately $4.7 million.</w:t>
      </w:r>
    </w:p>
    <w:p>
      <w:pPr>
        <w:spacing w:after="0" w:line="6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have realigned our go-to-market strategy around LiveEngage. Our outreach efforts are primarily focused on fostering a community of thought and industry leadership by targeting several hundred of the world's largest brands through conference calls and global customer events.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and trade show exhibit expenses and allocated occupancy costs and related overhead.</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Sales and Marketing - Consumer</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9,005</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8,485</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8,485</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7,466</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1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marketing expenses increased by 6% to $9.0 million for the year ended December 31, 2018, from $8.5 million for the year ended December 31, 2017. This increase is primarily attributable to an increase in advertising and online expenses of approximately $0.3 million and an increase in compensation and related costs for additional and existing sales and marketing personnel of approximately $0.2 million.</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marketing expenses increased by 14% to $8.5 million for the year ended December 31, 2017, from $7.5 million for the year ended December 31, 2016. This increase is primarily attributable to an increase in advertising and online expenses of approximately $0.9 million and an increase in compensation and related costs for additional and existing sales and marketing personnel of approximately $0.1 million.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human resources and administrative personnel, professional fees and other general corporate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80" w:type="dxa"/>
            <w:vAlign w:val="bottom"/>
          </w:tcPr>
          <w:p>
            <w:pPr>
              <w:jc w:val="right"/>
              <w:ind w:right="1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45,873</w:t>
            </w:r>
          </w:p>
        </w:tc>
        <w:tc>
          <w:tcPr>
            <w:tcW w:w="38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43,124</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43,124</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43,046</w:t>
            </w:r>
          </w:p>
        </w:tc>
        <w:tc>
          <w:tcPr>
            <w:tcW w:w="1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34"/>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112</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3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 and administrative expenses increased by 6% to $45.9 million for the year ended December 31, 2018 from $43.1 million for the year ended December 31, 2017. This is primarily related to an increase in salaries and employee related expenses of approximately $4.5 million and in business services and outsourced labor of approximately $0.8 million. This was partially offset by a decrease in allocated occupancy costs, related overhead, information technology, and other general corporate expenses of approximately $1.2 million, a net decrease in other costs of approximately $1.1 million, and a decrease of amortization and depreciation expense of approximately $0.2 million. Other costs consisted of a decrease in litigation of approximately $2.0 million and one-time executive compensation paid in 2017 of approximately $1.0 million. This was partially offset by consulting fees relating to cost efficiency analysis of $1.2 million and acquisition costs of approximately $0.6 million.</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remained relatively flat for the year ended December 31, 2017 as compared to the year ended December 31, 2016. This is primarily related to an increase in salaries and employee related expenses of approximately $0.3 million and a net increase in other costs of approximately $0.2 million. Other costs consisted of an increase in litigation of approximately $1.3 million, executive one-time compensation of approximately $1.0 million, and executive separation costs of approximately $0.5 million, offset partially by the write off of technology licenses in 2016 of approximately $2.6 million. The overall general and administrative expense variance was offset by a decrease in business services and outsourced labor of approximately $0.2 million and a decrease in allocated occupancy costs, related overhead, information technology and other general corporate expenses of approximately $0.2 million.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as well as allocated occupancy costs and related overhead and outsourced labor and expenses for testing new versions of our software.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3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55,707</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40,034</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40,034</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40,198</w:t>
            </w:r>
          </w:p>
        </w:tc>
        <w:tc>
          <w:tcPr>
            <w:tcW w:w="12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30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34"/>
              <w:spacing w:after="0"/>
              <w:rPr>
                <w:sz w:val="20"/>
                <w:szCs w:val="20"/>
                <w:color w:val="auto"/>
              </w:rPr>
            </w:pPr>
            <w:r>
              <w:rPr>
                <w:rFonts w:ascii="Arial" w:cs="Arial" w:eastAsia="Arial" w:hAnsi="Arial"/>
                <w:sz w:val="18"/>
                <w:szCs w:val="18"/>
                <w:color w:val="auto"/>
              </w:rPr>
              <w:t>369</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342</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300</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3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Product development costs increased by 39% to $55.7 million for the year ended December 31, 2018 from $40.0 million for the year ended December 31, 2017. This is primarily related to an increase in compensation, recruitment, and related costs of approximately $10.2 million, an increase in facility, allocated occupancy costs and overhead related to costs of supporting our server and network infrastructure of approximately $3.4 million, in depreciation expenses of approximately $1.4 million, and in business services and outsourced labor of approximately $0.7 million.</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remained relatively flat for the year ended December 31, 2017 as compared the year ended December 31, 2016. This is primarily related to a decrease in compensation and related costs of approximately $1.6 million and in business services and outsourced labor of approximately $0.3 million. This was offset by an increase in depreciation expense of approximately $1.3 million and an increase in allocated occupancy costs and related overhead of approximately $0.3 million.</w:t>
      </w:r>
    </w:p>
    <w:p>
      <w:pPr>
        <w:spacing w:after="0" w:line="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continue to invest in new product development efforts to expand the capability of LiveEngage. During July 2018, we opened an office in Seattle, for research and development in order to promote continued globalization of our technology operations, drive improvements in quality assurance of existing products and creation of new add-on features to LiveEngage. We recognize that every brand is unique and employs an individualized and complex approach to managing their users.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7" w:name="page58"/>
    <w:bookmarkEnd w:id="57"/>
    <w:p>
      <w:pPr>
        <w:ind w:right="320"/>
        <w:spacing w:after="0" w:line="264" w:lineRule="auto"/>
        <w:rPr>
          <w:sz w:val="20"/>
          <w:szCs w:val="20"/>
          <w:color w:val="auto"/>
        </w:rPr>
      </w:pPr>
      <w:r>
        <w:rPr>
          <w:rFonts w:ascii="Arial" w:cs="Arial" w:eastAsia="Arial" w:hAnsi="Arial"/>
          <w:sz w:val="18"/>
          <w:szCs w:val="18"/>
          <w:color w:val="auto"/>
        </w:rPr>
        <w:t>accordance with ASC 350-40, "Internal- Use Software", as new projects are initiated that provide functionality to the LiveEngage platform, the associated development and employee costs will be capitalized. Upon completion, the project costs will be depreciated over five years. During the year ended December 31, 2018 and 2017, $11.7 million and $8.3 million was capitalized, respectively.</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3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r>
      <w:tr>
        <w:trPr>
          <w:trHeight w:val="244"/>
        </w:trPr>
        <w:tc>
          <w:tcPr>
            <w:tcW w:w="3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4,468</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2,594</w:t>
            </w:r>
          </w:p>
        </w:tc>
        <w:tc>
          <w:tcPr>
            <w:tcW w:w="170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72%  $</w:t>
            </w:r>
          </w:p>
        </w:tc>
        <w:tc>
          <w:tcPr>
            <w:tcW w:w="1040" w:type="dxa"/>
            <w:vAlign w:val="bottom"/>
            <w:tcBorders>
              <w:bottom w:val="single" w:sz="8" w:color="CCFFCC"/>
            </w:tcBorders>
            <w:shd w:val="clear" w:color="auto" w:fill="CCFFCC"/>
          </w:tcPr>
          <w:p>
            <w:pPr>
              <w:jc w:val="right"/>
              <w:ind w:right="135"/>
              <w:spacing w:after="0"/>
              <w:rPr>
                <w:sz w:val="20"/>
                <w:szCs w:val="20"/>
                <w:color w:val="auto"/>
              </w:rPr>
            </w:pPr>
            <w:r>
              <w:rPr>
                <w:rFonts w:ascii="Arial" w:cs="Arial" w:eastAsia="Arial" w:hAnsi="Arial"/>
                <w:sz w:val="18"/>
                <w:szCs w:val="18"/>
                <w:color w:val="auto"/>
              </w:rPr>
              <w:t>2,594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2,369</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Restructuring costs increased by 72% to $4.5 million for the year ended December 31, 2018, from $2.6 million for the year ended December 31, 2017. This variance is attributable to an increase in severance and other associated costs of approximately $3.8 million. This was offset partially by wind down costs of approximately $1.9 million related to shutting down the legacy platform in 2017. In 2018, restructuring related primarily to the reorganization of the GPT group in order to promote continued globalization of our technology operations, drive improvements in quality assurance of existing products and creation of new add-on features to LiveEngage.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Restructuring costs increased by 9% to $2.6 million for the year ended December 31, 2017, from $2.4 million for the year ended December 31, 2016. This increase is attributable to an increase in wind down costs of approximately $0.8 million related to shutting down the legacy platform and a benefit of approximately $0.4 million taken in 2016 related to cash collected on previously written off bad debt of a large customer contract that ended. This was offset partially by a decrease in severance and other associated costs of $1.0 million.</w:t>
      </w:r>
    </w:p>
    <w:p>
      <w:pPr>
        <w:spacing w:after="0" w:line="79"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28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44"/>
        </w:trPr>
        <w:tc>
          <w:tcPr>
            <w:tcW w:w="3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1,670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1,840</w:t>
            </w:r>
          </w:p>
        </w:tc>
        <w:tc>
          <w:tcPr>
            <w:tcW w:w="174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(9)%  $</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1,840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3,885</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Amortization expense for purchased intangibles decreased by 9% to $1.7 million for the year ended December 31, 2018, from $1.8 million for the year ended December 31, 2017 and decreased by 53% to $1.8 million for the year ended December 31, 2017, from $3.9 million for the year ended December 31, 2016. The year over year variance is primarily attributable to the full amortization of non-compete agreements related to the past acquisitions of Synchronite and CAO! in 2017 and of capitalized customer relationships related to the past acquisition of Engage in 2016.</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amortization expense in the amount of $1.1 million was included in cost of revenue for the year ended December 31, 2018 and $2.8 million for the years ended December 31, and 2017 and 2016.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primarily consists of interest income on cash and cash equivalents, investment income and financial (expense) income which is a result of currency rate fluctuations associated with exchange rate movement of the U.S. dollar against the New Israeli Shekel, Pound Sterling, Japanese Yen, AUS dollar and the Euro.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3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17"/>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7"/>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90"/>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4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37"/>
        </w:trPr>
        <w:tc>
          <w:tcPr>
            <w:tcW w:w="34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Other (expense) income,net</w:t>
            </w: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(471)</w:t>
            </w:r>
          </w:p>
        </w:tc>
        <w:tc>
          <w:tcPr>
            <w:tcW w:w="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136</w:t>
            </w:r>
          </w:p>
        </w:tc>
        <w:tc>
          <w:tcPr>
            <w:tcW w:w="172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(446)%  $</w:t>
            </w:r>
          </w:p>
        </w:tc>
        <w:tc>
          <w:tcPr>
            <w:tcW w:w="100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34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(expense) income increased by $0.3 million to an expense of $0.5 million for the year ended December 31, 2018 from an income of $0.1 million for the year ended December 31, 2017. This was primarily attributable to a decrease in other financial income and finance hedging income.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648"/>
        <w:spacing w:after="0" w:line="286" w:lineRule="auto"/>
        <w:rPr>
          <w:sz w:val="20"/>
          <w:szCs w:val="20"/>
          <w:color w:val="auto"/>
        </w:rPr>
      </w:pPr>
      <w:r>
        <w:rPr>
          <w:rFonts w:ascii="Arial" w:cs="Arial" w:eastAsia="Arial" w:hAnsi="Arial"/>
          <w:sz w:val="17"/>
          <w:szCs w:val="17"/>
          <w:color w:val="auto"/>
        </w:rPr>
        <w:t>Other (expense) income decreased by $0.7 million to an income of $0.1 million for the year ended December 31, 2017 from an expense of $0.5 million for the year ended December 31, 2016. This was primarily attributable to an increase in realized and unrealized gain due to foreign exchange of approximately $0.5 million and a decrease in finance hedging and other financial income of approximately $0.2 million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jc w:val="center"/>
              <w:ind w:right="7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jc w:val="center"/>
              <w:ind w:right="74"/>
              <w:spacing w:after="0"/>
              <w:rPr>
                <w:sz w:val="20"/>
                <w:szCs w:val="20"/>
                <w:color w:val="auto"/>
              </w:rPr>
            </w:pPr>
            <w:r>
              <w:rPr>
                <w:rFonts w:ascii="Arial" w:cs="Arial" w:eastAsia="Arial" w:hAnsi="Arial"/>
                <w:sz w:val="16"/>
                <w:szCs w:val="16"/>
                <w:b w:val="1"/>
                <w:bCs w:val="1"/>
                <w:color w:val="auto"/>
                <w:w w:val="88"/>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88"/>
              </w:rPr>
              <w:t>($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9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37"/>
        </w:trPr>
        <w:tc>
          <w:tcPr>
            <w:tcW w:w="3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501</w:t>
            </w:r>
          </w:p>
        </w:tc>
        <w:tc>
          <w:tcPr>
            <w:tcW w:w="164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71%  $</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501</w:t>
            </w:r>
          </w:p>
        </w:tc>
        <w:tc>
          <w:tcPr>
            <w:tcW w:w="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5,934</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39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Income tax expense increased by 71% to $0.9 million for the year ended December 31, 2018, from $0.5 million for the year ended December 31, 2017. Our consolidated effective tax rate was impacted by the statutory income tax rates applicable to each of the jurisdictions in which we operate. As a result of the Tax Cuts and Jobs Act the federal corporate income tax rate decreased from a maximum of 35% to a flat rate of 21%. In addition, federal NOLs incurred after December 31, 2017 will have an indefinite carryforward period and will be available to offset 80% of federal taxable income in future years. During the first quarter of 2018 we recognized a benefit of $2.0 million related to a settlement with the Israeli Tax Authority. As a result of the settlement we recognized a benefit as the recorded liability was less than the final settlement. A benefit was also recorded for U.S. federal tax refunds that were recognized due to increased foreign tax credits and increased federal NOLs from foreign tax deductions. The increase in tax expense was primarily due to these factors.</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decreased by 92% to $0.5 million for the year ended December 31, 2017, from $5.9 million for the year ended December 31, 2016. This decrease was primarily attributable to a benefit of $2.4 million recorded in the fourth quarter of 2017 as a result of the Tax Cuts and Jobs Act, which was passed on December 22, 2017. Prior to the passage of the tax law, we had an indefinite lived intangible that was not available to be netted against existing deferred tax assets for purposes of determining the valuation allowance.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$25.0 million for the year ended December 31, 2018 compared to a net loss of $18.2 million for the year ended December 31, 2017. Revenue increased approximately $31.0 million, operating expenses increased by approximately $36.8 million, the provision for income taxes increased approximately $0.4 million, and other (expense) income net increased by $0.6 million, contributing to a net increase in net loss of approximately $6.8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$18.2 million for the year ended December 31, 2017 compared to a net loss of $25.9 million for the year ended December 31, 2016. Revenue decreased approximately $3.9 million, operating expenses decreased by approximately $5.5 million, the provision for (benefit from) income taxes decreased approximately $5.4 million, and other (expense)income, net decreased by approximately $0.7 million, contributing to a net decrease in net loss of approximately $7.7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for the periods indicated, the Company’s financial information for the eight most recent quarters ended December 31, 2018.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 This information should be read in conjunction with the consolidated financial statements, including the related notes,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252730</wp:posOffset>
            </wp:positionV>
            <wp:extent cx="4707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March 31,</w:t>
            </w:r>
          </w:p>
        </w:tc>
      </w:t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r>
      <w:tr>
        <w:trPr>
          <w:trHeight w:val="248"/>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11"/>
          </w:tcPr>
          <w:p>
            <w:pPr>
              <w:ind w:left="4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2"/>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b w:val="1"/>
                <w:bCs w:val="1"/>
                <w:color w:val="auto"/>
              </w:rPr>
              <w:t>Consolidated Statements of Operations Data:</w:t>
            </w: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65,724</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64,213</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61,660</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58,241</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57,390</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56,493</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54,074</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50,919</w:t>
            </w:r>
          </w:p>
        </w:tc>
      </w:tr>
      <w:tr>
        <w:trPr>
          <w:trHeight w:val="284"/>
        </w:trPr>
        <w:tc>
          <w:tcPr>
            <w:tcW w:w="40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Cost of revenue</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16,800</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15,689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16,036</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13,954</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14,749</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14,541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15,134</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13,781</w:t>
            </w:r>
          </w:p>
        </w:tc>
      </w:tr>
      <w:tr>
        <w:trPr>
          <w:trHeight w:val="262"/>
        </w:trPr>
        <w:tc>
          <w:tcPr>
            <w:tcW w:w="40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27,073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26,748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25,392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24,131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24,210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21,603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23,392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21,700</w:t>
            </w: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12,279</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11,972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11,499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10,123</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12,596</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10,398</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10,437</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9,692</w:t>
            </w:r>
          </w:p>
        </w:tc>
      </w:tr>
      <w:tr>
        <w:trPr>
          <w:trHeight w:val="262"/>
        </w:trPr>
        <w:tc>
          <w:tcPr>
            <w:tcW w:w="4000" w:type="dxa"/>
            <w:vAlign w:val="bottom"/>
          </w:tcPr>
          <w:p>
            <w:pPr>
              <w:ind w:left="180"/>
              <w:spacing w:after="0"/>
              <w:rPr>
                <w:sz w:val="20"/>
                <w:szCs w:val="20"/>
                <w:color w:val="auto"/>
              </w:rPr>
            </w:pPr>
            <w:r>
              <w:rPr>
                <w:rFonts w:ascii="Arial" w:cs="Arial" w:eastAsia="Arial" w:hAnsi="Arial"/>
                <w:sz w:val="13"/>
                <w:szCs w:val="13"/>
                <w:color w:val="auto"/>
              </w:rPr>
              <w:t>Product development</w:t>
            </w: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14,752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13,484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14,219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13,252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11,023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9,726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9,326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9,958</w:t>
            </w: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Restructuring costs</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1,662</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722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1,906</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2,076</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64"/>
        </w:trPr>
        <w:tc>
          <w:tcPr>
            <w:tcW w:w="4000" w:type="dxa"/>
            <w:vAlign w:val="bottom"/>
            <w:tcBorders>
              <w:bottom w:val="single" w:sz="8" w:color="CCFFCC"/>
            </w:tcBorders>
          </w:tcPr>
          <w:p>
            <w:pPr>
              <w:ind w:left="180"/>
              <w:spacing w:after="0"/>
              <w:rPr>
                <w:sz w:val="20"/>
                <w:szCs w:val="20"/>
                <w:color w:val="auto"/>
              </w:rPr>
            </w:pPr>
            <w:r>
              <w:rPr>
                <w:rFonts w:ascii="Arial" w:cs="Arial" w:eastAsia="Arial" w:hAnsi="Arial"/>
                <w:sz w:val="13"/>
                <w:szCs w:val="13"/>
                <w:color w:val="auto"/>
              </w:rPr>
              <w:t>Amortization of purchased intangibles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398</w:t>
            </w:r>
          </w:p>
        </w:tc>
        <w:tc>
          <w:tcPr>
            <w:tcW w:w="14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424</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424</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424</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470</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470</w:t>
            </w:r>
          </w:p>
        </w:tc>
        <w:tc>
          <w:tcPr>
            <w:tcW w:w="10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472</w:t>
            </w:r>
          </w:p>
        </w:tc>
      </w:tr>
      <w:tr>
        <w:trPr>
          <w:trHeight w:val="250"/>
        </w:trPr>
        <w:tc>
          <w:tcPr>
            <w:tcW w:w="4000" w:type="dxa"/>
            <w:vAlign w:val="bottom"/>
            <w:shd w:val="clear" w:color="auto" w:fill="CCFFCC"/>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72,964</w:t>
            </w:r>
          </w:p>
        </w:tc>
        <w:tc>
          <w:tcPr>
            <w:tcW w:w="14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69,039</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69,476</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62,062</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63,285</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56,738</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60,835</w:t>
            </w:r>
          </w:p>
        </w:tc>
        <w:tc>
          <w:tcPr>
            <w:tcW w:w="1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55,843</w:t>
            </w:r>
          </w:p>
        </w:tc>
      </w:tr>
      <w:tr>
        <w:trPr>
          <w:trHeight w:val="249"/>
        </w:trPr>
        <w:tc>
          <w:tcPr>
            <w:tcW w:w="4000" w:type="dxa"/>
            <w:vAlign w:val="bottom"/>
          </w:tcPr>
          <w:p>
            <w:pPr>
              <w:ind w:left="40"/>
              <w:spacing w:after="0"/>
              <w:rPr>
                <w:sz w:val="20"/>
                <w:szCs w:val="20"/>
                <w:color w:val="auto"/>
              </w:rPr>
            </w:pPr>
            <w:r>
              <w:rPr>
                <w:rFonts w:ascii="Arial" w:cs="Arial" w:eastAsia="Arial" w:hAnsi="Arial"/>
                <w:sz w:val="13"/>
                <w:szCs w:val="13"/>
                <w:color w:val="auto"/>
              </w:rPr>
              <w:t>Loss from operations</w:t>
            </w:r>
          </w:p>
        </w:tc>
        <w:tc>
          <w:tcPr>
            <w:tcW w:w="12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(7,240)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(4,826)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(7,816)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(4,924)</w:t>
            </w:r>
          </w:p>
        </w:tc>
      </w:tr>
      <w:tr>
        <w:trPr>
          <w:trHeight w:val="272"/>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color w:val="auto"/>
              </w:rPr>
              <w:t>Other (expense) income</w:t>
            </w: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(418)</w:t>
            </w:r>
          </w:p>
        </w:tc>
        <w:tc>
          <w:tcPr>
            <w:tcW w:w="14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320</w:t>
            </w: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Loss before (benefit from) provision for income taxes</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(7,658)</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(5,039)</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(7,785)</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(6,171)</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(6,860)</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w:t>
            </w:r>
          </w:p>
        </w:tc>
      </w:tr>
      <w:tr>
        <w:trPr>
          <w:trHeight w:val="250"/>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color w:val="auto"/>
              </w:rPr>
              <w:t>(Benefit from) provision for income taxes</w:t>
            </w: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(1,193)</w:t>
            </w:r>
          </w:p>
        </w:tc>
        <w:tc>
          <w:tcPr>
            <w:tcW w:w="14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536</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(489)</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(2,499)</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1,256</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673</w:t>
            </w:r>
          </w:p>
        </w:tc>
        <w:tc>
          <w:tcPr>
            <w:tcW w:w="1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1,072</w:t>
            </w:r>
          </w:p>
        </w:tc>
      </w:tr>
      <w:tr>
        <w:trPr>
          <w:trHeight w:val="282"/>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(6,465)</w:t>
            </w:r>
          </w:p>
        </w:tc>
        <w:tc>
          <w:tcPr>
            <w:tcW w:w="14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(7,043)</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(8,321)</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(3,203)</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(3,672)</w:t>
            </w:r>
          </w:p>
        </w:tc>
        <w:tc>
          <w:tcPr>
            <w:tcW w:w="1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(7,533)</w:t>
            </w:r>
          </w:p>
        </w:tc>
        <w:tc>
          <w:tcPr>
            <w:tcW w:w="10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(5,676)</w:t>
            </w:r>
          </w:p>
        </w:tc>
      </w:tr>
      <w:tr>
        <w:trPr>
          <w:trHeight w:val="265"/>
        </w:trPr>
        <w:tc>
          <w:tcPr>
            <w:tcW w:w="40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Net loss per share of 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(0.11)</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(0.12)</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(0.14)</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(0.06)</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(0.13)</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(0.10)</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(0.11)</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(0.13)</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(0.10)</w:t>
            </w:r>
          </w:p>
        </w:tc>
      </w:tr>
      <w:tr>
        <w:trPr>
          <w:trHeight w:val="265"/>
        </w:trPr>
        <w:tc>
          <w:tcPr>
            <w:tcW w:w="40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Weighted-average shares used to compute net loss per share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6"/>
              </w:rPr>
              <w:t>60,794,252</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60,014,246</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58,648,195</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57,309,707</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2"/>
              </w:rPr>
              <w:t>56,965,111</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56,524,990</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55,954,158</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55,975,093</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6"/>
              </w:rPr>
              <w:t>60,794,252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60,014,246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58,648,195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57,309,707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56,965,111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56,524,990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55,954,158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55,975,093</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20"/>
                <w:szCs w:val="20"/>
                <w:color w:val="auto"/>
              </w:rPr>
            </w:pPr>
          </w:p>
        </w:tc>
        <w:tc>
          <w:tcPr>
            <w:tcW w:w="130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2017</w:t>
            </w:r>
          </w:p>
        </w:tc>
        <w:tc>
          <w:tcPr>
            <w:tcW w:w="40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8"/>
                <w:szCs w:val="18"/>
                <w:color w:val="auto"/>
              </w:rPr>
              <w:t>4,779</w:t>
            </w:r>
          </w:p>
        </w:tc>
        <w:tc>
          <w:tcPr>
            <w:tcW w:w="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8"/>
                <w:szCs w:val="18"/>
                <w:color w:val="auto"/>
              </w:rPr>
              <w:t>10,290</w:t>
            </w:r>
          </w:p>
        </w:tc>
        <w:tc>
          <w:tcPr>
            <w:tcW w:w="40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43"/>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(27,773)</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(15,320)</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33,926</w:t>
            </w:r>
          </w:p>
        </w:tc>
        <w:tc>
          <w:tcPr>
            <w:tcW w:w="260" w:type="dxa"/>
            <w:vAlign w:val="bottom"/>
            <w:shd w:val="clear" w:color="auto" w:fill="CCFFCC"/>
          </w:tcPr>
          <w:p>
            <w:pPr>
              <w:spacing w:after="0"/>
              <w:rPr>
                <w:sz w:val="21"/>
                <w:szCs w:val="21"/>
                <w:color w:val="auto"/>
              </w:rPr>
            </w:pPr>
          </w:p>
        </w:tc>
        <w:tc>
          <w:tcPr>
            <w:tcW w:w="130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7,209</w:t>
            </w:r>
          </w:p>
        </w:tc>
        <w:tc>
          <w:tcPr>
            <w:tcW w:w="4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7"/>
        </w:trPr>
        <w:tc>
          <w:tcPr>
            <w:tcW w:w="20" w:type="dxa"/>
            <w:vAlign w:val="bottom"/>
            <w:shd w:val="clear" w:color="auto" w:fill="CCFFCC"/>
          </w:tcPr>
          <w:p>
            <w:pPr>
              <w:spacing w:after="0"/>
              <w:rPr>
                <w:sz w:val="2"/>
                <w:szCs w:val="2"/>
                <w:color w:val="auto"/>
              </w:rPr>
            </w:pPr>
          </w:p>
        </w:tc>
        <w:tc>
          <w:tcPr>
            <w:tcW w:w="3500" w:type="dxa"/>
            <w:vAlign w:val="bottom"/>
            <w:shd w:val="clear" w:color="auto" w:fill="CCFFCC"/>
          </w:tcPr>
          <w:p>
            <w:pPr>
              <w:spacing w:after="0"/>
              <w:rPr>
                <w:sz w:val="2"/>
                <w:szCs w:val="2"/>
                <w:color w:val="auto"/>
              </w:rPr>
            </w:pPr>
          </w:p>
        </w:tc>
        <w:tc>
          <w:tcPr>
            <w:tcW w:w="3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300" w:type="dxa"/>
            <w:vAlign w:val="bottom"/>
            <w:shd w:val="clear" w:color="auto" w:fill="CCFFCC"/>
          </w:tcPr>
          <w:p>
            <w:pPr>
              <w:spacing w:after="0"/>
              <w:rPr>
                <w:sz w:val="2"/>
                <w:szCs w:val="2"/>
                <w:color w:val="auto"/>
              </w:rPr>
            </w:pPr>
          </w:p>
        </w:tc>
        <w:tc>
          <w:tcPr>
            <w:tcW w:w="40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2018, we had approximately $66.4 million in cash and cash equivalents, an increase of approximately $10.3 million from December 31, 2017. This increase is primarily attributable to cash provided by operating activities of approximately $4.8 million and proceeds from issuance of common stock of approximately $35.3 million. This was partially offset by cash used in investing activities of approximately $27.8 million, the repurchase of common stock of approximately $1.3 million, and the effect of foreign exchange rate changes on cash and cash equivalents of approximately $0.6 million.</w:t>
      </w:r>
    </w:p>
    <w:p>
      <w:pPr>
        <w:sectPr>
          <w:pgSz w:w="11900" w:h="16838" w:orient="portrait"/>
          <w:cols w:equalWidth="0" w:num="1">
            <w:col w:w="11420"/>
          </w:cols>
          <w:pgMar w:left="240" w:top="36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364" w:right="239" w:bottom="1440" w:gutter="0" w:footer="0" w:header="0"/>
          <w:type w:val="continuous"/>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Net cash provided by operating activities was $4.8 million in the year ended December 31, 2018. Our net loss was $25.0 million, which includes the effect of non-cash expenses related to stock-based compensation, amortization of purchased intangibles, depreciation, and provision for doubtful accounts as well as increases in deferred revenue due to more of our customers moving to cash payments in advance on annual billings and in accounts payable and accrued expenses. This was partially offset by increases in prepaid expenses and other current assets and accounts receivable and decrease in deferred tax liability. Net cash provided by operating activities was $10.3 million in the year ended December 31, 2017. Our net loss was $18.2 million, but that net loss was impacted by non-cash expenses related to stock-based compensation, amortization of purchased intangibles, depreciation, and provision for doubtful accounts. Furthermore, there were increases in deferred revenue due to more of our customers moving to cash payments in advance on annual billings and accrued expenses. This was partially offset by increases in accounts receivable and prepaid expenses and other current assets and decreases in accounts payable and deferred tax liability.</w:t>
      </w:r>
    </w:p>
    <w:p>
      <w:pPr>
        <w:spacing w:after="0" w:line="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was $27.8 million in the year ended December 31, 2018 due primarily to the purchase of fixed assets for our co-location facilities, acquisitions and purchases of intangibles. See Note 7 of the Notes to Consolidated Financial Statements for further details on acquisitions. This was partially offset by a decrease in cash held as collateral. Net cash used in investing activities was $15.3 million in the year ended December 31, 2017 due primarily to the purchase of fixed assets for our co-location facilities and purchases of intangibles. This was partially offset by a decrease in cash held as collateral.</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$33.9 million in the year ended December 31, 2018 and $7.2 million in the year ended December 31, 2017. This consisted primarily of the proceeds from the issuance of common stock in connection with the exercise of stock options offset partially by the repurchase of our common stock.</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years ended December 31, 2018, 2017 and 2016, was approximately $10.9 million, $9.9 million and $10.0 million, respectively.</w:t>
      </w:r>
    </w:p>
    <w:p>
      <w:pPr>
        <w:spacing w:after="0" w:line="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2018, our principal commitments were approximately $23.7 million under various operating leases, of which approximately $8.5 million is due in 2019. We currently expect that our principal commitments for the year ending December 31, 2019 will not exceed approximately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December 31, 2018 are summarized as follows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More Than</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1 Year</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 – 3 Years</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6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23,697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23,697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capital expenditures in 2018 were approximately $21.9 million, primarily related to the continued expansion of our co-location facilities. Our total capital expenditures are not currently expected to exceed $27.0 million in 2019. We anticipate that our current cash and cash equivalents and cash from operations will be sufficient to fund these capital expenditures.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2018.</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of the Notes to Consolidated Financial Statements under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 of $249.8 million recognized during the year ended December 31, 2018, under Topic 606, was not materially different from what would have been recognized under Topic 605.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0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Pay for Performance ("PFP") arrangements in accordance with ASC-606, "Principal Agent Considerations", we act as a principal in a transaction if we control the specified goods or services before they are transferred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there was approximately $14.4 million of total unrecognized compensation cost related to nonvested stock options. That cost is expected to be recognized over a weighted average period of approximately 2.7 years. As of December 31, 2018, there was approximately $37.9 million of total unrecognized compensation cost related to nonvested restricted stock units. That cost is expected to be recognized over a weighted average period of approximately 2.8 years.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01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2018, 2017 or 2016. One customer exceeded 10% or our total accounts receivable in 2018. No single customer accounted for or exceeded 10% of our total accounts receivable in 2017. During 2018, we increased our allowance for doubtful accounts from $1.3 million to approximately $2.3 million. A large proportion of receivables are due from larger corporate customers that typically have longer payment cycles.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73"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We perform testing for impairment of goodwill in our third quarter, or as events occur or circumstances change that would more likely than not reduce the fair value of our reporting units below their carrying amounts. A qualitative assessment is first made to determine whether it is necessary to perform the two-step quantitative goodwill impairment test. This initial qualitative assessment includes, among other things, consideration of: (i) our market capitalization,</w:t>
      </w:r>
    </w:p>
    <w:p>
      <w:pPr>
        <w:jc w:val="both"/>
        <w:ind w:firstLine="8"/>
        <w:spacing w:after="0" w:line="269" w:lineRule="auto"/>
        <w:tabs>
          <w:tab w:leader="none" w:pos="278" w:val="left"/>
        </w:tabs>
        <w:numPr>
          <w:ilvl w:val="0"/>
          <w:numId w:val="46"/>
        </w:numPr>
        <w:rPr>
          <w:rFonts w:ascii="Arial" w:cs="Arial" w:eastAsia="Arial" w:hAnsi="Arial"/>
          <w:sz w:val="17"/>
          <w:szCs w:val="17"/>
          <w:color w:val="auto"/>
        </w:rPr>
      </w:pPr>
      <w:r>
        <w:rPr>
          <w:rFonts w:ascii="Arial" w:cs="Arial" w:eastAsia="Arial" w:hAnsi="Arial"/>
          <w:sz w:val="17"/>
          <w:szCs w:val="17"/>
          <w:color w:val="auto"/>
        </w:rPr>
        <w:t>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analysis will be performed, involving a comparison between the estimated fair values of our reporting unit with our respective carrying amount including goodwill. If the carrying value exceeds estimated fair value, there is an indication of potential impairment, and a third analysis is performed to measure the amount of impairment. The third analysis involves calculating an implied fair value of goodwill by measuring the excess of the estimated fair value of the reporting unit over the aggregate estimated fair values of the individual assets less liabilities. If the carrying value of goodwill exceeds the implied fair value of goodwill, an impairment charge is recorded for the excess.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evaluate for goodwill impairment annually at the end of the third quarter. At the end of the third quarter of 2018 and 2017 we determined that it was not more likely than not that the fair value of the reporting units was less than our carrying amount. Accordingly, we did not perform the two-step goodwill impairment test.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During the year ended December 31, 2016, we determined certain long-lived assets related to the legacy platform and purchased intangibles of technology licenses to be impaired. The write-off of net book value of these assets, of approximately $0.2 million and $2.6 million, was included in restructuring costs and general and administrative expenses, respectively.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During the year ended December 31, 2018, there was a reduction in the valuation allowance of $6.9 million.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01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under Item 8 of this Annual Report on Form 10-K for additional information on our legal proceedings and litigation.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the Notes to Consolidated Financial Statements for a full description of 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the Notes to Consolidated Financial Statements for a full description of recently adopted accounting pronouncements.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Rate Fluctuations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scope of our Israeli operations, there is currency rate fluctuation risk associated with the exchange rate movement of the U.S. dollar against the New Israeli Shekel (“NIS”). For the year ended December 31, 2018, the U.S dollar appreciated as compared to the NIS by an average of 1% as compared to December 31, 2017. For the year ended December 31, 2018, expenses generated by our Israeli operations totaled approximately $65.4 million. During 2018, we hedged our foreign currency risk exposure relating to the NIS. Based on our exposure to NIS exchange rate fluctuation against a dollar as of December 31, 2018, a 1% increase or decrease in the value of the NIS would increase or decrease our income before income taxes by approximately $0.7 million.</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Risk</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2018, we increased our allowance for doubtful accounts from $1.3 million to approximately $2.3 million. During 2017, we decreased our allowance for doubtful accounts by approximately $0.4 million to approximately $1.3 million.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01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7"/>
        </w:trPr>
        <w:tc>
          <w:tcPr>
            <w:tcW w:w="10060" w:type="dxa"/>
            <w:vAlign w:val="bottom"/>
            <w:tcBorders>
              <w:bottom w:val="single" w:sz="8" w:color="CCFFC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06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Report of BDO USA, LLP, Independent Registered Public Accounting Firm</w:t>
            </w:r>
          </w:p>
        </w:tc>
        <w:tc>
          <w:tcPr>
            <w:tcW w:w="1360" w:type="dxa"/>
            <w:vAlign w:val="bottom"/>
            <w:gridSpan w:val="3"/>
            <w:shd w:val="clear" w:color="auto" w:fill="CCFFCC"/>
          </w:tcPr>
          <w:p>
            <w:pPr>
              <w:jc w:val="right"/>
              <w:ind w:right="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2018 and 2017</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Operations for each of the years ended December 31, 2018, 2017 and 2016</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for each of the years ended December 31, 2018, 2017 and 2016</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for each of the years ended December 31, 2018, 2017 and 2016</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ended December 31, 2018, 2017 and 2016</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459"/>
        </w:trPr>
        <w:tc>
          <w:tcPr>
            <w:tcW w:w="10060" w:type="dxa"/>
            <w:vAlign w:val="bottom"/>
            <w:tcBorders>
              <w:top w:val="single" w:sz="8" w:color="CCFFCC"/>
            </w:tcBorders>
          </w:tcPr>
          <w:p>
            <w:pPr>
              <w:ind w:left="5620"/>
              <w:spacing w:after="0"/>
              <w:rPr>
                <w:sz w:val="20"/>
                <w:szCs w:val="20"/>
                <w:color w:val="auto"/>
              </w:rPr>
            </w:pPr>
            <w:r>
              <w:rPr>
                <w:rFonts w:ascii="Arial" w:cs="Arial" w:eastAsia="Arial" w:hAnsi="Arial"/>
                <w:sz w:val="18"/>
                <w:szCs w:val="18"/>
                <w:color w:val="auto"/>
              </w:rPr>
              <w:t>63</w:t>
            </w:r>
          </w:p>
        </w:tc>
        <w:tc>
          <w:tcPr>
            <w:tcW w:w="116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6" w:name="page67"/>
    <w:bookmarkEnd w:id="6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LivePerson, Inc. and subsidiaries (the “Company”) as of December 31, 2018 and 2017, the related consolidated statements of operations,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accounting principles generally accepted in the United States of America.</w:t>
      </w:r>
    </w:p>
    <w:p>
      <w:pPr>
        <w:spacing w:after="0" w:line="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25, 2019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4" w:right="239" w:bottom="1440" w:gutter="0" w:footer="0" w:header="0"/>
        </w:sectPr>
      </w:pPr>
    </w:p>
    <w:bookmarkStart w:id="67" w:name="page68"/>
    <w:bookmarkEnd w:id="6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r>
      <w:tr>
        <w:trPr>
          <w:trHeight w:val="33"/>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66,449</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56,115</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Cash held as collateral</w:t>
            </w:r>
          </w:p>
        </w:tc>
        <w:tc>
          <w:tcPr>
            <w:tcW w:w="4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1,451</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0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7"/>
              </w:rPr>
              <w:t>Accounts receivable, net of allowance for doubtful accounts of $2,276 and $1,318, in 2018 and 2017,</w:t>
            </w:r>
          </w:p>
        </w:tc>
        <w:tc>
          <w:tcPr>
            <w:tcW w:w="4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37"/>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respectively</w:t>
            </w:r>
          </w:p>
        </w:tc>
        <w:tc>
          <w:tcPr>
            <w:tcW w:w="46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46,023</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37,926</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7,352</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135,085</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102,844</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43,735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34,705</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13,832</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12,366</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95,031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80,531</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assets, net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290,103</w:t>
            </w:r>
          </w:p>
        </w:tc>
        <w:tc>
          <w:tcPr>
            <w:tcW w:w="10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232,799</w:t>
            </w: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8,174</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5,481</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50,662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48,011</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55,015</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35,563</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113,851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89,055</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2,766</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liability</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915</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119,374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92,736</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08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4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9)</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362,590</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305,676</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(187,491)</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(163,135)</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(2,535)</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170,729</w:t>
            </w:r>
          </w:p>
        </w:tc>
        <w:tc>
          <w:tcPr>
            <w:tcW w:w="10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140,063</w:t>
            </w:r>
          </w:p>
        </w:tc>
      </w:tr>
      <w:tr>
        <w:trPr>
          <w:trHeight w:val="257"/>
        </w:trPr>
        <w:tc>
          <w:tcPr>
            <w:tcW w:w="80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290,103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232,799</w:t>
            </w: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LIVEPERSON,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6"/>
        </w:trPr>
        <w:tc>
          <w:tcPr>
            <w:tcW w:w="3080" w:type="dxa"/>
            <w:vAlign w:val="bottom"/>
          </w:tcPr>
          <w:p>
            <w:pPr>
              <w:spacing w:after="0"/>
              <w:rPr>
                <w:sz w:val="24"/>
                <w:szCs w:val="24"/>
                <w:color w:val="auto"/>
              </w:rPr>
            </w:pPr>
          </w:p>
        </w:tc>
        <w:tc>
          <w:tcPr>
            <w:tcW w:w="51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CONSOLIDATED STATEMENTS OF OPERATIONS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62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2"/>
        </w:trPr>
        <w:tc>
          <w:tcPr>
            <w:tcW w:w="3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Pr>
          <w:p>
            <w:pPr>
              <w:spacing w:after="0"/>
              <w:rPr>
                <w:sz w:val="24"/>
                <w:szCs w:val="24"/>
                <w:color w:val="auto"/>
              </w:rPr>
            </w:pPr>
          </w:p>
        </w:tc>
      </w:tr>
      <w:tr>
        <w:trPr>
          <w:trHeight w:val="33"/>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r>
      <w:tr>
        <w:trPr>
          <w:trHeight w:val="33"/>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4020" w:type="dxa"/>
            <w:vAlign w:val="bottom"/>
            <w:tcBorders>
              <w:bottom w:val="single" w:sz="8" w:color="CCFFCC"/>
            </w:tcBorders>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249,838</w:t>
            </w:r>
          </w:p>
        </w:tc>
        <w:tc>
          <w:tcPr>
            <w:tcW w:w="500" w:type="dxa"/>
            <w:vAlign w:val="bottom"/>
            <w:tcBorders>
              <w:bottom w:val="single" w:sz="8" w:color="CCFFCC"/>
            </w:tcBorders>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218,876</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222,779</w:t>
            </w:r>
          </w:p>
        </w:tc>
      </w:tr>
      <w:tr>
        <w:trPr>
          <w:trHeight w:val="264"/>
        </w:trPr>
        <w:tc>
          <w:tcPr>
            <w:tcW w:w="3080" w:type="dxa"/>
            <w:vAlign w:val="bottom"/>
          </w:tcPr>
          <w:p>
            <w:pPr>
              <w:ind w:left="40"/>
              <w:spacing w:after="0" w:line="264" w:lineRule="exact"/>
              <w:rPr>
                <w:sz w:val="20"/>
                <w:szCs w:val="20"/>
                <w:color w:val="auto"/>
              </w:rPr>
            </w:pPr>
            <w:r>
              <w:rPr>
                <w:rFonts w:ascii="Arial" w:cs="Arial" w:eastAsia="Arial" w:hAnsi="Arial"/>
                <w:sz w:val="18"/>
                <w:szCs w:val="18"/>
                <w:color w:val="auto"/>
              </w:rPr>
              <w:t>Costs and expenses:</w:t>
            </w:r>
            <w:r>
              <w:rPr>
                <w:rFonts w:ascii="Arial" w:cs="Arial" w:eastAsia="Arial" w:hAnsi="Arial"/>
                <w:sz w:val="25"/>
                <w:szCs w:val="25"/>
                <w:color w:val="auto"/>
                <w:vertAlign w:val="superscript"/>
              </w:rPr>
              <w:t>(1) (2) (3)</w:t>
            </w:r>
          </w:p>
        </w:tc>
        <w:tc>
          <w:tcPr>
            <w:tcW w:w="36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3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Cost of revenue</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62,479</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58,205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63,161</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89,529</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General and administrative</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45,873</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43,124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43,046</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40,198</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Restructuring costs</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4,468</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2,369</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w w:val="95"/>
              </w:rPr>
              <w:t>Amortization of purchased intangibles</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3,885</w:t>
            </w:r>
          </w:p>
        </w:tc>
      </w:tr>
      <w:tr>
        <w:trPr>
          <w:trHeight w:val="27"/>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costs and expenses</w:t>
            </w:r>
          </w:p>
        </w:tc>
        <w:tc>
          <w:tcPr>
            <w:tcW w:w="36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273,541</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236,702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242,188</w:t>
            </w:r>
          </w:p>
        </w:tc>
      </w:tr>
      <w:tr>
        <w:trPr>
          <w:trHeight w:val="237"/>
        </w:trPr>
        <w:tc>
          <w:tcPr>
            <w:tcW w:w="30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(19,409)</w:t>
            </w:r>
          </w:p>
        </w:tc>
      </w:tr>
      <w:tr>
        <w:trPr>
          <w:trHeight w:val="27"/>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(expense) income, net</w:t>
            </w:r>
          </w:p>
        </w:tc>
        <w:tc>
          <w:tcPr>
            <w:tcW w:w="36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(471)</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(530)</w:t>
            </w:r>
          </w:p>
        </w:tc>
      </w:tr>
      <w:tr>
        <w:trPr>
          <w:trHeight w:val="237"/>
        </w:trPr>
        <w:tc>
          <w:tcPr>
            <w:tcW w:w="3080" w:type="dxa"/>
            <w:vAlign w:val="bottom"/>
          </w:tcPr>
          <w:p>
            <w:pPr>
              <w:ind w:left="40"/>
              <w:spacing w:after="0"/>
              <w:rPr>
                <w:sz w:val="20"/>
                <w:szCs w:val="20"/>
                <w:color w:val="auto"/>
              </w:rPr>
            </w:pPr>
            <w:r>
              <w:rPr>
                <w:rFonts w:ascii="Arial" w:cs="Arial" w:eastAsia="Arial" w:hAnsi="Arial"/>
                <w:sz w:val="18"/>
                <w:szCs w:val="18"/>
                <w:color w:val="auto"/>
                <w:w w:val="97"/>
              </w:rPr>
              <w:t>Loss before provision for income taxes</w:t>
            </w:r>
          </w:p>
        </w:tc>
        <w:tc>
          <w:tcPr>
            <w:tcW w:w="3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(19,939)</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366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858</w:t>
            </w: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5,934</w:t>
            </w:r>
          </w:p>
        </w:tc>
      </w:tr>
      <w:tr>
        <w:trPr>
          <w:trHeight w:val="297"/>
        </w:trPr>
        <w:tc>
          <w:tcPr>
            <w:tcW w:w="308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Net loss</w:t>
            </w:r>
          </w:p>
        </w:tc>
        <w:tc>
          <w:tcPr>
            <w:tcW w:w="3660" w:type="dxa"/>
            <w:vAlign w:val="bottom"/>
            <w:tcBorders>
              <w:bottom w:val="single" w:sz="8" w:color="CCFFCC"/>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(25,032)</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r>
      <w:tr>
        <w:trPr>
          <w:trHeight w:val="284"/>
        </w:trPr>
        <w:tc>
          <w:tcPr>
            <w:tcW w:w="3080" w:type="dxa"/>
            <w:vAlign w:val="bottom"/>
            <w:shd w:val="clear" w:color="auto" w:fill="CCFFCC"/>
          </w:tcPr>
          <w:p>
            <w:pPr>
              <w:spacing w:after="0"/>
              <w:rPr>
                <w:sz w:val="24"/>
                <w:szCs w:val="24"/>
                <w:color w:val="auto"/>
              </w:rPr>
            </w:pPr>
          </w:p>
        </w:tc>
        <w:tc>
          <w:tcPr>
            <w:tcW w:w="36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Net loss per share of common stock:</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3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3080" w:type="dxa"/>
            <w:vAlign w:val="bottom"/>
          </w:tcPr>
          <w:p>
            <w:pPr>
              <w:ind w:left="40"/>
              <w:spacing w:after="0"/>
              <w:rPr>
                <w:sz w:val="20"/>
                <w:szCs w:val="20"/>
                <w:color w:val="auto"/>
              </w:rPr>
            </w:pPr>
            <w:r>
              <w:rPr>
                <w:rFonts w:ascii="Arial" w:cs="Arial" w:eastAsia="Arial" w:hAnsi="Arial"/>
                <w:sz w:val="18"/>
                <w:szCs w:val="18"/>
                <w:color w:val="auto"/>
              </w:rPr>
              <w:t>Diluted</w:t>
            </w:r>
          </w:p>
        </w:tc>
        <w:tc>
          <w:tcPr>
            <w:tcW w:w="4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311"/>
        </w:trPr>
        <w:tc>
          <w:tcPr>
            <w:tcW w:w="3080" w:type="dxa"/>
            <w:vAlign w:val="bottom"/>
            <w:tcBorders>
              <w:top w:val="single" w:sz="8" w:color="CCFFCC"/>
            </w:tcBorders>
            <w:shd w:val="clear" w:color="auto" w:fill="CCFFCC"/>
          </w:tcPr>
          <w:p>
            <w:pPr>
              <w:spacing w:after="0"/>
              <w:rPr>
                <w:sz w:val="24"/>
                <w:szCs w:val="24"/>
                <w:color w:val="auto"/>
              </w:rPr>
            </w:pPr>
          </w:p>
        </w:tc>
        <w:tc>
          <w:tcPr>
            <w:tcW w:w="3660" w:type="dxa"/>
            <w:vAlign w:val="bottom"/>
            <w:tcBorders>
              <w:top w:val="single" w:sz="8" w:color="CCFFCC"/>
            </w:tcBorders>
            <w:shd w:val="clear" w:color="auto" w:fill="CCFFCC"/>
          </w:tcPr>
          <w:p>
            <w:pPr>
              <w:spacing w:after="0"/>
              <w:rPr>
                <w:sz w:val="24"/>
                <w:szCs w:val="24"/>
                <w:color w:val="auto"/>
              </w:rPr>
            </w:pPr>
          </w:p>
        </w:tc>
        <w:tc>
          <w:tcPr>
            <w:tcW w:w="360" w:type="dxa"/>
            <w:vAlign w:val="bottom"/>
            <w:tcBorders>
              <w:top w:val="single" w:sz="8" w:color="auto"/>
            </w:tcBorders>
            <w:shd w:val="clear" w:color="auto" w:fill="CCFFCC"/>
          </w:tcPr>
          <w:p>
            <w:pPr>
              <w:spacing w:after="0"/>
              <w:rPr>
                <w:sz w:val="24"/>
                <w:szCs w:val="24"/>
                <w:color w:val="auto"/>
              </w:rPr>
            </w:pPr>
          </w:p>
        </w:tc>
        <w:tc>
          <w:tcPr>
            <w:tcW w:w="1100" w:type="dxa"/>
            <w:vAlign w:val="bottom"/>
            <w:tcBorders>
              <w:top w:val="single" w:sz="8" w:color="auto"/>
            </w:tcBorders>
            <w:shd w:val="clear" w:color="auto" w:fill="CCFFCC"/>
          </w:tcPr>
          <w:p>
            <w:pPr>
              <w:spacing w:after="0"/>
              <w:rPr>
                <w:sz w:val="24"/>
                <w:szCs w:val="24"/>
                <w:color w:val="auto"/>
              </w:rPr>
            </w:pPr>
          </w:p>
        </w:tc>
        <w:tc>
          <w:tcPr>
            <w:tcW w:w="6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Weighted-average shares used to compute net loss income per share:</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59,203,400</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56,358,017</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56,063,777</w:t>
            </w:r>
          </w:p>
        </w:tc>
      </w:tr>
      <w:tr>
        <w:trPr>
          <w:trHeight w:val="20"/>
        </w:trPr>
        <w:tc>
          <w:tcPr>
            <w:tcW w:w="3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308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Diluted</w:t>
            </w:r>
          </w:p>
        </w:tc>
        <w:tc>
          <w:tcPr>
            <w:tcW w:w="3660" w:type="dxa"/>
            <w:vAlign w:val="bottom"/>
            <w:tcBorders>
              <w:bottom w:val="single" w:sz="8" w:color="CCFFC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59,203,400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56,358,017</w:t>
            </w: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56,063,777</w:t>
            </w:r>
          </w:p>
        </w:tc>
      </w:tr>
      <w:tr>
        <w:trPr>
          <w:trHeight w:val="284"/>
        </w:trPr>
        <w:tc>
          <w:tcPr>
            <w:tcW w:w="3080" w:type="dxa"/>
            <w:vAlign w:val="bottom"/>
            <w:shd w:val="clear" w:color="auto" w:fill="CCFFCC"/>
          </w:tcPr>
          <w:p>
            <w:pPr>
              <w:spacing w:after="0"/>
              <w:rPr>
                <w:sz w:val="24"/>
                <w:szCs w:val="24"/>
                <w:color w:val="auto"/>
              </w:rPr>
            </w:pPr>
          </w:p>
        </w:tc>
        <w:tc>
          <w:tcPr>
            <w:tcW w:w="36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ind w:left="320" w:hanging="150"/>
        <w:spacing w:after="0"/>
        <w:tabs>
          <w:tab w:leader="none" w:pos="3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Amounts include stock compensation expense,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429</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5,374</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2,500</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2,515</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4,921</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3,691</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3,304</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3,550</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2,305</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3,488</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Amounts include depreciation expense,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7,831</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7,150</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8,234</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1,520</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1,625</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1,315</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1,083</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1,226</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1,418</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3,754</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2,357</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1,044</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Amounts include amortization of purchased intangibles,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58"/>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1,143</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2,842</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2,788</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9" w:name="page70"/>
    <w:bookmarkEnd w:id="69"/>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(25,032)</w:t>
            </w:r>
          </w:p>
        </w:tc>
        <w:tc>
          <w:tcPr>
            <w:tcW w:w="520" w:type="dxa"/>
            <w:vAlign w:val="bottom"/>
            <w:tcBorders>
              <w:bottom w:val="single" w:sz="8" w:color="CCFFCC"/>
            </w:tcBorders>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(25,873)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(3,624)</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(26,928)</w:t>
            </w:r>
          </w:p>
        </w:tc>
        <w:tc>
          <w:tcPr>
            <w:tcW w:w="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(14,566)</w:t>
            </w:r>
          </w:p>
        </w:tc>
        <w:tc>
          <w:tcPr>
            <w:tcW w:w="100" w:type="dxa"/>
            <w:vAlign w:val="bottom"/>
            <w:shd w:val="clear" w:color="auto" w:fill="CCFFCC"/>
          </w:tcPr>
          <w:p>
            <w:pPr>
              <w:spacing w:after="0"/>
              <w:rPr>
                <w:sz w:val="22"/>
                <w:szCs w:val="22"/>
                <w:color w:val="auto"/>
              </w:rPr>
            </w:pP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(29,497)</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70" w:name="page71"/>
    <w:bookmarkEnd w:id="70"/>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90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57,374,907</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(821,756)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286,856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(119,071)</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165,305</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324,502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393,504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9,736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9,736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183,534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(1,518,349)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(25,873)</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(25,873)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256"/>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58,276,447</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(2,340,105)</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289,524</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(144,944)</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(6,160)</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138,476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853,885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363,429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8,944</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170,208</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(247,430)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(18,191)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(18,191)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56"/>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59,663,969</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(2,587,535)</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305,676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(163,135)</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140,063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3,120,404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32,788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32,791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361,539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14,841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14,841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150,989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2,480</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(93,750)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ASC 606 prior period adjustment (see note 1)</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57"/>
        </w:trPr>
        <w:tc>
          <w:tcPr>
            <w:tcW w:w="4000" w:type="dxa"/>
            <w:vAlign w:val="bottom"/>
          </w:tcPr>
          <w:p>
            <w:pPr>
              <w:ind w:left="280"/>
              <w:spacing w:after="0" w:line="157" w:lineRule="exact"/>
              <w:rPr>
                <w:sz w:val="20"/>
                <w:szCs w:val="20"/>
                <w:color w:val="auto"/>
              </w:rPr>
            </w:pPr>
            <w:r>
              <w:rPr>
                <w:rFonts w:ascii="Arial" w:cs="Arial" w:eastAsia="Arial" w:hAnsi="Arial"/>
                <w:sz w:val="14"/>
                <w:szCs w:val="14"/>
                <w:color w:val="auto"/>
                <w:w w:val="95"/>
              </w:rPr>
              <w:t>Issuance of common stock in connection with acquisitions (see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80"/>
              <w:spacing w:after="0"/>
              <w:rPr>
                <w:sz w:val="20"/>
                <w:szCs w:val="20"/>
                <w:color w:val="auto"/>
              </w:rPr>
            </w:pPr>
            <w:r>
              <w:rPr>
                <w:rFonts w:ascii="Arial" w:cs="Arial" w:eastAsia="Arial" w:hAnsi="Arial"/>
                <w:sz w:val="14"/>
                <w:szCs w:val="14"/>
                <w:color w:val="auto"/>
              </w:rPr>
              <w:t>note 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379,328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8,150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8,150</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(25,032)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2018</w:t>
            </w:r>
          </w:p>
        </w:tc>
        <w:tc>
          <w:tcPr>
            <w:tcW w:w="82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63,676,229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(2,681,285)</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362,590</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(187,491)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(4,431)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7"/>
          </w:tcPr>
          <w:p>
            <w:pPr>
              <w:jc w:val="right"/>
              <w:ind w:right="31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(25,032)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(18,191)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(25,873)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14,841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9,736</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14,188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12,358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12,011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Impairment on investments</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2,600</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Amortization of tenant allowance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4,682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6,673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Provision for doubtful accounts, net</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1,831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1,852</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88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Accounts receivable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(9,662)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(7,998)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(3,265)</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(14,628)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3,845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196</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7,838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2,982</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13,283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(1,316)</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24,560</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(21,938)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(17,390)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(12,344)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Payments for acquisitions and intangible assets, net of cash acquired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held as collateral</w:t>
            </w:r>
          </w:p>
        </w:tc>
        <w:tc>
          <w:tcPr>
            <w:tcW w:w="16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2,511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1,447</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(27,773)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(15,320)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(11,452)</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(9,967)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in connection with the exercise of options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35,271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8,951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2,899</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33,926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7,209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(7,068)</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(3,954)</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CHANGE IN CASH AND CASH EQUIVALENTS</w:t>
            </w: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10,334</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5,226</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2,086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the year</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50,889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48,803</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CASH AND CASH EQUIVALENTS - End of the year</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66,449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56,115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50,889</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OTHER CASH FLOW INFORMATION: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90"/>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Cash paid for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5,144</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w:t>
            </w:r>
          </w:p>
        </w:tc>
      </w:tr>
      <w:tr>
        <w:trPr>
          <w:trHeight w:val="237"/>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 of property and equipment recorded in 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2,497</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Leasehold improvements funded by landlord</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1,440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Issuance of 85,861 shares of common stock in connection with the BotCentral transaction on January 24,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Issuance of 115,385 shares of common stock in connection with the Conversable transaction on September 27, 2018</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2,850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Issuance of 178,082 shares of common stock in connection with the AdvantageTec transaction on October 11,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4,300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Fair value of contingent earn-out in connection with the acquisition of Conversable recorded in accrued expenses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1,496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Fair value of contingent earn-out in connection with the acquisition of AdvantageTec recorded in accrued expenses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64"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San Francisco (California) and Seattle (Washington), and international offices in Amsterdam (Netherlands), Berlin (Germany), London (United Kingdom), Mannheim (Germany), Melbourne (Australia), Milan (Italy), Paris (France), Ra'anana (Israel), Reading (United Kingdom), Tel Aviv (Israel), and Tokyo (Japan).</w:t>
      </w:r>
    </w:p>
    <w:p>
      <w:pPr>
        <w:spacing w:after="0" w:line="5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LivePerson makes life easier by transforming how people communicate with brands. During the past decade, the consumer has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LivePerson calls these AI and human-assisted conversational experiences over messaging Conversational Commerce.</w:t>
      </w:r>
    </w:p>
    <w:p>
      <w:pPr>
        <w:spacing w:after="0" w:line="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LiveEngage, the Company’s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Company calls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Complementing LiveEngage are teams of technical, solutions and consulting professionals that have developed deep domain expertise in Conversational Commerce across industries and messaging endpoints. The Company is positioned as an authority in Conversational Commerce, publishing a proprietary Conversational Quotient™ Index that measures each customer across multiple key indicators to ascertain their level of conversational maturity. Each business is then benchmarked against industry peers to determine their relative progression. The Company has developed a Transformation Model that is introduced to existing and prospective customers to help guide them on their journeys from legacy and oftentimes inefficient legacy voice, email and chat solutions to modern conversational ones powered by messaging and AI. LivePerson’s products, coupled with our domain knowledge, industry expertise and professional services, have been proven to maximize the effectiveness of Conversational Commerce and deliver measurable return on investment.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LivePerson and its wholly-owned subsidiaries. All significant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comparability, certain 2016 and 2017 amounts have been reclassified where appropriate, to conform to the financial presentation in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the consolidated financial statements in accordance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Significant items subject to such estimates and assumptions include revenue recognition, stock-based compensation, accounts receivable, the valuation of goodwill and intangible assets, income taxes and legal contingencies.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 which approximate fair value at December 31, 2018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performs ongoing credit evaluations of its customers’ financial condition (except for customers who purchase the LivePerson services by credit card via Internet 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2018, 2017 or 2016. One customer exceeded 10% of the Company's total accounts receivable in 2018 with a balance of approximately approximately $10.0 million. No single customer accounted for or exceeded 10% of the Company's total accounts receivable in 2017.</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net in the accompanying consolidated statements of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original maturities of three months or less when acquired to be cash equivalents. Cash equivalents, which primarily consist of money market funds, are recorded at cost, which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doubtful accounts is as follows (amounts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Beginning</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 /</w:t>
            </w:r>
          </w:p>
        </w:tc>
        <w:tc>
          <w:tcPr>
            <w:tcW w:w="20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Ending</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Balance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Write-Offs</w:t>
            </w:r>
          </w:p>
        </w:tc>
        <w:tc>
          <w:tcPr>
            <w:tcW w:w="20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7"/>
        </w:trPr>
        <w:tc>
          <w:tcPr>
            <w:tcW w:w="42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51"/>
        </w:trPr>
        <w:tc>
          <w:tcPr>
            <w:tcW w:w="4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1,318</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related assets, generally three to five years for equipment and software. Leasehold improvements are depreciated using the straight-line method over the shorter of the lease term or the estimated useful life of the asset. Depreciation expense, which includes depreciation of internal use software totaled $14.2 million, $12.4 million, and $12.0 million for the years ended December 31, 2018, 2017 and 2016,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 Development Costs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three years. Costs incurred prior to meeting these criteria, together with costs incurred for training and maintenance, are expensed as incurred.</w:t>
      </w:r>
    </w:p>
    <w:p>
      <w:pPr>
        <w:spacing w:after="0" w:line="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capitalized internal-use software costs of $11.7 million, $8.3 million, and $3.7 million for the years ended December 31, 2018, 2017 and 2016,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performs testing for impairment of goodwill in its third quarter, or as events occur or circumstances change that would more likely than not reduce the fair value of the Company’s reporting units below their carrying amounts. A qualitative assessment is first made to determine whether it is necessary to perform the two-step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analysis will be performed, involving a comparison between the estimated fair values of the Company’s reporting unit with its respective carrying amount including goodwill. If the carrying value exceeds estimated fair value, there is an indication of potential impairment, and a third analysis is performed to measure the amount of impairment. The third analysis involves calculating an implied fair value of goodwill by measuring the excess of the estimated fair value of the reporting unit over the aggregate estimated fair values of the individual assets less liabilities. If the carrying value of goodwill exceeds the implied fair value of goodwill, an impairment charge is recorded for the excess.</w:t>
      </w:r>
    </w:p>
    <w:p>
      <w:pPr>
        <w:spacing w:after="0" w:line="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with estimable useful lives are amortized over their respective estimated useful lives to their estimated residual values, and reviewed for impairment in accordance with ASC 360-10-35, “Accounting for Impairment or Disposal of Long-Lived Assets.”</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Company evaluates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at the end of the third quarter of 2018, 2017, and 2016, the Company determined that it was not more-likely that the fair value of the reporting units is less than their carrying amount. Accordingly, the Company did not perform the two-step goodwill impairment test on both the Company's Business and Consumer segments. The Company assessed qualitative facts while summarizing the totality of events and circumstances and considered the extent to which adverse events or circumstances could affect the reporting unit's fair value as well as the consideration of positive and mitigating events and circumstances that would affect the determination of whether it was more likely than not that the fair value of a reporting unit is less than its carrying amount.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Business combinations are accounted for using the acquisition method and accordingly, the assets acquired (including identified intangible assets), the liabilities assumed and any noncontrolling interest in the acquired business are recorded at their acquisition date fair values. The Company’s acquisition model typically provides for an initial payment at closing and for future additional contingent purchase price obligations. Contingent purchase price obligations are recorded as deferred acquisition consideration on the balance sheet at the acquisition date fair value and are remeasured at each reporting period. Changes in such estimated values are recorded in the results of operations. For further information, see Note 7 of the Notes to the Consolidated Financial Statements included herein. For the years ended December 31, 2018, $0.6 million of acquisition related costs were charged to operations.</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each acquisition, the Company undertakes a detailed review to identify other intangible assets and a valuation is performed for all such identified assets. The Company uses several market participant measurements to determine estimated value. This approach includes consideration of similar and recent transactions, as well as utilizing discounted expected cash flow methodologies. A substantial portion of the intangible asset value that the Company acquires is the specialized know-how of the workforce, which is treated as part of goodwill and is not required to be valued separately. The majority of the value of the identifiable intangible assets acquired is derived from customer relationships, including the related customer contracts, as well as trade names. In executing the Company’s overall acquisition strategy, one of the primary drivers in identifying and executing a specific transaction is the existence of, or the ability to, expand the existing client relationships. The expected benefits of the Company’s acquisitions are typically shared across multiple agencies and regions.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Accounting Policies (Continued)</w:t>
      </w:r>
    </w:p>
    <w:p>
      <w:pPr>
        <w:spacing w:after="0" w:line="391" w:lineRule="exact"/>
        <w:rPr>
          <w:rFonts w:ascii="Arial" w:cs="Arial" w:eastAsia="Arial" w:hAnsi="Arial"/>
          <w:sz w:val="18"/>
          <w:szCs w:val="18"/>
          <w:b w:val="1"/>
          <w:bCs w:val="1"/>
          <w:color w:val="auto"/>
        </w:rPr>
      </w:pPr>
    </w:p>
    <w:p>
      <w:pPr>
        <w:ind w:left="1360" w:hanging="204"/>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 of $249.8 million recognized during the year ended December 31, 2018, under Topic 606, was not materially different from what would have been recognized under Topic 605.</w:t>
      </w:r>
    </w:p>
    <w:p>
      <w:pPr>
        <w:spacing w:after="0" w:line="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made the following accounting policy election and elected to use a practical expedient specific to certain revenue streams, as permitted by the FASB, in applying Topic 606. The Company utilizes the right-to-invoice practical expedient with regard to the recognition of revenue upon the invoicing of certain revenue streams, as revenue for those streams are billed monthly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ASC-606, "Principal Agent Considerations", the Company acts as a principal in a transaction if it controls the specified goods or services before they are transferred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records deferred revenues when cash payments are received or due in advance of its performance. The increase in the deferred revenue balance for the year ended December 31, 2018 is primarily driven by cash payments received or due in advance of satisfying its performance obligations, partially offset by $32.7 million of revenues recognized that were included in the deferred revenue balance as of December 31, 2017.</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deferred revenue by revenue source (amounts in thousands):</w:t>
      </w:r>
    </w:p>
    <w:p>
      <w:pPr>
        <w:spacing w:after="0" w:line="18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37465</wp:posOffset>
            </wp:positionV>
            <wp:extent cx="1869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40" w:type="dxa"/>
            <w:vAlign w:val="bottom"/>
            <w:tcBorders>
              <w:bottom w:val="single" w:sz="8" w:color="CCFFCC"/>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36"/>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Hosted services – Business</w:t>
            </w:r>
          </w:p>
        </w:tc>
        <w:tc>
          <w:tcPr>
            <w:tcW w:w="920" w:type="dxa"/>
            <w:vAlign w:val="bottom"/>
            <w:tcBorders>
              <w:bottom w:val="single" w:sz="8" w:color="CCFFCC"/>
            </w:tcBorders>
            <w:shd w:val="clear" w:color="auto" w:fill="CCFFCC"/>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52,232</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27,011</w:t>
            </w:r>
          </w:p>
        </w:tc>
      </w:tr>
      <w:tr>
        <w:trPr>
          <w:trHeight w:val="237"/>
        </w:trPr>
        <w:tc>
          <w:tcPr>
            <w:tcW w:w="8440" w:type="dxa"/>
            <w:vAlign w:val="bottom"/>
          </w:tcPr>
          <w:p>
            <w:pPr>
              <w:ind w:left="20"/>
              <w:spacing w:after="0"/>
              <w:rPr>
                <w:sz w:val="20"/>
                <w:szCs w:val="20"/>
                <w:color w:val="auto"/>
              </w:rPr>
            </w:pPr>
            <w:r>
              <w:rPr>
                <w:rFonts w:ascii="Arial" w:cs="Arial" w:eastAsia="Arial" w:hAnsi="Arial"/>
                <w:sz w:val="16"/>
                <w:szCs w:val="16"/>
                <w:color w:val="auto"/>
              </w:rPr>
              <w:t>Professional services – Business</w:t>
            </w: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2,783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8,552</w:t>
            </w:r>
          </w:p>
        </w:tc>
      </w:tr>
      <w:tr>
        <w:trPr>
          <w:trHeight w:val="33"/>
        </w:trPr>
        <w:tc>
          <w:tcPr>
            <w:tcW w:w="84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deferred revenue - short term</w:t>
            </w:r>
          </w:p>
        </w:tc>
        <w:tc>
          <w:tcPr>
            <w:tcW w:w="920" w:type="dxa"/>
            <w:vAlign w:val="bottom"/>
            <w:tcBorders>
              <w:bottom w:val="single" w:sz="8" w:color="auto"/>
            </w:tcBorders>
            <w:shd w:val="clear" w:color="auto" w:fill="CCFFCC"/>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55,015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35,563</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Hosted services – Business</w:t>
            </w:r>
          </w:p>
        </w:tc>
        <w:tc>
          <w:tcPr>
            <w:tcW w:w="920" w:type="dxa"/>
            <w:vAlign w:val="bottom"/>
            <w:tcBorders>
              <w:bottom w:val="single" w:sz="8" w:color="CCFFCC"/>
            </w:tcBorders>
            <w:shd w:val="clear" w:color="auto" w:fill="CCFFCC"/>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440" w:type="dxa"/>
            <w:vAlign w:val="bottom"/>
          </w:tcPr>
          <w:p>
            <w:pPr>
              <w:ind w:left="20"/>
              <w:spacing w:after="0"/>
              <w:rPr>
                <w:sz w:val="20"/>
                <w:szCs w:val="20"/>
                <w:color w:val="auto"/>
              </w:rPr>
            </w:pPr>
            <w:r>
              <w:rPr>
                <w:rFonts w:ascii="Arial" w:cs="Arial" w:eastAsia="Arial" w:hAnsi="Arial"/>
                <w:sz w:val="16"/>
                <w:szCs w:val="16"/>
                <w:color w:val="auto"/>
              </w:rPr>
              <w:t>Professional services – Business</w:t>
            </w: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deferred revenue - long term</w:t>
            </w:r>
          </w:p>
        </w:tc>
        <w:tc>
          <w:tcPr>
            <w:tcW w:w="920" w:type="dxa"/>
            <w:vAlign w:val="bottom"/>
            <w:tcBorders>
              <w:bottom w:val="single" w:sz="8" w:color="auto"/>
            </w:tcBorders>
            <w:shd w:val="clear" w:color="auto" w:fill="CCFFCC"/>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185"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37465</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197,474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178,686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183,551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shd w:val="clear" w:color="auto" w:fill="CCFFCC"/>
              </w:rPr>
              <w:t>Hosted services – Consumer</w:t>
            </w: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19,553</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17,450</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16,258</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3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32,811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22,740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22,970</w:t>
            </w:r>
          </w:p>
        </w:tc>
      </w:tr>
      <w:tr>
        <w:trPr>
          <w:trHeight w:val="33"/>
        </w:trPr>
        <w:tc>
          <w:tcPr>
            <w:tcW w:w="708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shd w:val="clear" w:color="auto" w:fill="CCFFCC"/>
              </w:rPr>
              <w:t>Total revenue</w:t>
            </w:r>
          </w:p>
        </w:tc>
        <w:tc>
          <w:tcPr>
            <w:tcW w:w="34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249,838</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218,876</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222,779</w:t>
            </w:r>
          </w:p>
        </w:tc>
      </w:tr>
      <w:tr>
        <w:trPr>
          <w:trHeight w:val="20"/>
        </w:trPr>
        <w:tc>
          <w:tcPr>
            <w:tcW w:w="70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years ended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146,702</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137,433</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146,733</w:t>
            </w:r>
          </w:p>
        </w:tc>
      </w:tr>
      <w:tr>
        <w:trPr>
          <w:trHeight w:val="270"/>
        </w:trPr>
        <w:tc>
          <w:tcPr>
            <w:tcW w:w="7080" w:type="dxa"/>
            <w:vAlign w:val="bottom"/>
            <w:tcBorders>
              <w:bottom w:val="single" w:sz="8" w:color="CCFFCC"/>
            </w:tcBorders>
          </w:tcPr>
          <w:p>
            <w:pPr>
              <w:ind w:left="40"/>
              <w:spacing w:after="0" w:line="270" w:lineRule="exact"/>
              <w:rPr>
                <w:sz w:val="20"/>
                <w:szCs w:val="20"/>
                <w:color w:val="auto"/>
              </w:rPr>
            </w:pPr>
            <w:r>
              <w:rPr>
                <w:rFonts w:ascii="Arial" w:cs="Arial" w:eastAsia="Arial" w:hAnsi="Arial"/>
                <w:sz w:val="18"/>
                <w:szCs w:val="18"/>
                <w:color w:val="auto"/>
              </w:rPr>
              <w:t xml:space="preserve">Other Americas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7,315</w:t>
            </w:r>
          </w:p>
        </w:tc>
        <w:tc>
          <w:tcPr>
            <w:tcW w:w="100" w:type="dxa"/>
            <w:vAlign w:val="bottom"/>
            <w:tcBorders>
              <w:bottom w:val="single" w:sz="8" w:color="CCFFC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6,987</w:t>
            </w:r>
          </w:p>
        </w:tc>
        <w:tc>
          <w:tcPr>
            <w:tcW w:w="120" w:type="dxa"/>
            <w:vAlign w:val="bottom"/>
            <w:tcBorders>
              <w:bottom w:val="single" w:sz="8" w:color="CCFFC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6,818</w:t>
            </w:r>
          </w:p>
        </w:tc>
      </w:tr>
      <w:tr>
        <w:trPr>
          <w:trHeight w:val="244"/>
        </w:trPr>
        <w:tc>
          <w:tcPr>
            <w:tcW w:w="70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154,017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144,420</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153,551</w:t>
            </w:r>
          </w:p>
        </w:tc>
      </w:tr>
      <w:tr>
        <w:trPr>
          <w:trHeight w:val="270"/>
        </w:trPr>
        <w:tc>
          <w:tcPr>
            <w:tcW w:w="708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2"/>
                <w:szCs w:val="12"/>
                <w:color w:val="auto"/>
              </w:rPr>
              <w:t xml:space="preserve"> (2) (4)</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71,318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50,511</w:t>
            </w:r>
          </w:p>
        </w:tc>
      </w:tr>
      <w:tr>
        <w:trPr>
          <w:trHeight w:val="270"/>
        </w:trPr>
        <w:tc>
          <w:tcPr>
            <w:tcW w:w="70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5"/>
                <w:szCs w:val="25"/>
                <w:color w:val="auto"/>
                <w:vertAlign w:val="superscript"/>
              </w:rPr>
              <w:t>(3)</w:t>
            </w:r>
          </w:p>
        </w:tc>
        <w:tc>
          <w:tcPr>
            <w:tcW w:w="34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24,503</w:t>
            </w:r>
          </w:p>
        </w:tc>
        <w:tc>
          <w:tcPr>
            <w:tcW w:w="100" w:type="dxa"/>
            <w:vAlign w:val="bottom"/>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18,146</w:t>
            </w:r>
          </w:p>
        </w:tc>
        <w:tc>
          <w:tcPr>
            <w:tcW w:w="120" w:type="dxa"/>
            <w:vAlign w:val="bottom"/>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18,717</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249,838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218,876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222,779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10" w:lineRule="exact"/>
        <w:rPr>
          <w:rFonts w:ascii="Arial" w:cs="Arial" w:eastAsia="Arial" w:hAnsi="Arial"/>
          <w:sz w:val="21"/>
          <w:szCs w:val="21"/>
          <w:color w:val="auto"/>
          <w:vertAlign w:val="superscript"/>
        </w:rPr>
      </w:pPr>
    </w:p>
    <w:p>
      <w:pPr>
        <w:ind w:firstLine="8"/>
        <w:spacing w:after="0" w:line="326" w:lineRule="auto"/>
        <w:tabs>
          <w:tab w:leader="none" w:pos="153" w:val="left"/>
        </w:tabs>
        <w:numPr>
          <w:ilvl w:val="0"/>
          <w:numId w:val="49"/>
        </w:numPr>
        <w:rPr>
          <w:rFonts w:ascii="Arial" w:cs="Arial" w:eastAsia="Arial" w:hAnsi="Arial"/>
          <w:sz w:val="17"/>
          <w:szCs w:val="17"/>
          <w:color w:val="auto"/>
          <w:vertAlign w:val="superscript"/>
        </w:rPr>
      </w:pPr>
      <w:r>
        <w:rPr>
          <w:rFonts w:ascii="Arial" w:cs="Arial" w:eastAsia="Arial" w:hAnsi="Arial"/>
          <w:sz w:val="13"/>
          <w:szCs w:val="13"/>
          <w:color w:val="auto"/>
        </w:rPr>
        <w:t>Includes revenue from the United Kingdom of $46.5 million, $38.9 million, and $35.3 million for the year ended December 31, 2018</w:t>
      </w:r>
      <w:r>
        <w:rPr>
          <w:rFonts w:ascii="Arial" w:cs="Arial" w:eastAsia="Arial" w:hAnsi="Arial"/>
          <w:sz w:val="14"/>
          <w:szCs w:val="14"/>
          <w:color w:val="auto"/>
        </w:rPr>
        <w:t>,</w:t>
      </w:r>
      <w:r>
        <w:rPr>
          <w:rFonts w:ascii="Arial" w:cs="Arial" w:eastAsia="Arial" w:hAnsi="Arial"/>
          <w:sz w:val="13"/>
          <w:szCs w:val="13"/>
          <w:color w:val="auto"/>
        </w:rPr>
        <w:t xml:space="preserve"> 2017, and 2016, respectively. and from the Netherlands of $8.7 million, $2.0 million, and $2.1 million for the year ended December 31, 2018</w:t>
      </w:r>
      <w:r>
        <w:rPr>
          <w:rFonts w:ascii="Arial" w:cs="Arial" w:eastAsia="Arial" w:hAnsi="Arial"/>
          <w:sz w:val="14"/>
          <w:szCs w:val="14"/>
          <w:color w:val="auto"/>
        </w:rPr>
        <w:t>,</w:t>
      </w:r>
      <w:r>
        <w:rPr>
          <w:rFonts w:ascii="Arial" w:cs="Arial" w:eastAsia="Arial" w:hAnsi="Arial"/>
          <w:sz w:val="13"/>
          <w:szCs w:val="13"/>
          <w:color w:val="auto"/>
        </w:rPr>
        <w:t xml:space="preserve"> 2017, and 2016,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Business Revenue.</w:t>
      </w:r>
    </w:p>
    <w:p>
      <w:pPr>
        <w:spacing w:after="0" w:line="6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Unbilled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Prepaid</w:t>
            </w: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10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Revenue (long</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Receivable</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Commissions</w:t>
            </w: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6"/>
                <w:szCs w:val="16"/>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236"/>
        </w:trPr>
        <w:tc>
          <w:tcPr>
            <w:tcW w:w="52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Opening Balance as of December 31, 2017</w:t>
            </w: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30,342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7,584</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2,223</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35,563</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Increase (decrease), net</w:t>
            </w:r>
          </w:p>
        </w:tc>
        <w:tc>
          <w:tcPr>
            <w:tcW w:w="18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3,869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11,138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19,452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Ending Balance as of December 31, 2018</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34,211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11,812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13,361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55,015</w:t>
            </w: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expects to recognize the long term performance obligations in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expenses the cost of advertising and promoting its services as incurred in the sales and marketing expense on the consolidated statement of operations. Such costs totaled approximately $17.4 million, $15.8 million, and $10.9 million for the years ended December 31, 2018, 2017 and 2016,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Topic 718 -10, "Stock Compensation", the Company measures stock based awards at fair value and recognizes compensation expense for all share-based payment awards made to its employees and directors, including employee stock options.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number of options that will be forfeited prior to vesting. The fair value is then recognized on a straight line basis over the requisite service period of the award, which is generally three to four years. Changes in these estimates and assumptions can materially affect the determination of the fair value of the stock-based compensation and consequently, the related amount recognized in the consolidated statement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Valuation allowances are established, when necessary, to reduce deferred tax assets to the amount expected to be realized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220, "Comprehensive Income", the Company reports by major components and as a single total, the change in its net assets during the period from non-owner sources. Comprehensive income (loss) consists of net income (loss), and accumulated other comprehensive income (loss), which includes certain changes in equity that are excluded from net income (loss). The Company’s comprehensive loss for all periods presented is related to the effect of foreign currency translation.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No. 2018-15 "Customer’s Accounting for Implementation Costs Incurred in a Cloud Computing Arrangement That Is a Service Contract; Disclosures for Implementation Costs Incurred for Internal-Use Software and Cloud Computing Arrangements" (“ASU 2018-15”). This standard aligns the accounting for implementation costs incurred in a hosting arrangement that is a service contract with the accounting for implementation costs incurred to develop or obtain internal-use software under Accounting Standards Codification ("ASC") 350-40, in order to determine which costs to capitalize and recognize as an asset. ASU 2018-15 is effective for annual reporting periods, and interim periods within those years, beginning after December 15, 2019, and can be applied either prospectively to implementation costs incurred after the date of adoption or retrospectively to all arrangements. The Company is currently in the process of evaluating the impact of the adoption of ASU 2018-230 on its consolidated financial statements.</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2018, the FASB issued ASU No. 2018-07 "Compensation —Stock Compensation (Topic 718)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is effective for public companies for fiscal years beginning after December 15, 2018, including interim periods within that fiscal year. The Company is currently evaluating the impact of this updated standard, but does not believe this update will have a significant impact on its consolidated financial statements.</w:t>
      </w:r>
    </w:p>
    <w:p>
      <w:pPr>
        <w:spacing w:after="0" w:line="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2018, the FASB issued ASU No. 2018-05 "Income Taxes (Topic 740): Amendments to SEC Paragraphs Pursuant to SEC Staff Accounting Bulletin No. 118" ("ASU 2018-05"). This new standard adds SEC paragraphs pursuant to the SEC Staff Accounting Bulletin No. 118, which expresses the view of the staff regarding application of Topic 740, Income Taxes, in the reporting period that includes December 22, 2017, the date on which the Tax Cuts and Jobs Act was signed into law. ASU 2018-05 is effective upon inclusion in the FASB Codification. The Company evaluated the impact of this updated standard and determined that the tax on unremitted earnings is zero due to the overall accumulated deficit in earnings and profits.</w:t>
      </w:r>
    </w:p>
    <w:p>
      <w:pPr>
        <w:spacing w:after="0" w:line="5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February 2018, the FASB issued ASU No. 2018-02 "Income Statement—Reporting Comprehensive Income (Topic 220): Reclassification of Certain Tax Effects from Accumulated Other Comprehensive Income" ("ASU 2018-02"). This new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standard allows a reclassification from accumulated other comprehensive income to retained earnings for stranded tax effects resulting from the Tax Cuts and Jobs Act. The amendments in ASU 2018-02 affects any entity that is required to apply the provisions of Topic 220 and has items of other comprehensive income for which the related tax effects are presented in other comprehensive income as required by GAAP. ASU 2018-02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2018-02 to have a material effect on its financial position, results of operations or cash flows.</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the FASB issued ASU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2017-12 to have a material effect on its financial position, results of operations or cash flows.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February 2016, the FASB issued ASU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may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plans on adopting the standard using the modified transition approach or the transition option available where the Company would recognize a cumulative-effect adjustment to the opening balance of retained earnings in the period of adoption. ASU 2016-02 is effective for financial statements issued for annual periods beginning after December 15, 2018. The Company continues to implement changes to its systems, processes and controls, in conjunction with its review of existing lease agreements. The Company expects its leases designated as operating leases in Note 9, “Contractual Obligations,” will be reported on the consolidated balance sheets upon adoption, which will materially increase its total assets and liabilities. The adoption of this ASU will result in the recognition of operating lease assets and liabilities of approximately $10.0 million. The Company does not expect the adoption of ASU 2016-02 to have a material impact to its consolidated statements of operations or to have any impact on its total cash flows from operating, investing or financing activities.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FASB issued ASU No. 2014-09, "Revenue from Contracts with Customers" ("Topic 606"). Topic 606 supersedes the revenue recognition requirements in ASC Topic 605, "Revenue Recognition" ("Topic 605"), and requires the recognition of revenue when promised goods or services are transferred to customers in an amount that reflects the considerations to which the entity expects to be entitled to in exchange for those goods or services. Topic 606 also includes Subtopic 340-40, "Other Assets and Deferred Costs - Contracts with Customers", which requires the deferral of incremental costs of obtaining a contract with a customer. Collectively, the Company refers to Topic 606 and Subtopic 340-40 as the "new standard."</w:t>
      </w:r>
    </w:p>
    <w:p>
      <w:pPr>
        <w:spacing w:after="0" w:line="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adopted the requirements of the new standard as of January 1, 2018, utilizing the modified retrospective method applied to those contracts which were not completed as of January 1, 2018. Results for the reporting periods beginning after January 1, 2018 are presented under the new standard, while prior period amounts are not adjusted and continue to be reported in accordance with its historic accounting under Topic 605.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impact of adopting the new standard as of January 1, 2018 on revenues was not material. The primary impact of adopting the new standard relates to the deferral of incremental commission costs of obtaining subscription contracts. The Company recorded an addition to opening retained earnings of $0.7 million as of January 1, 2018 due to the impact of adopting the new standard, with the impact related to the deferral of incremental commission costs. Under Topic 605, the Company deferred only direct and incremental commission costs to obtain a contract and amortized those costs on a straight-line basis over the term of the related subscription contract, which was generally one year. Under the new standard, the Company defers all incremental commission costs to obtain the contract. The prepaid commission balance as of December 31, 2018 is $13.4 million. The Company amortizes these costs over the related period of benefit using the customer expected life that the Company determined to be three to five years which is consistent with the transfer to the customer of the services to which the asset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common share for the year ended December 31, 2018 does not include the effect of options to purchase 8,957,672 shares of common stock awards as the effect of their inclusion is anti-dilutive. Diluted net income per common share for the year ended December 31, 2017 does not include the effect of options to purchase 8,831,798 shares of common stock awards as the effect of their inclusion is anti-dilutive. Diluted net income per common share for the year ended December 31, 2016 does not include the effect of options to purchase 8,956,932 shares of common stock awards as the effect of their inclusion is anti-dilutive.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68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59,203,400</w:t>
            </w:r>
          </w:p>
        </w:tc>
        <w:tc>
          <w:tcPr>
            <w:tcW w:w="1680" w:type="dxa"/>
            <w:vAlign w:val="bottom"/>
            <w:tcBorders>
              <w:bottom w:val="single" w:sz="8" w:color="CCFFCC"/>
            </w:tcBorders>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56,358,017</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56,063,777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assumed exercised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59,203,400</w:t>
            </w:r>
          </w:p>
        </w:tc>
        <w:tc>
          <w:tcPr>
            <w:tcW w:w="16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56,358,017</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1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56,063,777</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2018,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197,474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197,474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19,553</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32,811</w:t>
            </w:r>
          </w:p>
        </w:tc>
      </w:tr>
      <w:tr>
        <w:trPr>
          <w:trHeight w:val="27"/>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230,285</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249,838</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58,420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62,479</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94,339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9,005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103,344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1,670</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106,048</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106,048</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75,856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(23,703)</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2017,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178,686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178,686</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22,740</w:t>
            </w:r>
          </w:p>
        </w:tc>
      </w:tr>
      <w:tr>
        <w:trPr>
          <w:trHeight w:val="27"/>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201,426</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218,876</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58,205</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82,420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8,485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90,905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1,840</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85,752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85,752</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(17,826)</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2016,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FFCC"/>
            </w:tcBorders>
          </w:tcPr>
          <w:p>
            <w:pPr>
              <w:spacing w:after="0"/>
              <w:rPr>
                <w:sz w:val="2"/>
                <w:szCs w:val="2"/>
                <w:color w:val="auto"/>
              </w:rPr>
            </w:pPr>
          </w:p>
        </w:tc>
        <w:tc>
          <w:tcPr>
            <w:tcW w:w="2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183,551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183,551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16,258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FFCC"/>
            </w:tcBorders>
          </w:tcPr>
          <w:p>
            <w:pPr>
              <w:spacing w:after="0"/>
              <w:rPr>
                <w:sz w:val="2"/>
                <w:szCs w:val="2"/>
                <w:color w:val="auto"/>
              </w:rPr>
            </w:pPr>
          </w:p>
        </w:tc>
        <w:tc>
          <w:tcPr>
            <w:tcW w:w="2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18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206,521</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16,258</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222,779</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63,161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82,063</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89,529</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18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85,613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85,613</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60,221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180" w:type="dxa"/>
            <w:vAlign w:val="bottom"/>
            <w:vMerge w:val="restart"/>
          </w:tcPr>
          <w:p>
            <w:pPr>
              <w:jc w:val="right"/>
              <w:ind w:right="51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long-lived assets by geographic region for the periods presented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122,019</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93,845</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Israel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13,940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9,496</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7,495</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2,711</w:t>
            </w:r>
          </w:p>
        </w:tc>
      </w:tr>
      <w:tr>
        <w:trPr>
          <w:trHeight w:val="257"/>
        </w:trPr>
        <w:tc>
          <w:tcPr>
            <w:tcW w:w="8480" w:type="dxa"/>
            <w:vAlign w:val="bottom"/>
          </w:tcPr>
          <w:p>
            <w:pPr>
              <w:ind w:left="280"/>
              <w:spacing w:after="0"/>
              <w:rPr>
                <w:sz w:val="20"/>
                <w:szCs w:val="20"/>
                <w:color w:val="auto"/>
              </w:rPr>
            </w:pPr>
            <w:r>
              <w:rPr>
                <w:rFonts w:ascii="Arial" w:cs="Arial" w:eastAsia="Arial" w:hAnsi="Arial"/>
                <w:sz w:val="18"/>
                <w:szCs w:val="18"/>
                <w:color w:val="auto"/>
              </w:rPr>
              <w:t>Total 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155,143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127,487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79,161</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92,079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14,132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15,355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Internal-use software development costs</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19,240</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8,736</w:t>
            </w:r>
          </w:p>
        </w:tc>
      </w:tr>
      <w:tr>
        <w:trPr>
          <w:trHeight w:val="244"/>
        </w:trPr>
        <w:tc>
          <w:tcPr>
            <w:tcW w:w="8320" w:type="dxa"/>
            <w:vAlign w:val="bottom"/>
            <w:tcBorders>
              <w:top w:val="single" w:sz="8" w:color="CCFFCC"/>
              <w:bottom w:val="single" w:sz="8" w:color="CCFFCC"/>
            </w:tcBorders>
            <w:shd w:val="clear" w:color="auto" w:fill="CCFFCC"/>
          </w:tcPr>
          <w:p>
            <w:pPr>
              <w:spacing w:after="0"/>
              <w:rPr>
                <w:sz w:val="21"/>
                <w:szCs w:val="21"/>
                <w:color w:val="auto"/>
              </w:rPr>
            </w:pPr>
          </w:p>
        </w:tc>
        <w:tc>
          <w:tcPr>
            <w:tcW w:w="360" w:type="dxa"/>
            <w:vAlign w:val="bottom"/>
            <w:tcBorders>
              <w:top w:val="single" w:sz="8" w:color="auto"/>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112,533</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50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116,170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(81,465)</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43,735</w:t>
            </w:r>
          </w:p>
        </w:tc>
        <w:tc>
          <w:tcPr>
            <w:tcW w:w="10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34,705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its policy, the Company reviews the estimated useful lives of its fixed assets on an ongoing basis. As of December 31, 2018, there was approximately $7.8 million of internal-use software development costs related to projects currently still in development, therefore, are not yet subject to amortization. Aggregate depreciation expense for property and equipment was $14.2 million, $12.4 million and $12.0 million for the years ended December 31, 2018, 2017, and 2016,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2018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72,507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80,531</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14,606</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14,606</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87,007</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95,031</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2017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72,221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80,245</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286</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72,507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80,531</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accumulated goodwill impairment charges are $23.5 million through December 31, 2018. No impairment was recognized for the years ended December 31, 2018, 2017, and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December 31, 2018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1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Net Carrying</w:t>
            </w: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30,447</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(23,615)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5.3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17,219</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(11,786)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5,433</w:t>
            </w: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8"/>
                <w:szCs w:val="18"/>
                <w:color w:val="auto"/>
                <w:w w:val="86"/>
              </w:rPr>
              <w:t>8.4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2.1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1,436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8"/>
                <w:szCs w:val="18"/>
                <w:color w:val="auto"/>
                <w:w w:val="86"/>
              </w:rPr>
              <w:t>2.3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12.4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8"/>
                <w:szCs w:val="18"/>
                <w:color w:val="auto"/>
                <w:w w:val="86"/>
              </w:rPr>
              <w:t>2.7 years</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52,724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(38,892)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13,832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83"/>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8"/>
          </w:tcPr>
          <w:p>
            <w:pPr>
              <w:ind w:left="660"/>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7"/>
              </w:rPr>
              <w:t>Net Carrying</w:t>
            </w:r>
          </w:p>
        </w:tc>
        <w:tc>
          <w:tcPr>
            <w:tcW w:w="1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5.3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15,978</w:t>
            </w: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(10,457)</w:t>
            </w: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center"/>
              <w:ind w:right="74"/>
              <w:spacing w:after="0"/>
              <w:rPr>
                <w:sz w:val="20"/>
                <w:szCs w:val="20"/>
                <w:color w:val="auto"/>
              </w:rPr>
            </w:pPr>
            <w:r>
              <w:rPr>
                <w:rFonts w:ascii="Arial" w:cs="Arial" w:eastAsia="Arial" w:hAnsi="Arial"/>
                <w:sz w:val="18"/>
                <w:szCs w:val="18"/>
                <w:color w:val="auto"/>
                <w:w w:val="89"/>
              </w:rPr>
              <w:t>8.0 years</w:t>
            </w:r>
          </w:p>
        </w:tc>
        <w:tc>
          <w:tcPr>
            <w:tcW w:w="180" w:type="dxa"/>
            <w:vAlign w:val="bottom"/>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2.1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center"/>
              <w:ind w:right="74"/>
              <w:spacing w:after="0"/>
              <w:rPr>
                <w:sz w:val="20"/>
                <w:szCs w:val="20"/>
                <w:color w:val="auto"/>
              </w:rPr>
            </w:pPr>
            <w:r>
              <w:rPr>
                <w:rFonts w:ascii="Arial" w:cs="Arial" w:eastAsia="Arial" w:hAnsi="Arial"/>
                <w:sz w:val="18"/>
                <w:szCs w:val="18"/>
                <w:color w:val="auto"/>
                <w:w w:val="89"/>
              </w:rPr>
              <w:t>2.3 years</w:t>
            </w:r>
          </w:p>
        </w:tc>
        <w:tc>
          <w:tcPr>
            <w:tcW w:w="180" w:type="dxa"/>
            <w:vAlign w:val="bottom"/>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13.1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center"/>
              <w:ind w:right="74"/>
              <w:spacing w:after="0"/>
              <w:rPr>
                <w:sz w:val="20"/>
                <w:szCs w:val="20"/>
                <w:color w:val="auto"/>
              </w:rPr>
            </w:pPr>
            <w:r>
              <w:rPr>
                <w:rFonts w:ascii="Arial" w:cs="Arial" w:eastAsia="Arial" w:hAnsi="Arial"/>
                <w:sz w:val="18"/>
                <w:szCs w:val="18"/>
                <w:color w:val="auto"/>
                <w:w w:val="89"/>
              </w:rPr>
              <w:t>2.7 years</w:t>
            </w:r>
          </w:p>
        </w:tc>
        <w:tc>
          <w:tcPr>
            <w:tcW w:w="180" w:type="dxa"/>
            <w:vAlign w:val="bottom"/>
          </w:tcPr>
          <w:p>
            <w:pPr>
              <w:spacing w:after="0"/>
              <w:rPr>
                <w:sz w:val="23"/>
                <w:szCs w:val="23"/>
                <w:color w:val="auto"/>
              </w:rPr>
            </w:pP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48,470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(36,104)</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12,366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54"/>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5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$2.8 million, $4.7 million and $6.7 million for the years ended December 31, 2018, 2017 and 2016, respectively. For the years ended December 31, 2018, 2017 and 2016, a portion of this amortization is included in cost of revenue. Estimated amortization expense for the next five years are as follows (amounts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Estimated Amortization</w:t>
            </w:r>
          </w:p>
        </w:tc>
      </w:tr>
      <w:tr>
        <w:trPr>
          <w:trHeight w:val="210"/>
        </w:trPr>
        <w:tc>
          <w:tcPr>
            <w:tcW w:w="9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772"/>
              <w:spacing w:after="0"/>
              <w:rPr>
                <w:sz w:val="20"/>
                <w:szCs w:val="20"/>
                <w:color w:val="auto"/>
              </w:rPr>
            </w:pPr>
            <w:r>
              <w:rPr>
                <w:rFonts w:ascii="Arial" w:cs="Arial" w:eastAsia="Arial" w:hAnsi="Arial"/>
                <w:sz w:val="16"/>
                <w:szCs w:val="16"/>
                <w:b w:val="1"/>
                <w:bCs w:val="1"/>
                <w:color w:val="auto"/>
              </w:rPr>
              <w:t>Expense</w:t>
            </w:r>
          </w:p>
        </w:tc>
      </w:tr>
      <w:tr>
        <w:trPr>
          <w:trHeight w:val="33"/>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2,901</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2,708</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2,498</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2,143</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902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2,680</w:t>
            </w:r>
          </w:p>
        </w:tc>
      </w:tr>
      <w:tr>
        <w:trPr>
          <w:trHeight w:val="27"/>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13,832</w:t>
            </w:r>
          </w:p>
        </w:tc>
      </w:tr>
      <w:tr>
        <w:trPr>
          <w:trHeight w:val="20"/>
        </w:trPr>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 and Other Current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liabilities and other current liabilities for the periods presented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19,014</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16,431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Professional services, consulting and other vendor fees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17,461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15,674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4,924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5,259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Contingent earn-out (Note 8)</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2,338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3,385</w:t>
            </w:r>
          </w:p>
        </w:tc>
      </w:tr>
      <w:tr>
        <w:trPr>
          <w:trHeight w:val="257"/>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50,662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48,011</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AdvantageTec Inc.</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 There was approximately $0.6 million of acquisition costs, which is included in general and administrative expenses in the Company's consolidated statements of operations and deferred tax liability of $0.5 million. The net book value of acquired assets and liabilities resulted in a net liability $0.1 million.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ind w:firstLine="248"/>
        <w:spacing w:after="0" w:line="277" w:lineRule="auto"/>
        <w:rPr>
          <w:sz w:val="20"/>
          <w:szCs w:val="20"/>
          <w:color w:val="auto"/>
        </w:rPr>
      </w:pPr>
      <w:r>
        <w:rPr>
          <w:rFonts w:ascii="Arial" w:cs="Arial" w:eastAsia="Arial" w:hAnsi="Arial"/>
          <w:sz w:val="18"/>
          <w:szCs w:val="18"/>
          <w:color w:val="auto"/>
        </w:rPr>
        <w:t>AdvtangeTec, Inc. enhances the Company’s messaging platform available for the automotive industry and will be included in the Company's business segment. The results of this acquisition were not significant to the results of operations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Conversable, Inc.</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aggregated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This transaction was accounted for under the purchase method of accounting and was based upon the estimated fair value of Conversable, Inc.'s net tangible and identifiable intangible assets as of the date of acquisition.</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$0.3 million, which includes accounts receivable, property and equipment, accrued expenses, and deferred revenue.</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will be included in the Company's business segment. The results of this acquisition were not significant to the results of operations for the year ended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BotCentral, Inc.</w:t>
      </w:r>
    </w:p>
    <w:p>
      <w:pPr>
        <w:spacing w:after="0" w:line="3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2018, the Company acquired the employees and technology assets of BotCentral, Inc.,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team's expertise and knowledge of the LiveEngage platform, the team is bringing valuable insight for the Company's customers and partners, and enabling the company to more rapidly optimize its bot deployment capabilities, and grow the ecosystem. BotCentral, Inc will be included in the Company's business segment. The results of this acquisition were not significant to the results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6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9"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2018 and December 31, 2017, are summarized as follows (amounts in thousands). The Company did not have any restricted cash balance as of December 31, 2018. The Company's restricted cash balance of $1.5 million at December 31, 2017 is not held in a money market account and is not included in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2,828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2,828</w:t>
            </w: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2,806</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2,828</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2,828</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2,806</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2,871</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Contingent earn-out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2,372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w:t>
            </w:r>
          </w:p>
        </w:tc>
      </w:tr>
      <w:tr>
        <w:trPr>
          <w:trHeight w:val="244"/>
        </w:trPr>
        <w:tc>
          <w:tcPr>
            <w:tcW w:w="35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2,372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2,372</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year ended December 31, 2017, the final payment of $0.2 million was made in connection with contingent earnout recorded as a result of the acquisition of Synchronite based on the fulfillment of a complete product integration and a minimum number of “Co-Browse” interactions per month. During the year ended December 31, 2018, the contingent earnouts totaling $2.4 million were added as a result of the acquisitions of Conversable, Inc and AdvantageTec, Inc. The earn-outs are contingent upon achieving certain targeted financial, strategic and integration objectives and milestones relating.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Contingent Earn-Out</w:t>
            </w:r>
          </w:p>
        </w:tc>
        <w:tc>
          <w:tcPr>
            <w:tcW w:w="480" w:type="dxa"/>
            <w:vAlign w:val="bottom"/>
            <w:tcBorders>
              <w:bottom w:val="single" w:sz="8" w:color="auto"/>
            </w:tcBorders>
          </w:tcPr>
          <w:p>
            <w:pPr>
              <w:spacing w:after="0"/>
              <w:rPr>
                <w:sz w:val="16"/>
                <w:szCs w:val="16"/>
                <w:color w:val="auto"/>
              </w:rPr>
            </w:pPr>
          </w:p>
        </w:tc>
      </w:tr>
      <w:tr>
        <w:trPr>
          <w:trHeight w:val="250"/>
        </w:trPr>
        <w:tc>
          <w:tcPr>
            <w:tcW w:w="85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21"/>
                <w:szCs w:val="21"/>
                <w:color w:val="auto"/>
              </w:rPr>
            </w:pPr>
          </w:p>
        </w:tc>
      </w:tr>
      <w:tr>
        <w:trPr>
          <w:trHeight w:val="264"/>
        </w:trPr>
        <w:tc>
          <w:tcPr>
            <w:tcW w:w="8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Conversable, Inc. addition (see Note 7)</w:t>
            </w:r>
          </w:p>
        </w:tc>
        <w:tc>
          <w:tcPr>
            <w:tcW w:w="84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w w:val="88"/>
              </w:rPr>
              <w:t>1,496</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AdvantageTec, Inc. addition (see Note 7)</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Cash payment</w:t>
            </w:r>
          </w:p>
        </w:tc>
        <w:tc>
          <w:tcPr>
            <w:tcW w:w="8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(210)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2,372</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exchange risks that are managed in part by using derivative financial instruments. The Company enters into foreign currency forward contracts related to risks associated with foreign operations. The Company does not use derivatives for trading purposes and at December 31, 2018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the Company is not party to any foreign currency forward contracts and does not have any restricted cash balance. At December 31, 2017, in accordance with the foreign currency forward contracts, the Company was required to pledge cash as collateral security to be maintained at an Israeli bank. The collateral security would remain in control of the bank, to be available in order to satisfy outstanding obligations under the foreign currency forward contracts. Accordingly, the Company had cash at an Israeli bank of approximately $1.5 million at December 31, 2017, which was recorded as cash held as collateral in current assets.</w:t>
      </w:r>
    </w:p>
    <w:p>
      <w:pPr>
        <w:spacing w:after="0" w:line="18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Notional amount of foreign currency derivative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68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Fair value of foreign currency derivatives contracts</w:t>
            </w:r>
          </w:p>
        </w:tc>
        <w:tc>
          <w:tcPr>
            <w:tcW w:w="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gridSpan w:val="2"/>
            <w:shd w:val="clear" w:color="auto" w:fill="CCFFCC"/>
          </w:tcPr>
          <w:p>
            <w:pPr>
              <w:ind w:left="14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74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940" w:type="dxa"/>
            <w:vAlign w:val="bottom"/>
            <w:gridSpan w:val="3"/>
          </w:tcPr>
          <w:p>
            <w:pPr>
              <w:spacing w:after="0"/>
              <w:rPr>
                <w:sz w:val="20"/>
                <w:szCs w:val="20"/>
                <w:color w:val="auto"/>
              </w:rPr>
            </w:pPr>
            <w:r>
              <w:rPr>
                <w:rFonts w:ascii="Arial" w:cs="Arial" w:eastAsia="Arial" w:hAnsi="Arial"/>
                <w:sz w:val="18"/>
                <w:szCs w:val="18"/>
                <w:color w:val="auto"/>
                <w:w w:val="94"/>
              </w:rPr>
              <w:t>The fair value of the Company’s derivative instruments is summarized below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760" w:type="dxa"/>
            <w:vAlign w:val="bottom"/>
            <w:tcBorders>
              <w:bottom w:val="single" w:sz="8" w:color="auto"/>
            </w:tcBorders>
            <w:gridSpan w:val="6"/>
          </w:tcPr>
          <w:p>
            <w:pPr>
              <w:ind w:left="2860"/>
              <w:spacing w:after="0"/>
              <w:rPr>
                <w:sz w:val="20"/>
                <w:szCs w:val="20"/>
                <w:color w:val="auto"/>
              </w:rPr>
            </w:pPr>
            <w:r>
              <w:rPr>
                <w:rFonts w:ascii="Arial" w:cs="Arial" w:eastAsia="Arial" w:hAnsi="Arial"/>
                <w:sz w:val="14"/>
                <w:szCs w:val="14"/>
                <w:b w:val="1"/>
                <w:bCs w:val="1"/>
                <w:color w:val="auto"/>
              </w:rPr>
              <w:t>Fair Value of Derivative Instruments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CCFFCC"/>
            </w:tcBorders>
          </w:tcPr>
          <w:p>
            <w:pPr>
              <w:spacing w:after="0"/>
              <w:rPr>
                <w:sz w:val="22"/>
                <w:szCs w:val="22"/>
                <w:color w:val="auto"/>
              </w:rPr>
            </w:pPr>
          </w:p>
        </w:tc>
        <w:tc>
          <w:tcPr>
            <w:tcW w:w="3340" w:type="dxa"/>
            <w:vAlign w:val="bottom"/>
            <w:tcBorders>
              <w:bottom w:val="single" w:sz="8" w:color="CCFFCC"/>
            </w:tcBorders>
          </w:tcPr>
          <w:p>
            <w:pPr>
              <w:spacing w:after="0"/>
              <w:rPr>
                <w:sz w:val="22"/>
                <w:szCs w:val="22"/>
                <w:color w:val="auto"/>
              </w:rPr>
            </w:pPr>
          </w:p>
        </w:tc>
        <w:tc>
          <w:tcPr>
            <w:tcW w:w="3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Assets</w:t>
            </w:r>
          </w:p>
        </w:tc>
        <w:tc>
          <w:tcPr>
            <w:tcW w:w="3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shd w:val="clear" w:color="auto" w:fill="CCFFCC"/>
          </w:tcPr>
          <w:p>
            <w:pPr>
              <w:spacing w:after="0"/>
              <w:rPr>
                <w:sz w:val="19"/>
                <w:szCs w:val="19"/>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Foreign currency derivatives</w:t>
            </w:r>
          </w:p>
        </w:tc>
        <w:tc>
          <w:tcPr>
            <w:tcW w:w="3500" w:type="dxa"/>
            <w:vAlign w:val="bottom"/>
            <w:shd w:val="clear" w:color="auto" w:fill="CCFFCC"/>
          </w:tcPr>
          <w:p>
            <w:pPr>
              <w:spacing w:after="0"/>
              <w:rPr>
                <w:sz w:val="19"/>
                <w:szCs w:val="19"/>
                <w:color w:val="auto"/>
              </w:rPr>
            </w:pPr>
          </w:p>
        </w:tc>
        <w:tc>
          <w:tcPr>
            <w:tcW w:w="440" w:type="dxa"/>
            <w:vAlign w:val="bottom"/>
            <w:gridSpan w:val="3"/>
            <w:vMerge w:val="restart"/>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2"/>
            <w:vMerge w:val="restart"/>
            <w:shd w:val="clear" w:color="auto" w:fill="CCFFCC"/>
          </w:tcPr>
          <w:p>
            <w:pPr>
              <w:ind w:left="1600"/>
              <w:spacing w:after="0"/>
              <w:rPr>
                <w:sz w:val="20"/>
                <w:szCs w:val="20"/>
                <w:color w:val="auto"/>
              </w:rPr>
            </w:pPr>
            <w:r>
              <w:rPr>
                <w:rFonts w:ascii="Arial" w:cs="Arial" w:eastAsia="Arial" w:hAnsi="Arial"/>
                <w:sz w:val="18"/>
                <w:szCs w:val="18"/>
                <w:color w:val="auto"/>
              </w:rPr>
              <w:t>—</w:t>
            </w:r>
          </w:p>
        </w:tc>
        <w:tc>
          <w:tcPr>
            <w:tcW w:w="380" w:type="dxa"/>
            <w:vAlign w:val="bottom"/>
            <w:gridSpan w:val="3"/>
            <w:vMerge w:val="restart"/>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shd w:val="clear" w:color="auto" w:fill="CCFFCC"/>
          </w:tcPr>
          <w:p>
            <w:pPr>
              <w:spacing w:after="0"/>
              <w:rPr>
                <w:sz w:val="20"/>
                <w:szCs w:val="20"/>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contracts</w:t>
            </w:r>
          </w:p>
        </w:tc>
        <w:tc>
          <w:tcPr>
            <w:tcW w:w="3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gridSpan w:val="3"/>
            <w:vMerge w:val="continue"/>
            <w:shd w:val="clear" w:color="auto" w:fill="CCFFCC"/>
          </w:tcPr>
          <w:p>
            <w:pPr>
              <w:spacing w:after="0"/>
              <w:rPr>
                <w:sz w:val="20"/>
                <w:szCs w:val="20"/>
                <w:color w:val="auto"/>
              </w:rPr>
            </w:pPr>
          </w:p>
        </w:tc>
        <w:tc>
          <w:tcPr>
            <w:tcW w:w="1820" w:type="dxa"/>
            <w:vAlign w:val="bottom"/>
            <w:gridSpan w:val="2"/>
            <w:vMerge w:val="continue"/>
            <w:shd w:val="clear" w:color="auto" w:fill="CCFFCC"/>
          </w:tcPr>
          <w:p>
            <w:pPr>
              <w:spacing w:after="0"/>
              <w:rPr>
                <w:sz w:val="20"/>
                <w:szCs w:val="20"/>
                <w:color w:val="auto"/>
              </w:rPr>
            </w:pPr>
          </w:p>
        </w:tc>
        <w:tc>
          <w:tcPr>
            <w:tcW w:w="380" w:type="dxa"/>
            <w:vAlign w:val="bottom"/>
            <w:gridSpan w:val="3"/>
            <w:vMerge w:val="continue"/>
            <w:shd w:val="clear" w:color="auto" w:fill="CCFFCC"/>
          </w:tcPr>
          <w:p>
            <w:pPr>
              <w:spacing w:after="0"/>
              <w:rPr>
                <w:sz w:val="20"/>
                <w:szCs w:val="20"/>
                <w:color w:val="auto"/>
              </w:rPr>
            </w:pPr>
          </w:p>
        </w:tc>
        <w:tc>
          <w:tcPr>
            <w:tcW w:w="1740" w:type="dxa"/>
            <w:vAlign w:val="bottom"/>
            <w:vMerge w:val="continue"/>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FFCC"/>
            </w:tcBorders>
            <w:gridSpan w:val="2"/>
          </w:tcPr>
          <w:p>
            <w:pPr>
              <w:spacing w:after="0" w:line="20" w:lineRule="exact"/>
              <w:rPr>
                <w:sz w:val="1"/>
                <w:szCs w:val="1"/>
                <w:color w:val="auto"/>
              </w:rPr>
            </w:pPr>
          </w:p>
        </w:tc>
        <w:tc>
          <w:tcPr>
            <w:tcW w:w="35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3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shd w:val="clear" w:color="auto" w:fill="CCFFCC"/>
          </w:tcPr>
          <w:p>
            <w:pPr>
              <w:spacing w:after="0"/>
              <w:rPr>
                <w:sz w:val="19"/>
                <w:szCs w:val="19"/>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Foreign currency derivatives</w:t>
            </w:r>
          </w:p>
        </w:tc>
        <w:tc>
          <w:tcPr>
            <w:tcW w:w="3500" w:type="dxa"/>
            <w:vAlign w:val="bottom"/>
            <w:shd w:val="clear" w:color="auto" w:fill="CCFFCC"/>
          </w:tcPr>
          <w:p>
            <w:pPr>
              <w:spacing w:after="0"/>
              <w:rPr>
                <w:sz w:val="19"/>
                <w:szCs w:val="19"/>
                <w:color w:val="auto"/>
              </w:rPr>
            </w:pPr>
          </w:p>
        </w:tc>
        <w:tc>
          <w:tcPr>
            <w:tcW w:w="440" w:type="dxa"/>
            <w:vAlign w:val="bottom"/>
            <w:gridSpan w:val="3"/>
            <w:vMerge w:val="restart"/>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2"/>
            <w:vMerge w:val="restart"/>
            <w:shd w:val="clear" w:color="auto" w:fill="CCFFCC"/>
          </w:tcPr>
          <w:p>
            <w:pPr>
              <w:ind w:left="1600"/>
              <w:spacing w:after="0"/>
              <w:rPr>
                <w:sz w:val="20"/>
                <w:szCs w:val="20"/>
                <w:color w:val="auto"/>
              </w:rPr>
            </w:pPr>
            <w:r>
              <w:rPr>
                <w:rFonts w:ascii="Arial" w:cs="Arial" w:eastAsia="Arial" w:hAnsi="Arial"/>
                <w:sz w:val="18"/>
                <w:szCs w:val="18"/>
                <w:color w:val="auto"/>
              </w:rPr>
              <w:t>—</w:t>
            </w:r>
          </w:p>
        </w:tc>
        <w:tc>
          <w:tcPr>
            <w:tcW w:w="380" w:type="dxa"/>
            <w:vAlign w:val="bottom"/>
            <w:gridSpan w:val="3"/>
            <w:vMerge w:val="restart"/>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contracts</w:t>
            </w:r>
          </w:p>
        </w:tc>
        <w:tc>
          <w:tcPr>
            <w:tcW w:w="3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40" w:type="dxa"/>
            <w:vAlign w:val="bottom"/>
            <w:gridSpan w:val="3"/>
            <w:vMerge w:val="continue"/>
            <w:shd w:val="clear" w:color="auto" w:fill="CCFFCC"/>
          </w:tcPr>
          <w:p>
            <w:pPr>
              <w:spacing w:after="0"/>
              <w:rPr>
                <w:sz w:val="20"/>
                <w:szCs w:val="20"/>
                <w:color w:val="auto"/>
              </w:rPr>
            </w:pPr>
          </w:p>
        </w:tc>
        <w:tc>
          <w:tcPr>
            <w:tcW w:w="1820" w:type="dxa"/>
            <w:vAlign w:val="bottom"/>
            <w:gridSpan w:val="2"/>
            <w:vMerge w:val="continue"/>
            <w:shd w:val="clear" w:color="auto" w:fill="CCFFCC"/>
          </w:tcPr>
          <w:p>
            <w:pPr>
              <w:spacing w:after="0"/>
              <w:rPr>
                <w:sz w:val="20"/>
                <w:szCs w:val="20"/>
                <w:color w:val="auto"/>
              </w:rPr>
            </w:pPr>
          </w:p>
        </w:tc>
        <w:tc>
          <w:tcPr>
            <w:tcW w:w="380" w:type="dxa"/>
            <w:vAlign w:val="bottom"/>
            <w:gridSpan w:val="3"/>
            <w:vMerge w:val="continue"/>
            <w:shd w:val="clear" w:color="auto" w:fill="CCFFCC"/>
          </w:tcPr>
          <w:p>
            <w:pPr>
              <w:spacing w:after="0"/>
              <w:rPr>
                <w:sz w:val="20"/>
                <w:szCs w:val="20"/>
                <w:color w:val="auto"/>
              </w:rPr>
            </w:pPr>
          </w:p>
        </w:tc>
        <w:tc>
          <w:tcPr>
            <w:tcW w:w="1740" w:type="dxa"/>
            <w:vAlign w:val="bottom"/>
            <w:vMerge w:val="continue"/>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FFCC"/>
            </w:tcBorders>
          </w:tcPr>
          <w:p>
            <w:pPr>
              <w:spacing w:after="0" w:line="20" w:lineRule="exact"/>
              <w:rPr>
                <w:sz w:val="1"/>
                <w:szCs w:val="1"/>
                <w:color w:val="auto"/>
              </w:rPr>
            </w:pPr>
          </w:p>
        </w:tc>
        <w:tc>
          <w:tcPr>
            <w:tcW w:w="3340" w:type="dxa"/>
            <w:vAlign w:val="bottom"/>
            <w:tcBorders>
              <w:top w:val="single" w:sz="8" w:color="CCFFCC"/>
            </w:tcBorders>
          </w:tcPr>
          <w:p>
            <w:pPr>
              <w:spacing w:after="0" w:line="20" w:lineRule="exact"/>
              <w:rPr>
                <w:sz w:val="1"/>
                <w:szCs w:val="1"/>
                <w:color w:val="auto"/>
              </w:rPr>
            </w:pPr>
          </w:p>
        </w:tc>
        <w:tc>
          <w:tcPr>
            <w:tcW w:w="35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certain information regarding the Company’s derivatives that are not designated or are not effective as hedges (in thousands):</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7640" w:type="dxa"/>
            <w:vAlign w:val="bottom"/>
            <w:tcBorders>
              <w:bottom w:val="single" w:sz="8" w:color="auto"/>
            </w:tcBorders>
            <w:gridSpan w:val="7"/>
          </w:tcPr>
          <w:p>
            <w:pPr>
              <w:jc w:val="right"/>
              <w:ind w:right="1499"/>
              <w:spacing w:after="0"/>
              <w:rPr>
                <w:sz w:val="20"/>
                <w:szCs w:val="20"/>
                <w:color w:val="auto"/>
              </w:rPr>
            </w:pPr>
            <w:r>
              <w:rPr>
                <w:rFonts w:ascii="Arial" w:cs="Arial" w:eastAsia="Arial" w:hAnsi="Arial"/>
                <w:sz w:val="14"/>
                <w:szCs w:val="14"/>
                <w:b w:val="1"/>
                <w:bCs w:val="1"/>
                <w:color w:val="auto"/>
              </w:rPr>
              <w:t>Gain (losses) on Derivative Instruments Recognized in Income Statement</w:t>
            </w:r>
          </w:p>
        </w:tc>
      </w:tr>
      <w:tr>
        <w:trPr>
          <w:trHeight w:val="264"/>
        </w:trPr>
        <w:tc>
          <w:tcPr>
            <w:tcW w:w="3780" w:type="dxa"/>
            <w:vAlign w:val="bottom"/>
            <w:tcBorders>
              <w:bottom w:val="single" w:sz="8" w:color="CCFFCC"/>
            </w:tcBorders>
          </w:tcPr>
          <w:p>
            <w:pPr>
              <w:spacing w:after="0"/>
              <w:rPr>
                <w:sz w:val="22"/>
                <w:szCs w:val="22"/>
                <w:color w:val="auto"/>
              </w:rPr>
            </w:pPr>
          </w:p>
        </w:tc>
        <w:tc>
          <w:tcPr>
            <w:tcW w:w="33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December 31, 2017</w:t>
            </w:r>
          </w:p>
        </w:tc>
      </w:tr>
      <w:tr>
        <w:trPr>
          <w:trHeight w:val="263"/>
        </w:trPr>
        <w:tc>
          <w:tcPr>
            <w:tcW w:w="3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currency derivatives contracts</w:t>
            </w:r>
          </w:p>
        </w:tc>
        <w:tc>
          <w:tcPr>
            <w:tcW w:w="34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8"/>
                <w:szCs w:val="18"/>
                <w:color w:val="auto"/>
              </w:rPr>
              <w:t>236</w:t>
            </w:r>
          </w:p>
        </w:tc>
      </w:tr>
      <w:tr>
        <w:trPr>
          <w:trHeight w:val="20"/>
        </w:trPr>
        <w:tc>
          <w:tcPr>
            <w:tcW w:w="3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years ended December 31, 2018, 2017, and 2016 was approximately $10.9 million, $9.9 million and $10.0 million, respectively.</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an initial or remaining lease terms in excess of one year) are as follows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9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Leases</w:t>
            </w:r>
          </w:p>
        </w:tc>
      </w:tr>
      <w:tr>
        <w:trPr>
          <w:trHeight w:val="33"/>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8,488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6,139</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5,477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2,649</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883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61</w:t>
            </w:r>
          </w:p>
        </w:tc>
      </w:tr>
      <w:tr>
        <w:trPr>
          <w:trHeight w:val="27"/>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23,697</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other noncurrent liabilities in the consolidated balance sheet include unrecognized tax benefits. As of December 31, 2018, we had gross unrecognized tax benefits of $1.9 million. At this time, we are unable to make a reasonably reliable estimate of the timing of payments in individual years in connection with these tax liabilities; therefore, such amounts are not included in the above contractual obligation table.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Total Company matching contributions were $1.6 million, $1.4 million, and $1.3 million for the years ended for the year ended December 31, 2018, 2017 and 2016,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Currently, the Company has no liabilities recorded for these agreements as of December 31, 2018.</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the Company has a $1.8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year ended December 31, 2018.</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2018, there were 100,000,000 shares of common stock authorized, and 63,676,229 shares issued and outstanding. As of December 31, 2017, there were 100,000,000 shares of common stock authorized, and 59,663,969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and 2017,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years ended December 31, 2018, 2017 and 2016 was $6.60, $4.25, and $3.10, respectively. The fair value of each option grant is estimated on the date of grant using the Black-Scholes option-pricing model with the following weighted average assumptions for the years ended December 31, 2018, 2017 and 2016: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7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FFCC"/>
            </w:tcBorders>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FFCC"/>
            </w:tcBorders>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2.5% – 3.1%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1.7% – 2.1%</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 – 1.8%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Expected life (in years)</w:t>
            </w:r>
          </w:p>
        </w:tc>
        <w:tc>
          <w:tcPr>
            <w:tcW w:w="15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Historical volatility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43.5% – 48.4%</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46.6% – 48.1%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46.8% – 48.2%</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stock-based-based compensation awards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w:t>
      </w:r>
    </w:p>
    <w:p>
      <w:pPr>
        <w:spacing w:after="0" w:line="4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On June 2, 2017, the Company's Board of Directors amended and restated the Amended 2009 Plan effective April 30, 2017. The amended and restated plan increased the number of shares authorized for issuance under the plan by an additional 4,000,000, thereby reserving for issuance 23,817,744 shares of common stock in the aggregate. Options to acquire common stock granted thereunder have 10-year terms. As of December 31, 2018, approximately 2.7 million shares of common stock were remaining authorized for issuance under the 2009 Plan (taking into account all option exercises through December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December 31, 2018, approximately 0.9 million shares of common stock were reserved for issuance under the Employee Stock Purchase Plan (taking into account all share purchases through December 31,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January 2018, the Company established the Inducement Plan (the “2018 Plan”). Under the 2018 Plan, the Board of Directors can issue incentive stock options or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thereby reserving for issuance 2,000,000 shares of common stock in the aggregate. As of December 31, 2018, approximately 0.1 million shares of common stock were reserved for issuance under the Amended 2018 Plan (taking into account all option grants and other equity award settlements through December 31, 2018).</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0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92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Remaining Contractual</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 (in</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Exercise Price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Term (in years)</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thousands)</w:t>
            </w:r>
          </w:p>
        </w:tc>
      </w:tr>
      <w:tr>
        <w:trPr>
          <w:trHeight w:val="33"/>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Balance outstanding at December 31, 2015</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9,144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r>
      <w:tr>
        <w:trPr>
          <w:trHeight w:val="297"/>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2016</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2,641</w:t>
            </w:r>
          </w:p>
        </w:tc>
      </w:tr>
      <w:tr>
        <w:trPr>
          <w:trHeight w:val="251"/>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7,348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2,529</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1"/>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2016</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5,580</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2,347</w:t>
            </w:r>
          </w:p>
        </w:tc>
      </w:tr>
      <w:tr>
        <w:trPr>
          <w:trHeight w:val="284"/>
        </w:trPr>
        <w:tc>
          <w:tcPr>
            <w:tcW w:w="492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8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Balance outstanding at December 31, 2016</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r>
      <w:tr>
        <w:trPr>
          <w:trHeight w:val="297"/>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2017</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7,959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14,881</w:t>
            </w:r>
          </w:p>
        </w:tc>
      </w:tr>
      <w:tr>
        <w:trPr>
          <w:trHeight w:val="251"/>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7,163</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13,197</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1"/>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2017</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8,648</w:t>
            </w:r>
          </w:p>
        </w:tc>
      </w:tr>
      <w:tr>
        <w:trPr>
          <w:trHeight w:val="284"/>
        </w:trPr>
        <w:tc>
          <w:tcPr>
            <w:tcW w:w="492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8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Balance outstanding at December 31, 2017</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7,959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r>
      <w:tr>
        <w:trPr>
          <w:trHeight w:val="297"/>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2018</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6,266</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43,348</w:t>
            </w:r>
          </w:p>
        </w:tc>
      </w:tr>
      <w:tr>
        <w:trPr>
          <w:trHeight w:val="251"/>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5,550</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39,521</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Options exercisable at December 31, 2018</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25,367</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fair value of stock options exercised during the years ended December 31, 2018 and 2017 was approximately $16.1 million and $3.7 million, respectively. As of December 31, 2018, there was approximately $14.4 million of total unrecognized compensation cost related to nonvested share-based compensation arrangements. That cost is expected to be recognized over a weighted average period of approximately 2.7 years.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December 31,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 Shares</w:t>
            </w: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right"/>
              <w:ind w:right="9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$1.79 - $7.60</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1,081</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570</w:t>
            </w:r>
          </w:p>
        </w:tc>
        <w:tc>
          <w:tcPr>
            <w:tcW w:w="26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$7.95 - $9.55</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$9.90 - $10.13</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640</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10.09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$10.31 - $11.96</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660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$12.09 - $12.32</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39</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12.29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$12.45 - $12.45</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930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$12.46 - $13.59</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684</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13.31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$14.30 - $15.96</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14.97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$16.05 - $21.75</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770</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$22.04 - $23.50</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6,266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3,278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11.12</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640" w:type="dxa"/>
            <w:vAlign w:val="bottom"/>
            <w:gridSpan w:val="5"/>
          </w:tcPr>
          <w:p>
            <w:pPr>
              <w:ind w:left="74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 Shares (in</w:t>
            </w: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Aggregate Fair Value (in</w:t>
            </w:r>
          </w:p>
        </w:tc>
      </w:tr>
      <w:tr>
        <w:trPr>
          <w:trHeight w:val="210"/>
        </w:trPr>
        <w:tc>
          <w:tcPr>
            <w:tcW w:w="58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51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2015</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6,220</w:t>
            </w: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2016</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8,968</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2016</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8,968</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2017</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10,053</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2017</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10,053</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2018</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2,690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50,756</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35,357</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As of December 31, 2018, total unrecognized compensation cost, adjusted for estimated forfeitures, related to nonvested RSUs was approximately $37.9 million and the weighted-average remaining vesting period was 2.8 years.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Australia deferred tax asset as it considered its cumulative loss in recent years as a significant piece of negative evidence. Since valuation allowances are evaluated on a jurisdiction by jurisdiction basis, we believe that the deferred tax assets related to LivePerson UK, Kasamba Israel, LivePerson Japan and LivePerson LTD Israel are more likely than not to be realized as these jurisdictions have positive cumulative pre-tax book income after adjusting for permanent and onetime items. During the year ended December 31, 2018, there was an increase in the valuation recorded of $6.9 million.</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Section 382 of the Internal Revenue Code of 1986, as amended (the "Code"), the Company’s use of its federal net operating loss (“NOL”) carryforwards may be limited if the Company experiences an ownership change, as defined in Section 382 of the Code. Such an annual limitation could result in the expiration of the NOL carryforwards before utilization. Corresponding provisions of state law may limit the Company’s ability to utilize NOL carryforwards for state tax purposes. As of December 31, 2018, the Company had approximately $73.0 million of federal NOL carryforwards available to offset future taxable income. Included in this amount is $5.1 million of federal NOL carryovers from the Company’s acquisition of Proficient. Approximately $32.8 million of these federal NOL carryforwards were generated in taxable years ending on or before December 31, 2017 and will expire in various years through 2027. Federal NOL carryforwards generated in taxable years ending after December 31, 2017, do not expire, but generally may only offset up to 80% of federal taxable income earned in a taxable year.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(loss) before provision for income taxes consist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(38,078)</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(25,585)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(40,774)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Israel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15,622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3,104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453</w:t>
            </w:r>
          </w:p>
        </w:tc>
      </w:tr>
      <w:tr>
        <w:trPr>
          <w:trHeight w:val="237"/>
        </w:trPr>
        <w:tc>
          <w:tcPr>
            <w:tcW w:w="67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38" w:lineRule="exact"/>
        <w:rPr>
          <w:sz w:val="20"/>
          <w:szCs w:val="20"/>
          <w:color w:val="auto"/>
        </w:rPr>
      </w:pPr>
    </w:p>
    <w:p>
      <w:pPr>
        <w:ind w:left="220" w:hanging="185"/>
        <w:spacing w:after="0"/>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Includes Japan, Italy, Singapore, Canada, and France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consists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income taxes:</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State and local</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3,032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2,226</w:t>
            </w:r>
          </w:p>
        </w:tc>
      </w:tr>
      <w:tr>
        <w:trPr>
          <w:trHeight w:val="27"/>
        </w:trPr>
        <w:tc>
          <w:tcPr>
            <w:tcW w:w="67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current income taxes</w:t>
            </w:r>
          </w:p>
        </w:tc>
        <w:tc>
          <w:tcPr>
            <w:tcW w:w="92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w w:val="97"/>
              </w:rPr>
              <w:t>1,167</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4,082</w:t>
            </w:r>
          </w:p>
        </w:tc>
      </w:tr>
      <w:tr>
        <w:trPr>
          <w:trHeight w:val="534"/>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U.S. Federal</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912</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Total deferred income taxes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1,852</w:t>
            </w:r>
          </w:p>
        </w:tc>
      </w:tr>
      <w:tr>
        <w:trPr>
          <w:trHeight w:val="27"/>
        </w:trPr>
        <w:tc>
          <w:tcPr>
            <w:tcW w:w="67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provision for income taxes</w:t>
            </w:r>
          </w:p>
        </w:tc>
        <w:tc>
          <w:tcPr>
            <w:tcW w:w="920" w:type="dxa"/>
            <w:vAlign w:val="bottom"/>
            <w:tcBorders>
              <w:bottom w:val="single" w:sz="8" w:color="auto"/>
            </w:tcBorders>
            <w:shd w:val="clear" w:color="auto" w:fill="CCFFCC"/>
          </w:tcPr>
          <w:p>
            <w:pPr>
              <w:jc w:val="right"/>
              <w:ind w:right="7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5,934</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total income taxes computed at the federal statutory rate and the provision for income taxes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20" w:type="dxa"/>
            <w:vAlign w:val="bottom"/>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364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2018</w:t>
            </w:r>
          </w:p>
        </w:tc>
        <w:tc>
          <w:tcPr>
            <w:tcW w:w="16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FFCC"/>
            </w:tcBorders>
          </w:tcPr>
          <w:p>
            <w:pPr>
              <w:spacing w:after="0"/>
              <w:rPr>
                <w:sz w:val="2"/>
                <w:szCs w:val="2"/>
                <w:color w:val="auto"/>
              </w:rPr>
            </w:pPr>
          </w:p>
        </w:tc>
        <w:tc>
          <w:tcPr>
            <w:tcW w:w="2080" w:type="dxa"/>
            <w:vAlign w:val="bottom"/>
            <w:tcBorders>
              <w:bottom w:val="single" w:sz="8" w:color="CCFFC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Federal statutory rate</w:t>
            </w:r>
          </w:p>
        </w:tc>
        <w:tc>
          <w:tcPr>
            <w:tcW w:w="36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21.00 %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3.30 %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4.09 %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ISO</w:t>
            </w:r>
          </w:p>
        </w:tc>
        <w:tc>
          <w:tcPr>
            <w:tcW w:w="36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4.73 %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Global intangible low tax income inclusion</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020" w:type="dxa"/>
            <w:vAlign w:val="bottom"/>
            <w:gridSpan w:val="3"/>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Other</w:t>
            </w:r>
          </w:p>
        </w:tc>
        <w:tc>
          <w:tcPr>
            <w:tcW w:w="36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Foreign tax rate differential</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Change in valuation allowance</w:t>
            </w:r>
          </w:p>
        </w:tc>
        <w:tc>
          <w:tcPr>
            <w:tcW w:w="36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(28.91)%</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26.12 %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6.10 %</w:t>
            </w:r>
          </w:p>
        </w:tc>
        <w:tc>
          <w:tcPr>
            <w:tcW w:w="100" w:type="dxa"/>
            <w:vAlign w:val="bottom"/>
          </w:tcPr>
          <w:p>
            <w:pPr>
              <w:spacing w:after="0"/>
              <w:rPr>
                <w:sz w:val="21"/>
                <w:szCs w:val="21"/>
                <w:color w:val="auto"/>
              </w:rPr>
            </w:pPr>
          </w:p>
        </w:tc>
        <w:tc>
          <w:tcPr>
            <w:tcW w:w="2020" w:type="dxa"/>
            <w:vAlign w:val="bottom"/>
            <w:gridSpan w:val="3"/>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Return to provision true-up adjustment</w:t>
            </w:r>
          </w:p>
        </w:tc>
        <w:tc>
          <w:tcPr>
            <w:tcW w:w="208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FFCC"/>
            </w:tcBorders>
            <w:shd w:val="clear" w:color="auto" w:fill="CCFFCC"/>
          </w:tcPr>
          <w:p>
            <w:pPr>
              <w:spacing w:after="0"/>
              <w:rPr>
                <w:sz w:val="21"/>
                <w:szCs w:val="21"/>
                <w:color w:val="auto"/>
              </w:rPr>
            </w:pPr>
          </w:p>
        </w:tc>
        <w:tc>
          <w:tcPr>
            <w:tcW w:w="2020" w:type="dxa"/>
            <w:vAlign w:val="bottom"/>
            <w:tcBorders>
              <w:bottom w:val="single" w:sz="8" w:color="CCFFCC"/>
            </w:tcBorders>
            <w:gridSpan w:val="3"/>
            <w:shd w:val="clear" w:color="auto" w:fill="CCFFCC"/>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Effect of new tax legislation</w:t>
            </w:r>
          </w:p>
        </w:tc>
        <w:tc>
          <w:tcPr>
            <w:tcW w:w="20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FFCC"/>
            </w:tcBorders>
            <w:shd w:val="clear" w:color="auto" w:fill="CCFFCC"/>
          </w:tcPr>
          <w:p>
            <w:pPr>
              <w:spacing w:after="0"/>
              <w:rPr>
                <w:sz w:val="23"/>
                <w:szCs w:val="23"/>
                <w:color w:val="auto"/>
              </w:rPr>
            </w:pP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2.09 %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4380" w:type="dxa"/>
            <w:vAlign w:val="bottom"/>
          </w:tcPr>
          <w:p>
            <w:pPr>
              <w:ind w:left="200"/>
              <w:spacing w:after="0"/>
              <w:rPr>
                <w:sz w:val="20"/>
                <w:szCs w:val="20"/>
                <w:color w:val="auto"/>
              </w:rPr>
            </w:pPr>
            <w:r>
              <w:rPr>
                <w:rFonts w:ascii="Arial" w:cs="Arial" w:eastAsia="Arial" w:hAnsi="Arial"/>
                <w:sz w:val="18"/>
                <w:szCs w:val="18"/>
                <w:color w:val="auto"/>
              </w:rPr>
              <w:t>Total provision for income taxes</w:t>
            </w:r>
          </w:p>
        </w:tc>
        <w:tc>
          <w:tcPr>
            <w:tcW w:w="208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80" w:type="dxa"/>
            <w:vAlign w:val="bottom"/>
            <w:vMerge w:val="restart"/>
          </w:tcPr>
          <w:p>
            <w:pPr>
              <w:jc w:val="right"/>
              <w:ind w:right="571"/>
              <w:spacing w:after="0"/>
              <w:rPr>
                <w:sz w:val="20"/>
                <w:szCs w:val="20"/>
                <w:color w:val="auto"/>
              </w:rPr>
            </w:pPr>
            <w:r>
              <w:rPr>
                <w:rFonts w:ascii="Arial" w:cs="Arial" w:eastAsia="Arial" w:hAnsi="Arial"/>
                <w:sz w:val="18"/>
                <w:szCs w:val="18"/>
                <w:color w:val="auto"/>
              </w:rPr>
              <w:t>94</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3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effects of temporary differences and federal NOL carryforwards that give rise to significant portions of federal deferred tax assets and deferred tax liabilities at December 31, 2018 and 2017 are presented below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18,083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Non-cash compensation</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9,597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9,510</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37,710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(30,185)</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(23,260)</w:t>
            </w:r>
          </w:p>
        </w:tc>
        <w:tc>
          <w:tcPr>
            <w:tcW w:w="0" w:type="dxa"/>
            <w:vAlign w:val="bottom"/>
          </w:tcPr>
          <w:p>
            <w:pPr>
              <w:spacing w:after="0"/>
              <w:rPr>
                <w:sz w:val="1"/>
                <w:szCs w:val="1"/>
                <w:color w:val="auto"/>
              </w:rPr>
            </w:pPr>
          </w:p>
        </w:tc>
      </w:tr>
      <w:tr>
        <w:trPr>
          <w:trHeight w:val="237"/>
        </w:trPr>
        <w:tc>
          <w:tcPr>
            <w:tcW w:w="8320" w:type="dxa"/>
            <w:vAlign w:val="bottom"/>
          </w:tcPr>
          <w:p>
            <w:pPr>
              <w:ind w:left="40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Goodwill amortization and contingent earn-out adjustments</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income tax NOL carryforwards related to federal and Australian income tax carryforwards of $74.2 million and $5.3 million respectively. The Australian NOLs can be carried forward indefinitely. $39.2 million of the federal NOL can be carried forward indefinitely. $6.0 million will expire between 2023 and 2026, and $28.9 million will expire between 2036 and 2037.</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Topic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$1.9 million and $4.9 million as of December 31, 2018 and 2017, respectively. Accrued interest and penalties included in the Company's liability related to unrecognized tax benefits were immaterial at December 31, 2018 and 2017.</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it is reasonably possible that approximately $0.5 million of current other remaining unrecognized tax benefits, each of which are individually insignificant, may be recognized by the end of 2019 as a result of a lapse of the statute of limitations.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33"/>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Unrecognized tax benefits balance at January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4,240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increase for tax positions of prior years</w:t>
            </w:r>
          </w:p>
        </w:tc>
        <w:tc>
          <w:tcPr>
            <w:tcW w:w="3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Gross increase for tax positions of current years</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684</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Decrease due to expiration of statue</w:t>
            </w:r>
          </w:p>
        </w:tc>
        <w:tc>
          <w:tcPr>
            <w:tcW w:w="34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Decrease due to settlement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Gross unrecognized tax benefits at December 31</w:t>
            </w: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4,924</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tax years subject to examination by major tax jurisdictions include the years 2014 and forward for U.S states and New York City, the years 2015 and forward for U.S. Federal, and the years 2014 and forward for certain foreign jurisdictions. The decrease of $3.0 million was related to the settlement of an audit with the Israeli Tax Authority for the years 2013, 2014 and 2015</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1"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Cuts and Jobs Act makes broad and complex changes to the U.S. federal tax laws that affect fiscal 2017, including, but not limited to requiring a one-time repatriation tax on certain unrepatriated earnings of foreign subsidiaries that is payable over eight years (the "Repatriation Tax"). The Tax Cuts and Jobs Act also establishes new tax laws that will affect 2018 and later years, including, but not limited to, a reduction of the U.S. federal corporate income tax rate from a maximum of 34% to a flat rate of 21%, a general elimination of U.S. federal income taxes on certain dividends from foreign subsidiaries and a new provision designed to tax global intangible low-taxed income ("GILTI").</w:t>
      </w:r>
    </w:p>
    <w:p>
      <w:pPr>
        <w:spacing w:after="0" w:line="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legislation reduced the U.S. corporate tax rate from the current rate of 35% to 21% for tax years beginning after December 31, 2017. Under the Tax Cuts and Jobs Act, the Company's $32.8 million in federal NOL carryforwards generated as of December 31, 2017 will continue to be carried forward for 20 years following their incurrence and are expected to be available to fully offset taxable income earned in future tax years. Federal net operating losses generated after 2017 will be carried forward indefinitely, but generally may only offset up to 80% of taxable income earned in a tax year. In the quarter ending December 31, 2017, the Company revalued its deferred tax assets and liabilities due to these changes, including (a) revaluing the Company's federal net deferred tax assets before valuation allowance using the 21% tax rate, resulting in a decreased federal deferred tax provision of $10.1 million; (b) revaluing the Company's federal valuation allowance using the 21% tax rate, including the impact of tax planning strategies, resulting in a federal deferred tax benefit to continuing operations of $12.6 million; (c) recognizing a federal deferred tax benefit of $2.0 million for 80% of indefinite lived deferred tax liabilities, which are anticipated to be available as a source of taxable income upon reversal of deferred tax assets that would also have indefinite lives; and (d) recognizing a $1.2 million state deferred tax provision unaffected by the changes in the Tax Cuts and Jobs Act. The new legislation requires the Company to pay federal income tax on the unremitted earnings of its foreign subsidiaries though December 31, 2017. Pursuant to SAB 118, the Company estimated the tax on unremitted earnings is zero due to an overall accumulated deficit in earnings and profits. As of the fourth quarter of 2018, the Company has finalized the preparation and analysis of the required information and has not changed from the estimate.</w:t>
      </w:r>
    </w:p>
    <w:p>
      <w:pPr>
        <w:spacing w:after="0" w:line="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Tax Cuts and Jobs Act creates a new requirement that certain income earned by a foreign subsidiary must be included in the federal taxable income of the U.S. shareholder. This income (called Global Intangible Low-Taxed Income, or GILTI) is defined as the excess of a foreign subsidiaries income over a nominal return on fixed assets. The Company expects to be subject to this inclusion in future years. Under U.S. GAAP, the Company is allowed to make an accounting policy choice of either accounting for the effects of the GILTI inclusion as a current period expense, when incurred, or factoring such amounts into the Company’s measurement of its deferred taxes. The Company has elected to treat the effects of this provision as a period cost, and therefore, has not considered the impacts of GILTI on its deferred tax liabilities at December 31, 2018.</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consolidated financial statements do not provide for any related tax liability on amounts that may be repatriated from foreign operations as the Company intends for these earnings to be indefinitely reinvested in operations outside the U.S. Accordingly, no deferred taxes have been provided for the basis difference in the foreign subsidiaries.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Recent rulings by both the Court and the United States Patent Office in the Company's favor have invalidated the majority of [24]7 patents that were asserted in the patent cases. Trial for the Company's intellectual property and other claims asserted against [24]7 in the original litigation is not scheduled to allow for mediation. The Company believes the claims filed by [24]7 are entirely without merit and intends to defend them vigorously.</w:t>
      </w:r>
    </w:p>
    <w:p>
      <w:pPr>
        <w:spacing w:after="0" w:line="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is involved in or subject to legal, administrative and regulatory proceedings, claims, demands and investigations arising in the ordinary course of business, including direct claims brought by or against the Company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 - (Continued)</w:t>
      </w:r>
    </w:p>
    <w:p>
      <w:pPr>
        <w:spacing w:after="0" w:line="3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Costs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restructuring costs relate to wind-down and severance costs associated with re-prioritizing and reallocating resources to focus on areas showing high growth potential, as well as the termination of a large customer contract. In 2018, we undertook a restructuring related primarily to a reorganization in order to promote continued globalization of our technology operations, drive improvements in quality assurance of existing products and creation of new add-on features to LiveEngage. The expense associated with this restructuring was approximately $4.5 million, $2.6 million, and $2.4 million during the years ended December 31, 2018, 2017, and 2016, respectively, and is classified in the consolidated statements of operations as restructuring costs. The restructuring liability was approximately $1.0 million and $2.3 million as of December 31, 2018 and 2017, respectively, and is classified as accrued expenses and other current liabilities on the consolidated balance sheets. The Company expects to incur additional restructuring costs of approximately $0.3 million through December 31,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2017</w:t>
            </w:r>
          </w:p>
        </w:tc>
      </w:tr>
      <w:tr>
        <w:trPr>
          <w:trHeight w:val="236"/>
        </w:trPr>
        <w:tc>
          <w:tcPr>
            <w:tcW w:w="6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the year</w:t>
            </w:r>
          </w:p>
        </w:tc>
        <w:tc>
          <w:tcPr>
            <w:tcW w:w="1740" w:type="dxa"/>
            <w:vAlign w:val="bottom"/>
            <w:tcBorders>
              <w:bottom w:val="single" w:sz="8" w:color="CCFFCC"/>
            </w:tcBorders>
            <w:shd w:val="clear" w:color="auto" w:fill="CCFFCC"/>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2,551</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4,468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0"/>
              <w:spacing w:after="0"/>
              <w:rPr>
                <w:sz w:val="20"/>
                <w:szCs w:val="20"/>
                <w:color w:val="auto"/>
              </w:rPr>
            </w:pPr>
            <w:r>
              <w:rPr>
                <w:rFonts w:ascii="Arial" w:cs="Arial" w:eastAsia="Arial" w:hAnsi="Arial"/>
                <w:sz w:val="16"/>
                <w:szCs w:val="16"/>
                <w:color w:val="auto"/>
              </w:rPr>
              <w:t>648</w:t>
            </w:r>
          </w:p>
        </w:tc>
      </w:tr>
      <w:tr>
        <w:trPr>
          <w:trHeight w:val="33"/>
        </w:trPr>
        <w:tc>
          <w:tcPr>
            <w:tcW w:w="6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4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0"/>
              </w:rPr>
              <w:t>(5,829)</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(2,807)</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Wind down costs of legacy platform</w:t>
            </w:r>
          </w:p>
        </w:tc>
        <w:tc>
          <w:tcPr>
            <w:tcW w:w="17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40"/>
              <w:spacing w:after="0"/>
              <w:rPr>
                <w:sz w:val="20"/>
                <w:szCs w:val="20"/>
                <w:color w:val="auto"/>
              </w:rPr>
            </w:pPr>
            <w:r>
              <w:rPr>
                <w:rFonts w:ascii="Arial" w:cs="Arial" w:eastAsia="Arial" w:hAnsi="Arial"/>
                <w:sz w:val="16"/>
                <w:szCs w:val="16"/>
                <w:color w:val="auto"/>
              </w:rPr>
              <w:t>1,946</w:t>
            </w:r>
          </w:p>
        </w:tc>
      </w:tr>
      <w:tr>
        <w:trPr>
          <w:trHeight w:val="33"/>
        </w:trPr>
        <w:tc>
          <w:tcPr>
            <w:tcW w:w="670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End of year</w:t>
            </w:r>
          </w:p>
        </w:tc>
        <w:tc>
          <w:tcPr>
            <w:tcW w:w="1740" w:type="dxa"/>
            <w:vAlign w:val="bottom"/>
            <w:tcBorders>
              <w:bottom w:val="single" w:sz="8" w:color="auto"/>
            </w:tcBorders>
            <w:shd w:val="clear" w:color="auto" w:fill="CCFFCC"/>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2,338</w:t>
            </w:r>
          </w:p>
        </w:tc>
      </w:tr>
      <w:tr>
        <w:trPr>
          <w:trHeight w:val="20"/>
        </w:trPr>
        <w:tc>
          <w:tcPr>
            <w:tcW w:w="67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expenses for the Company’s restructuring charges for the periods presented (amounts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December 31, 2016</w:t>
            </w:r>
          </w:p>
        </w:tc>
      </w:tr>
      <w:tr>
        <w:trPr>
          <w:trHeight w:val="236"/>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termination benefit</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 w:type="dxa"/>
            <w:vAlign w:val="bottom"/>
          </w:tcPr>
          <w:p>
            <w:pPr>
              <w:spacing w:after="0"/>
              <w:rPr>
                <w:sz w:val="20"/>
                <w:szCs w:val="20"/>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4,468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1,585</w:t>
            </w:r>
          </w:p>
        </w:tc>
      </w:tr>
      <w:tr>
        <w:trPr>
          <w:trHeight w:val="33"/>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Wind down costs of legacy platform</w:t>
            </w:r>
          </w:p>
        </w:tc>
        <w:tc>
          <w:tcPr>
            <w:tcW w:w="180" w:type="dxa"/>
            <w:vAlign w:val="bottom"/>
            <w:tcBorders>
              <w:bottom w:val="single" w:sz="8" w:color="CCFFCC"/>
            </w:tcBorders>
            <w:shd w:val="clear" w:color="auto" w:fill="CCFFCC"/>
          </w:tcPr>
          <w:p>
            <w:pPr>
              <w:spacing w:after="0"/>
              <w:rPr>
                <w:sz w:val="23"/>
                <w:szCs w:val="23"/>
                <w:color w:val="auto"/>
              </w:rPr>
            </w:pPr>
          </w:p>
        </w:tc>
        <w:tc>
          <w:tcPr>
            <w:tcW w:w="158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1,168</w:t>
            </w:r>
          </w:p>
        </w:tc>
      </w:tr>
      <w:tr>
        <w:trPr>
          <w:trHeight w:val="244"/>
        </w:trPr>
        <w:tc>
          <w:tcPr>
            <w:tcW w:w="6400" w:type="dxa"/>
            <w:vAlign w:val="bottom"/>
          </w:tcPr>
          <w:p>
            <w:pPr>
              <w:ind w:left="280"/>
              <w:spacing w:after="0"/>
              <w:rPr>
                <w:sz w:val="20"/>
                <w:szCs w:val="20"/>
                <w:color w:val="auto"/>
              </w:rPr>
            </w:pPr>
            <w:r>
              <w:rPr>
                <w:rFonts w:ascii="Arial" w:cs="Arial" w:eastAsia="Arial" w:hAnsi="Arial"/>
                <w:sz w:val="16"/>
                <w:szCs w:val="16"/>
                <w:color w:val="auto"/>
              </w:rPr>
              <w:t>Total restructuring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4,468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2,369</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2018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2018, our internal control over financial reporting was effective based on those criteria.</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BDO USA, LLP, an independent registered public accounting firm. Their attestation is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Effectiveness of Internal Control</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2018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2018. Based on that evaluation, the Chief Executive Officer and Chief Financial Officer concluded that our disclosure controls and procedures were effective as of December 31, 2018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013" w:right="239" w:bottom="1440" w:gutter="0" w:footer="0" w:header="0"/>
        </w:sectPr>
      </w:pPr>
    </w:p>
    <w:bookmarkStart w:id="102" w:name="page103"/>
    <w:bookmarkEnd w:id="10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LivePerson, Inc.’s (the “Company’s”) internal control over financial reporting as of December 31, 2018,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2018,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2018 and 2017, the related consolidated statements of income and comprehensive income, stockholders’ equity, and cash flows for each of the three years in the period ended December 31, 2018, and the related notes and our report dated February 25,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01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2019 Annual Meeting of Stockholders.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the procedures by which stockholders may recommend nominees to our Board of Directors since our last disclosure of such procedures, which appeared in the definitive proxy statement for our 2018 Annual Meeting of Stockholders.</w:t>
      </w:r>
    </w:p>
    <w:p>
      <w:pPr>
        <w:spacing w:after="0" w:line="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have adopted a Code of Ethics that applies to our Chief Executive Officer, who is our principal executive officer, and other senior financial officers. Our Code of Ethics is available at: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under “Investor Relations / Corporate Governance.” </w:t>
      </w:r>
      <w:r>
        <w:rPr>
          <w:rFonts w:ascii="Arial" w:cs="Arial" w:eastAsia="Arial" w:hAnsi="Arial"/>
          <w:sz w:val="16"/>
          <w:szCs w:val="16"/>
          <w:i w:val="1"/>
          <w:iCs w:val="1"/>
          <w:color w:val="auto"/>
        </w:rPr>
        <w:t>The Company’s web site address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Company will post on this website any amendments to our Code of Ethics.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2019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12 is incorporated by reference to the sections captioned “Ownership of Securities,” “Potential Payments Upon Termination or Change-in-Control” and “Securities Authorized for Issuance Under Equity Compensation Plans” in the definitive proxy statement for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01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13 is incorporated by reference to the sections captioned “Certain Relationships and Related Transactions” and “Director Independence” in the definitive proxy statement for our 2019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14 is incorporated by reference to the section captioned “Independent Registered Public Accounting Firm Fees and Pre-Approval Policies and Procedures” in the definitive proxy statement for our 2019 Annual Meeting of Stockholders.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index of consolidated financial statements included in Item 8 of this Annual Report on Form 10-K.</w:t>
      </w:r>
    </w:p>
    <w:p>
      <w:pPr>
        <w:spacing w:after="0" w:line="117"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Statements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Exhibit Index immediately preceding the exhibits attached to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February 25, 2019.</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LIVEPERSON, INC.</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P. LoCascio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February 25,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012"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3900" w:type="dxa"/>
            <w:vAlign w:val="bottom"/>
          </w:tcPr>
          <w:p>
            <w:pPr>
              <w:ind w:left="1580"/>
              <w:spacing w:after="0"/>
              <w:rPr>
                <w:sz w:val="20"/>
                <w:szCs w:val="20"/>
                <w:color w:val="auto"/>
              </w:rPr>
            </w:pPr>
            <w:r>
              <w:rPr>
                <w:rFonts w:ascii="Arial" w:cs="Arial" w:eastAsia="Arial" w:hAnsi="Arial"/>
                <w:sz w:val="18"/>
                <w:szCs w:val="18"/>
                <w:b w:val="1"/>
                <w:bCs w:val="1"/>
                <w:color w:val="auto"/>
              </w:rPr>
              <w:t>Signature</w:t>
            </w:r>
          </w:p>
        </w:tc>
        <w:tc>
          <w:tcPr>
            <w:tcW w:w="800" w:type="dxa"/>
            <w:vAlign w:val="bottom"/>
          </w:tcPr>
          <w:p>
            <w:pPr>
              <w:spacing w:after="0"/>
              <w:rPr>
                <w:sz w:val="20"/>
                <w:szCs w:val="20"/>
                <w:color w:val="auto"/>
              </w:rPr>
            </w:pPr>
          </w:p>
        </w:tc>
        <w:tc>
          <w:tcPr>
            <w:tcW w:w="6720" w:type="dxa"/>
            <w:vAlign w:val="bottom"/>
          </w:tcPr>
          <w:p>
            <w:pPr>
              <w:ind w:left="3080"/>
              <w:spacing w:after="0"/>
              <w:rPr>
                <w:sz w:val="20"/>
                <w:szCs w:val="20"/>
                <w:color w:val="auto"/>
              </w:rPr>
            </w:pPr>
            <w:r>
              <w:rPr>
                <w:rFonts w:ascii="Arial" w:cs="Arial" w:eastAsia="Arial" w:hAnsi="Arial"/>
                <w:sz w:val="18"/>
                <w:szCs w:val="18"/>
                <w:b w:val="1"/>
                <w:bCs w:val="1"/>
                <w:color w:val="auto"/>
              </w:rPr>
              <w:t>Title(s)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534"/>
        </w:trPr>
        <w:tc>
          <w:tcPr>
            <w:tcW w:w="3900" w:type="dxa"/>
            <w:vAlign w:val="bottom"/>
          </w:tcPr>
          <w:p>
            <w:pPr>
              <w:ind w:left="40"/>
              <w:spacing w:after="0"/>
              <w:rPr>
                <w:sz w:val="20"/>
                <w:szCs w:val="20"/>
                <w:color w:val="auto"/>
              </w:rPr>
            </w:pPr>
            <w:r>
              <w:rPr>
                <w:rFonts w:ascii="Arial" w:cs="Arial" w:eastAsia="Arial" w:hAnsi="Arial"/>
                <w:sz w:val="18"/>
                <w:szCs w:val="18"/>
                <w:color w:val="auto"/>
              </w:rPr>
              <w:t>/s/Robert P. LoCascio</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Robert P. LoCascio</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Christopher E. Greiner</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Christopher E. Greiner</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Daryl J. Carlough</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Global and Corporate Controller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Daryl J. Carlough</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Peter Block</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Peter Block</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Kevin C. Lavan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Kevin C. Lavan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Jill Layfield</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Jill Layfield</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Fred Mossler</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Fred Mossler</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William G. Wesemann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William G. Wesemann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648"/>
        </w:trPr>
        <w:tc>
          <w:tcPr>
            <w:tcW w:w="3900" w:type="dxa"/>
            <w:vAlign w:val="bottom"/>
          </w:tcPr>
          <w:p>
            <w:pPr>
              <w:spacing w:after="0"/>
              <w:rPr>
                <w:sz w:val="24"/>
                <w:szCs w:val="24"/>
                <w:color w:val="auto"/>
              </w:rPr>
            </w:pPr>
          </w:p>
        </w:tc>
        <w:tc>
          <w:tcPr>
            <w:tcW w:w="7520" w:type="dxa"/>
            <w:vAlign w:val="bottom"/>
            <w:gridSpan w:val="2"/>
          </w:tcPr>
          <w:p>
            <w:pPr>
              <w:jc w:val="right"/>
              <w:ind w:right="5490"/>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420"/>
          </w:cols>
          <w:pgMar w:left="240" w:top="1175"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gridSpan w:val="24"/>
          </w:tcPr>
          <w:p>
            <w:pPr>
              <w:ind w:left="12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6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180" w:type="dxa"/>
            <w:vAlign w:val="bottom"/>
            <w:gridSpan w:val="29"/>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2.1</w:t>
            </w:r>
          </w:p>
        </w:tc>
        <w:tc>
          <w:tcPr>
            <w:tcW w:w="9180" w:type="dxa"/>
            <w:vAlign w:val="bottom"/>
            <w:gridSpan w:val="29"/>
          </w:tcPr>
          <w:p>
            <w:pPr>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Agreement and Plan of Merger, dated as of June 22, 2006, among LivePerson, Inc., Soho Acquisition Corp., Proficient</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7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Systems, Inc. and Gregg Freishtat as Shareholders’ Representative (incorporated by reference to the identically numbered</w:t>
              </w:r>
            </w:hyperlink>
          </w:p>
        </w:tc>
        <w:tc>
          <w:tcPr>
            <w:tcW w:w="400" w:type="dxa"/>
            <w:vAlign w:val="bottom"/>
            <w:gridSpan w:val="8"/>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exhibit in the Current Report on Form 8-K filed on June 22, 2006)</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2.2</w:t>
            </w:r>
          </w:p>
        </w:tc>
        <w:tc>
          <w:tcPr>
            <w:tcW w:w="9180" w:type="dxa"/>
            <w:vAlign w:val="bottom"/>
            <w:tcBorders>
              <w:bottom w:val="single" w:sz="8" w:color="0000FF"/>
            </w:tcBorders>
            <w:gridSpan w:val="29"/>
          </w:tcPr>
          <w:p>
            <w:pPr>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Agreement and Plan Merger, dated as of November 5, 2014, among LivePerson, Inc. Catalyst Lightning LLC, Contact At</w:t>
              </w:r>
            </w:hyperlink>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29"/>
          </w:tcPr>
          <w:p>
            <w:pPr>
              <w:spacing w:after="0" w:line="196" w:lineRule="exact"/>
              <w:rPr>
                <w:rFonts w:ascii="Arial" w:cs="Arial" w:eastAsia="Arial" w:hAnsi="Arial"/>
                <w:sz w:val="18"/>
                <w:szCs w:val="18"/>
                <w:color w:val="0000FF"/>
                <w:w w:val="97"/>
              </w:rPr>
            </w:pPr>
            <w:hyperlink r:id="rId43">
              <w:r>
                <w:rPr>
                  <w:rFonts w:ascii="Arial" w:cs="Arial" w:eastAsia="Arial" w:hAnsi="Arial"/>
                  <w:sz w:val="18"/>
                  <w:szCs w:val="18"/>
                  <w:color w:val="0000FF"/>
                  <w:w w:val="97"/>
                </w:rPr>
                <w:t>Once!, LLC and Fulcrum Growth Fund II QP, LLC (incorporated by reference to Exhibit 2.1 to the LivePerson’s Current</w:t>
              </w:r>
            </w:hyperlink>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Report on Form 8-K filed on November 12, 2014 (File No. 000-30141)</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3.1</w:t>
            </w:r>
          </w:p>
        </w:tc>
        <w:tc>
          <w:tcPr>
            <w:tcW w:w="9180" w:type="dxa"/>
            <w:vAlign w:val="bottom"/>
            <w:gridSpan w:val="29"/>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Fourth Amended and Restated Certificate of Incorporation (incorporated by reference to the identically-numbered exhibit to</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0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LivePerson’s Annual Report on Form 10-K for the fiscal year ended December 31, 2000 and filed March 30, 2001 (the “2000</w:t>
              </w:r>
            </w:hyperlink>
          </w:p>
        </w:tc>
        <w:tc>
          <w:tcPr>
            <w:tcW w:w="120" w:type="dxa"/>
            <w:vAlign w:val="bottom"/>
            <w:gridSpan w:val="5"/>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Arial" w:cs="Arial" w:eastAsia="Arial" w:hAnsi="Arial"/>
                <w:sz w:val="18"/>
                <w:szCs w:val="18"/>
                <w:color w:val="0000FF"/>
                <w:w w:val="97"/>
              </w:rPr>
            </w:pPr>
            <w:hyperlink r:id="rId44">
              <w:r>
                <w:rPr>
                  <w:rFonts w:ascii="Arial" w:cs="Arial" w:eastAsia="Arial" w:hAnsi="Arial"/>
                  <w:sz w:val="18"/>
                  <w:szCs w:val="18"/>
                  <w:color w:val="0000FF"/>
                  <w:w w:val="97"/>
                </w:rPr>
                <w:t>Form 10-K”))</w:t>
              </w:r>
            </w:hyperlink>
          </w:p>
        </w:tc>
        <w:tc>
          <w:tcPr>
            <w:tcW w:w="8160" w:type="dxa"/>
            <w:vAlign w:val="bottom"/>
            <w:gridSpan w:val="26"/>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3.2</w:t>
            </w:r>
          </w:p>
        </w:tc>
        <w:tc>
          <w:tcPr>
            <w:tcW w:w="9180" w:type="dxa"/>
            <w:vAlign w:val="bottom"/>
            <w:tcBorders>
              <w:bottom w:val="single" w:sz="8" w:color="0000FF"/>
            </w:tcBorders>
            <w:gridSpan w:val="29"/>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Second Amended and Restated Bylaws, as amended (incorporated by reference to the identically-numbered exhibit to the 2000</w:t>
              </w:r>
            </w:hyperlink>
          </w:p>
        </w:tc>
      </w:tr>
      <w:tr>
        <w:trPr>
          <w:trHeight w:val="196"/>
        </w:trPr>
        <w:tc>
          <w:tcPr>
            <w:tcW w:w="1660" w:type="dxa"/>
            <w:vAlign w:val="bottom"/>
          </w:tcPr>
          <w:p>
            <w:pPr>
              <w:spacing w:after="0"/>
              <w:rPr>
                <w:sz w:val="17"/>
                <w:szCs w:val="17"/>
                <w:color w:val="auto"/>
              </w:rPr>
            </w:pPr>
          </w:p>
        </w:tc>
        <w:tc>
          <w:tcPr>
            <w:tcW w:w="88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Form 10-K)</w:t>
              </w:r>
            </w:hyperlink>
          </w:p>
        </w:tc>
        <w:tc>
          <w:tcPr>
            <w:tcW w:w="8300" w:type="dxa"/>
            <w:vAlign w:val="bottom"/>
            <w:gridSpan w:val="27"/>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4.1</w:t>
            </w:r>
          </w:p>
        </w:tc>
        <w:tc>
          <w:tcPr>
            <w:tcW w:w="9180" w:type="dxa"/>
            <w:vAlign w:val="bottom"/>
            <w:gridSpan w:val="29"/>
          </w:tcPr>
          <w:p>
            <w:pPr>
              <w:spacing w:after="0"/>
              <w:rPr>
                <w:rFonts w:ascii="Arial" w:cs="Arial" w:eastAsia="Arial" w:hAnsi="Arial"/>
                <w:sz w:val="18"/>
                <w:szCs w:val="18"/>
                <w:color w:val="0000FF"/>
              </w:rPr>
            </w:pPr>
            <w:hyperlink r:id="rId46">
              <w:r>
                <w:rPr>
                  <w:rFonts w:ascii="Arial" w:cs="Arial" w:eastAsia="Arial" w:hAnsi="Arial"/>
                  <w:sz w:val="18"/>
                  <w:szCs w:val="18"/>
                  <w:color w:val="0000FF"/>
                </w:rPr>
                <w:t>Specimen common stock certificate (incorporated by reference to the identically-numbered exhibit to LivePerson’s</w:t>
              </w:r>
            </w:hyperlink>
          </w:p>
        </w:tc>
      </w:tr>
      <w:tr>
        <w:trPr>
          <w:trHeight w:val="196"/>
        </w:trPr>
        <w:tc>
          <w:tcPr>
            <w:tcW w:w="1660" w:type="dxa"/>
            <w:vAlign w:val="bottom"/>
          </w:tcPr>
          <w:p>
            <w:pPr>
              <w:spacing w:after="0"/>
              <w:rPr>
                <w:sz w:val="17"/>
                <w:szCs w:val="17"/>
                <w:color w:val="auto"/>
              </w:rPr>
            </w:pPr>
          </w:p>
        </w:tc>
        <w:tc>
          <w:tcPr>
            <w:tcW w:w="8280" w:type="dxa"/>
            <w:vAlign w:val="bottom"/>
            <w:tcBorders>
              <w:top w:val="single" w:sz="8" w:color="0000FF"/>
            </w:tcBorders>
            <w:gridSpan w:val="16"/>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Registration Statement on Form S-1, as amended (Registration No. 333-96689) (“Registration No. 333-96689”))</w:t>
              </w:r>
            </w:hyperlink>
          </w:p>
        </w:tc>
        <w:tc>
          <w:tcPr>
            <w:tcW w:w="900" w:type="dxa"/>
            <w:vAlign w:val="bottom"/>
            <w:gridSpan w:val="13"/>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4.2</w:t>
            </w:r>
          </w:p>
        </w:tc>
        <w:tc>
          <w:tcPr>
            <w:tcW w:w="8980" w:type="dxa"/>
            <w:vAlign w:val="bottom"/>
            <w:tcBorders>
              <w:bottom w:val="single" w:sz="8" w:color="0000FF"/>
            </w:tcBorders>
            <w:gridSpan w:val="23"/>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Second Amended and Restated Registration Rights Agreement, dated as of January 27, 2000, by and among LivePerson, the</w:t>
              </w:r>
            </w:hyperlink>
          </w:p>
        </w:tc>
        <w:tc>
          <w:tcPr>
            <w:tcW w:w="200" w:type="dxa"/>
            <w:vAlign w:val="bottom"/>
            <w:gridSpan w:val="6"/>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29"/>
          </w:tcPr>
          <w:p>
            <w:pPr>
              <w:spacing w:after="0" w:line="196" w:lineRule="exact"/>
              <w:rPr>
                <w:rFonts w:ascii="Arial" w:cs="Arial" w:eastAsia="Arial" w:hAnsi="Arial"/>
                <w:sz w:val="18"/>
                <w:szCs w:val="18"/>
                <w:color w:val="0000FF"/>
                <w:w w:val="88"/>
              </w:rPr>
            </w:pPr>
            <w:hyperlink r:id="rId46">
              <w:r>
                <w:rPr>
                  <w:rFonts w:ascii="Arial" w:cs="Arial" w:eastAsia="Arial" w:hAnsi="Arial"/>
                  <w:sz w:val="18"/>
                  <w:szCs w:val="18"/>
                  <w:color w:val="0000FF"/>
                  <w:w w:val="88"/>
                </w:rPr>
                <w:t>several persons and entities named on the signature pages thereto as Investors, and Robert LoCascio (incorporated by reference</w:t>
              </w:r>
            </w:hyperlink>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to the identically-numbered exhibit to Registration No. 333-96689)</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3"/>
              </w:rPr>
              <w:t>10.1(a)*</w:t>
            </w:r>
          </w:p>
        </w:tc>
        <w:tc>
          <w:tcPr>
            <w:tcW w:w="9180" w:type="dxa"/>
            <w:vAlign w:val="bottom"/>
            <w:tcBorders>
              <w:bottom w:val="single" w:sz="8" w:color="0000FF"/>
            </w:tcBorders>
            <w:gridSpan w:val="29"/>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2009 Stock Incentive Plan (incorporated by reference to Exhibit 99.1 to LivePerson’s Registration Statement on Form S-8 filed</w:t>
              </w:r>
            </w:hyperlink>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 xml:space="preserve">on June 9, 2009) </w:t>
              </w:r>
              <w:r>
                <w:rPr>
                  <w:rFonts w:ascii="Arial" w:cs="Arial" w:eastAsia="Arial" w:hAnsi="Arial"/>
                  <w:sz w:val="18"/>
                  <w:szCs w:val="18"/>
                  <w:color w:val="000000"/>
                  <w:w w:val="92"/>
                </w:rPr>
                <w:t>and</w:t>
              </w:r>
              <w:r>
                <w:rPr>
                  <w:rFonts w:ascii="Arial" w:cs="Arial" w:eastAsia="Arial" w:hAnsi="Arial"/>
                  <w:sz w:val="18"/>
                  <w:szCs w:val="18"/>
                  <w:color w:val="0000FF"/>
                  <w:w w:val="92"/>
                </w:rPr>
                <w:t xml:space="preserve"> Forms of Grant Agreements under the 2009 Stock Incentive Plan (incorporated by reference to Exhibit</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704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LivePerson’s Quarterly Report on Form 10-Q filed on May 6, 2011 (File No. 000-30141))</w:t>
              </w:r>
            </w:hyperlink>
          </w:p>
        </w:tc>
        <w:tc>
          <w:tcPr>
            <w:tcW w:w="2140" w:type="dxa"/>
            <w:vAlign w:val="bottom"/>
            <w:gridSpan w:val="17"/>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96"/>
              </w:rPr>
              <w:t>10.1(b)*</w:t>
            </w:r>
          </w:p>
        </w:tc>
        <w:tc>
          <w:tcPr>
            <w:tcW w:w="8240" w:type="dxa"/>
            <w:vAlign w:val="bottom"/>
            <w:tcBorders>
              <w:bottom w:val="single" w:sz="8" w:color="0000FF"/>
            </w:tcBorders>
            <w:gridSpan w:val="15"/>
          </w:tcPr>
          <w:p>
            <w:pPr>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2009 Stock Incentive Plan (amended and restated as of June 7, 2012) (incorporated by reference to Exhibit 99.1 to</w:t>
              </w:r>
            </w:hyperlink>
          </w:p>
        </w:tc>
        <w:tc>
          <w:tcPr>
            <w:tcW w:w="940" w:type="dxa"/>
            <w:vAlign w:val="bottom"/>
            <w:gridSpan w:val="14"/>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LivePerson’s Current Report on Form 8-K filed on June 8, 2012 (File No. 000-30141))</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10.2*</w:t>
            </w:r>
          </w:p>
        </w:tc>
        <w:tc>
          <w:tcPr>
            <w:tcW w:w="8400" w:type="dxa"/>
            <w:vAlign w:val="bottom"/>
            <w:tcBorders>
              <w:bottom w:val="single" w:sz="8" w:color="0000FF"/>
            </w:tcBorders>
            <w:gridSpan w:val="17"/>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LivePerson, Inc. 2010 Employee Stock Purchase Plan (incorporated by reference to Exhibit 99.1 to the LivePerson’s</w:t>
              </w:r>
            </w:hyperlink>
          </w:p>
        </w:tc>
        <w:tc>
          <w:tcPr>
            <w:tcW w:w="780" w:type="dxa"/>
            <w:vAlign w:val="bottom"/>
            <w:gridSpan w:val="12"/>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Registration Statement on Form S-8 filed on August 19, 2010 (File No. 000-30141))</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10.3*</w:t>
            </w:r>
          </w:p>
        </w:tc>
        <w:tc>
          <w:tcPr>
            <w:tcW w:w="9060" w:type="dxa"/>
            <w:vAlign w:val="bottom"/>
            <w:tcBorders>
              <w:bottom w:val="single" w:sz="8" w:color="0000FF"/>
            </w:tcBorders>
            <w:gridSpan w:val="24"/>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Employment Agreement between LivePerson and Robert P. LoCascio, dated as of January 1, 1999 (incorporated by reference</w:t>
              </w:r>
            </w:hyperlink>
          </w:p>
        </w:tc>
        <w:tc>
          <w:tcPr>
            <w:tcW w:w="120" w:type="dxa"/>
            <w:vAlign w:val="bottom"/>
            <w:gridSpan w:val="5"/>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to Exhibit 10.1 to Registration No. 333-96689)</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10.4*</w:t>
            </w:r>
          </w:p>
        </w:tc>
        <w:tc>
          <w:tcPr>
            <w:tcW w:w="8940" w:type="dxa"/>
            <w:vAlign w:val="bottom"/>
            <w:tcBorders>
              <w:bottom w:val="single" w:sz="8" w:color="0000FF"/>
            </w:tcBorders>
            <w:gridSpan w:val="22"/>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Agreement between LivePerson and Dan Murphy, dated as of March 27, 2011 (incorporated by reference to Exhibit 10.5 to</w:t>
              </w:r>
            </w:hyperlink>
          </w:p>
        </w:tc>
        <w:tc>
          <w:tcPr>
            <w:tcW w:w="240" w:type="dxa"/>
            <w:vAlign w:val="bottom"/>
            <w:gridSpan w:val="7"/>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LivePerson’s Annual Report on Form 10-K for the year ended December 31, 2011 and filed March 13, 2012)</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380" w:type="dxa"/>
            <w:vAlign w:val="bottom"/>
            <w:tcBorders>
              <w:right w:val="single" w:sz="8" w:color="0000FF"/>
            </w:tcBorders>
            <w:gridSpan w:val="9"/>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10.5*</w:t>
            </w:r>
          </w:p>
        </w:tc>
        <w:tc>
          <w:tcPr>
            <w:tcW w:w="8620" w:type="dxa"/>
            <w:vAlign w:val="bottom"/>
            <w:tcBorders>
              <w:bottom w:val="single" w:sz="8" w:color="0000FF"/>
            </w:tcBorders>
            <w:gridSpan w:val="20"/>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Form of Indemnification Agreement entered into with Executive Officers and Directors of LivePerson (incorporated by</w:t>
              </w:r>
            </w:hyperlink>
          </w:p>
        </w:tc>
        <w:tc>
          <w:tcPr>
            <w:tcW w:w="560" w:type="dxa"/>
            <w:vAlign w:val="bottom"/>
            <w:gridSpan w:val="9"/>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9"/>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reference to Exhibit 10.6 to LivePerson’s Annual Report on Form 10-K for the year ended December 31, 2011 and filed March</w:t>
              </w:r>
            </w:hyperlink>
          </w:p>
        </w:tc>
      </w:tr>
      <w:tr>
        <w:trPr>
          <w:trHeight w:val="196"/>
        </w:trPr>
        <w:tc>
          <w:tcPr>
            <w:tcW w:w="166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13, 2012)</w:t>
              </w:r>
            </w:hyperlink>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10.6*</w:t>
            </w:r>
          </w:p>
        </w:tc>
        <w:tc>
          <w:tcPr>
            <w:tcW w:w="9120" w:type="dxa"/>
            <w:vAlign w:val="bottom"/>
            <w:tcBorders>
              <w:bottom w:val="single" w:sz="8" w:color="0000FF"/>
            </w:tcBorders>
            <w:gridSpan w:val="26"/>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Agreement between LivePerson and Monica L. Greenberg, dated as of October 25, 2006 (incorporated by reference to Exhibit</w:t>
              </w:r>
            </w:hyperlink>
          </w:p>
        </w:tc>
        <w:tc>
          <w:tcPr>
            <w:tcW w:w="60" w:type="dxa"/>
            <w:vAlign w:val="bottom"/>
            <w:gridSpan w:val="3"/>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84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r>
                <w:rPr>
                  <w:rFonts w:ascii="Arial" w:cs="Arial" w:eastAsia="Arial" w:hAnsi="Arial"/>
                  <w:sz w:val="18"/>
                  <w:szCs w:val="18"/>
                  <w:color w:val="0000FF"/>
                  <w:w w:val="91"/>
                </w:rPr>
                <w:t xml:space="preserve"> to LivePerson’s Annual Report on Form 10-K for the year ended December 31, 2011 and filed March 13, 2012)</w:t>
              </w:r>
            </w:hyperlink>
          </w:p>
        </w:tc>
        <w:tc>
          <w:tcPr>
            <w:tcW w:w="760" w:type="dxa"/>
            <w:vAlign w:val="bottom"/>
            <w:gridSpan w:val="11"/>
          </w:tcPr>
          <w:p>
            <w:pPr>
              <w:spacing w:after="0"/>
              <w:rPr>
                <w:sz w:val="17"/>
                <w:szCs w:val="17"/>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10.7*</w:t>
            </w:r>
          </w:p>
        </w:tc>
        <w:tc>
          <w:tcPr>
            <w:tcW w:w="9160" w:type="dxa"/>
            <w:vAlign w:val="bottom"/>
            <w:tcBorders>
              <w:bottom w:val="single" w:sz="8" w:color="0000FF"/>
            </w:tcBorders>
            <w:gridSpan w:val="28"/>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Incentive Plan (incorporated by reference to Exhibit 10.1 to LivePerson’s Current Report on Form 8-K filed on April 28, 2011)</w:t>
              </w:r>
            </w:hyperlink>
          </w:p>
        </w:tc>
        <w:tc>
          <w:tcPr>
            <w:tcW w:w="20" w:type="dxa"/>
            <w:vAlign w:val="bottom"/>
          </w:tcPr>
          <w:p>
            <w:pPr>
              <w:spacing w:after="0"/>
              <w:rPr>
                <w:sz w:val="24"/>
                <w:szCs w:val="24"/>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10.8*</w:t>
            </w:r>
          </w:p>
        </w:tc>
        <w:tc>
          <w:tcPr>
            <w:tcW w:w="9100" w:type="dxa"/>
            <w:vAlign w:val="bottom"/>
            <w:tcBorders>
              <w:bottom w:val="single" w:sz="8" w:color="0000FF"/>
            </w:tcBorders>
            <w:gridSpan w:val="25"/>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Employment Agreement between LivePerson and Eran Vanounou, dated as of February 22, 2014(incorporated by reference to</w:t>
              </w:r>
            </w:hyperlink>
          </w:p>
        </w:tc>
        <w:tc>
          <w:tcPr>
            <w:tcW w:w="80" w:type="dxa"/>
            <w:vAlign w:val="bottom"/>
            <w:gridSpan w:val="4"/>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60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Exhibit 10.2 to LivePerson's Quarterly Report on Form 10-Q filed on May 9, 2014)</w:t>
              </w:r>
            </w:hyperlink>
          </w:p>
        </w:tc>
        <w:tc>
          <w:tcPr>
            <w:tcW w:w="3100" w:type="dxa"/>
            <w:vAlign w:val="bottom"/>
            <w:gridSpan w:val="19"/>
          </w:tcPr>
          <w:p>
            <w:pPr>
              <w:spacing w:after="0"/>
              <w:rPr>
                <w:sz w:val="17"/>
                <w:szCs w:val="17"/>
                <w:color w:val="auto"/>
              </w:rPr>
            </w:pPr>
          </w:p>
        </w:tc>
      </w:tr>
      <w:tr>
        <w:trPr>
          <w:trHeight w:val="37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10.9*</w:t>
            </w:r>
          </w:p>
        </w:tc>
        <w:tc>
          <w:tcPr>
            <w:tcW w:w="9180" w:type="dxa"/>
            <w:vAlign w:val="bottom"/>
            <w:gridSpan w:val="29"/>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Separation Agreement General Release between LivePerson and Daniel Murphy, dated as of November 9, 2017 (incorporated</w:t>
              </w:r>
            </w:hyperlink>
          </w:p>
        </w:tc>
      </w:tr>
      <w:tr>
        <w:trPr>
          <w:trHeight w:val="196"/>
        </w:trPr>
        <w:tc>
          <w:tcPr>
            <w:tcW w:w="1660" w:type="dxa"/>
            <w:vAlign w:val="bottom"/>
          </w:tcPr>
          <w:p>
            <w:pPr>
              <w:spacing w:after="0"/>
              <w:rPr>
                <w:sz w:val="17"/>
                <w:szCs w:val="17"/>
                <w:color w:val="auto"/>
              </w:rPr>
            </w:pPr>
          </w:p>
        </w:tc>
        <w:tc>
          <w:tcPr>
            <w:tcW w:w="90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by reference to Exhibit 10.5 (B) to LivePerson's Quarterly Report on Form 10-Q filed on November 9, 2017)</w:t>
              </w:r>
            </w:hyperlink>
          </w:p>
        </w:tc>
        <w:tc>
          <w:tcPr>
            <w:tcW w:w="120" w:type="dxa"/>
            <w:vAlign w:val="bottom"/>
            <w:gridSpan w:val="5"/>
          </w:tcPr>
          <w:p>
            <w:pPr>
              <w:spacing w:after="0"/>
              <w:rPr>
                <w:sz w:val="17"/>
                <w:szCs w:val="17"/>
                <w:color w:val="auto"/>
              </w:rPr>
            </w:pPr>
          </w:p>
        </w:tc>
      </w:tr>
      <w:tr>
        <w:trPr>
          <w:trHeight w:val="628"/>
        </w:trPr>
        <w:tc>
          <w:tcPr>
            <w:tcW w:w="1660" w:type="dxa"/>
            <w:vAlign w:val="bottom"/>
          </w:tcPr>
          <w:p>
            <w:pPr>
              <w:spacing w:after="0"/>
              <w:rPr>
                <w:sz w:val="24"/>
                <w:szCs w:val="24"/>
                <w:color w:val="auto"/>
              </w:rPr>
            </w:pPr>
          </w:p>
        </w:tc>
        <w:tc>
          <w:tcPr>
            <w:tcW w:w="4780" w:type="dxa"/>
            <w:vAlign w:val="bottom"/>
            <w:tcBorders>
              <w:top w:val="single" w:sz="8" w:color="0000FF"/>
            </w:tcBorders>
            <w:gridSpan w:val="7"/>
          </w:tcPr>
          <w:p>
            <w:pPr>
              <w:ind w:left="3380"/>
              <w:spacing w:after="0"/>
              <w:rPr>
                <w:sz w:val="20"/>
                <w:szCs w:val="20"/>
                <w:color w:val="auto"/>
              </w:rPr>
            </w:pPr>
            <w:r>
              <w:rPr>
                <w:rFonts w:ascii="Arial" w:cs="Arial" w:eastAsia="Arial" w:hAnsi="Arial"/>
                <w:sz w:val="18"/>
                <w:szCs w:val="18"/>
                <w:color w:val="auto"/>
              </w:rPr>
              <w:t>104</w:t>
            </w: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40"/>
          </w:cols>
          <w:pgMar w:left="780" w:top="1013" w:right="279" w:bottom="1440" w:gutter="0" w:footer="0" w:header="0"/>
        </w:sectPr>
      </w:pPr>
    </w:p>
    <w:bookmarkStart w:id="107" w:name="page108"/>
    <w:bookmarkEnd w:id="107"/>
    <w:p>
      <w:pPr>
        <w:spacing w:after="0" w:line="1" w:lineRule="exact"/>
        <w:rPr>
          <w:sz w:val="20"/>
          <w:szCs w:val="20"/>
          <w:color w:val="auto"/>
        </w:rPr>
      </w:pPr>
    </w:p>
    <w:tbl>
      <w:tblPr>
        <w:tblLayout w:type="fixed"/>
        <w:tblInd w:w="472" w:type="dxa"/>
        <w:tblCellMar>
          <w:top w:w="0" w:type="dxa"/>
          <w:left w:w="0" w:type="dxa"/>
          <w:bottom w:w="0" w:type="dxa"/>
          <w:right w:w="0" w:type="dxa"/>
        </w:tblCellMar>
      </w:tblPr>
      <w:tr>
        <w:trPr>
          <w:trHeight w:val="207"/>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10.10*</w:t>
            </w:r>
          </w:p>
        </w:tc>
        <w:tc>
          <w:tcPr>
            <w:tcW w:w="9080" w:type="dxa"/>
            <w:vAlign w:val="bottom"/>
            <w:tcBorders>
              <w:bottom w:val="single" w:sz="8" w:color="0000FF"/>
            </w:tcBorders>
            <w:gridSpan w:val="23"/>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Amendment to Separation Agreement General Release between LivePerson and Daniel Murphy, dated as of February 9, 2018</w:t>
              </w:r>
            </w:hyperlink>
          </w:p>
        </w:tc>
        <w:tc>
          <w:tcPr>
            <w:tcW w:w="10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88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(incorporated by reference to Exhibit 10.11 to LivePerson’s Annual Report on Form 10-K for the year ended December 31,</w:t>
              </w:r>
            </w:hyperlink>
          </w:p>
        </w:tc>
        <w:tc>
          <w:tcPr>
            <w:tcW w:w="300" w:type="dxa"/>
            <w:vAlign w:val="bottom"/>
            <w:gridSpan w:val="7"/>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2017, filed on March 15, 2018 (File No. 000-30141))</w:t>
              </w:r>
            </w:hyperlink>
          </w:p>
        </w:tc>
      </w:tr>
      <w:tr>
        <w:trPr>
          <w:trHeight w:val="20"/>
        </w:trPr>
        <w:tc>
          <w:tcPr>
            <w:tcW w:w="17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2"/>
              </w:rPr>
              <w:t>10.11*</w:t>
            </w:r>
          </w:p>
        </w:tc>
        <w:tc>
          <w:tcPr>
            <w:tcW w:w="9000" w:type="dxa"/>
            <w:vAlign w:val="bottom"/>
            <w:tcBorders>
              <w:bottom w:val="single" w:sz="8" w:color="0000FF"/>
            </w:tcBorders>
            <w:gridSpan w:val="19"/>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Form of Restricted Stock Unit Award Agreement (incorporated by reference to Exhibit 10.12 to LivePerson’s Annual Report</w:t>
              </w:r>
            </w:hyperlink>
          </w:p>
        </w:tc>
        <w:tc>
          <w:tcPr>
            <w:tcW w:w="180" w:type="dxa"/>
            <w:vAlign w:val="bottom"/>
            <w:gridSpan w:val="6"/>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on Form 10-K for the year ended December 31, 2017, filed on March 15, 2018 (File No. 000-30141))</w:t>
              </w:r>
            </w:hyperlink>
          </w:p>
        </w:tc>
      </w:tr>
      <w:tr>
        <w:trPr>
          <w:trHeight w:val="20"/>
        </w:trPr>
        <w:tc>
          <w:tcPr>
            <w:tcW w:w="17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10.12*</w:t>
            </w:r>
          </w:p>
        </w:tc>
        <w:tc>
          <w:tcPr>
            <w:tcW w:w="9180" w:type="dxa"/>
            <w:vAlign w:val="bottom"/>
            <w:gridSpan w:val="25"/>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Restricted Stock Unit Award Agreement for Robert Locascio (incorporated by reference to Exhibit 10.13 to</w:t>
              </w:r>
            </w:hyperlink>
          </w:p>
        </w:tc>
      </w:tr>
      <w:tr>
        <w:trPr>
          <w:trHeight w:val="20"/>
        </w:trPr>
        <w:tc>
          <w:tcPr>
            <w:tcW w:w="17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LivePerson’s Annual Report on Form 10-K for the year ended December 31, 2017, filed on March 15, 2018 (File No. 000-</w:t>
              </w:r>
            </w:hyperlink>
          </w:p>
        </w:tc>
      </w:tr>
      <w:tr>
        <w:trPr>
          <w:trHeight w:val="196"/>
        </w:trPr>
        <w:tc>
          <w:tcPr>
            <w:tcW w:w="17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3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8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10.13*</w:t>
            </w:r>
          </w:p>
        </w:tc>
        <w:tc>
          <w:tcPr>
            <w:tcW w:w="9060" w:type="dxa"/>
            <w:vAlign w:val="bottom"/>
            <w:tcBorders>
              <w:bottom w:val="single" w:sz="8" w:color="0000FF"/>
            </w:tcBorders>
            <w:gridSpan w:val="22"/>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Inducement Plan dated January 19, 2018 (incorporated by reference to Exhibit 10.14 to LivePerson’s Annual Report on Form</w:t>
              </w:r>
            </w:hyperlink>
          </w:p>
        </w:tc>
        <w:tc>
          <w:tcPr>
            <w:tcW w:w="120" w:type="dxa"/>
            <w:vAlign w:val="bottom"/>
            <w:gridSpan w:val="3"/>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10-K for the year ended December 31, 2017, filed on March 15, 2018 (File No. 000-30141))</w:t>
              </w:r>
            </w:hyperlink>
          </w:p>
        </w:tc>
      </w:tr>
      <w:tr>
        <w:trPr>
          <w:trHeight w:val="20"/>
        </w:trPr>
        <w:tc>
          <w:tcPr>
            <w:tcW w:w="17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10.14*</w:t>
            </w:r>
          </w:p>
        </w:tc>
        <w:tc>
          <w:tcPr>
            <w:tcW w:w="9180" w:type="dxa"/>
            <w:vAlign w:val="bottom"/>
            <w:tcBorders>
              <w:bottom w:val="single" w:sz="8" w:color="0000FF"/>
            </w:tcBorders>
            <w:gridSpan w:val="25"/>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Amended Employment Agreement between LivePerson and Robert LoCascio, dated as of December 27, 2017 (incorporated by</w:t>
              </w:r>
            </w:hyperlink>
          </w:p>
        </w:tc>
      </w:tr>
      <w:tr>
        <w:trPr>
          <w:trHeight w:val="196"/>
        </w:trPr>
        <w:tc>
          <w:tcPr>
            <w:tcW w:w="1720" w:type="dxa"/>
            <w:vAlign w:val="bottom"/>
          </w:tcPr>
          <w:p>
            <w:pPr>
              <w:spacing w:after="0"/>
              <w:rPr>
                <w:sz w:val="17"/>
                <w:szCs w:val="17"/>
                <w:color w:val="auto"/>
              </w:rPr>
            </w:pPr>
          </w:p>
        </w:tc>
        <w:tc>
          <w:tcPr>
            <w:tcW w:w="87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reference to Exhibit 10.15 to LivePerson’s Annual Report on Form 10-K for the year ended December 31, 2017, filed on</w:t>
              </w:r>
            </w:hyperlink>
          </w:p>
        </w:tc>
        <w:tc>
          <w:tcPr>
            <w:tcW w:w="480" w:type="dxa"/>
            <w:vAlign w:val="bottom"/>
            <w:gridSpan w:val="9"/>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8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March 15, 2018 (File No. 000-30141))</w:t>
              </w:r>
            </w:hyperlink>
          </w:p>
        </w:tc>
        <w:tc>
          <w:tcPr>
            <w:tcW w:w="6380" w:type="dxa"/>
            <w:vAlign w:val="bottom"/>
            <w:gridSpan w:val="18"/>
          </w:tcPr>
          <w:p>
            <w:pPr>
              <w:spacing w:after="0"/>
              <w:rPr>
                <w:sz w:val="17"/>
                <w:szCs w:val="17"/>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10.15*</w:t>
            </w:r>
          </w:p>
        </w:tc>
        <w:tc>
          <w:tcPr>
            <w:tcW w:w="9060" w:type="dxa"/>
            <w:vAlign w:val="bottom"/>
            <w:tcBorders>
              <w:bottom w:val="single" w:sz="8" w:color="0000FF"/>
            </w:tcBorders>
            <w:gridSpan w:val="22"/>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Agreement between LivePerson and Alex Spinelli, dated as of January 12, 2018 (incorporated by reference to Exhibit 10.1 to</w:t>
              </w:r>
            </w:hyperlink>
          </w:p>
        </w:tc>
        <w:tc>
          <w:tcPr>
            <w:tcW w:w="120" w:type="dxa"/>
            <w:vAlign w:val="bottom"/>
            <w:gridSpan w:val="3"/>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0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LivePerson’s Quarterly Report on Form 10-Q for the quarter ended March 31, 2018, filed May 8, 2018 (File No. 000-30141))</w:t>
              </w:r>
            </w:hyperlink>
          </w:p>
        </w:tc>
        <w:tc>
          <w:tcPr>
            <w:tcW w:w="120" w:type="dxa"/>
            <w:vAlign w:val="bottom"/>
            <w:gridSpan w:val="3"/>
          </w:tcPr>
          <w:p>
            <w:pPr>
              <w:spacing w:after="0"/>
              <w:rPr>
                <w:sz w:val="17"/>
                <w:szCs w:val="17"/>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10.16*</w:t>
            </w:r>
          </w:p>
        </w:tc>
        <w:tc>
          <w:tcPr>
            <w:tcW w:w="9040" w:type="dxa"/>
            <w:vAlign w:val="bottom"/>
            <w:tcBorders>
              <w:bottom w:val="single" w:sz="8" w:color="0000FF"/>
            </w:tcBorders>
            <w:gridSpan w:val="21"/>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Agreement between LivePerson and Chris Greiner, dated as of February 19, 2018 ((incorporated by reference to Exhibit 10.2</w:t>
              </w:r>
            </w:hyperlink>
          </w:p>
        </w:tc>
        <w:tc>
          <w:tcPr>
            <w:tcW w:w="14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w w:val="97"/>
              </w:rPr>
            </w:pPr>
            <w:hyperlink r:id="rId63">
              <w:r>
                <w:rPr>
                  <w:rFonts w:ascii="Arial" w:cs="Arial" w:eastAsia="Arial" w:hAnsi="Arial"/>
                  <w:sz w:val="18"/>
                  <w:szCs w:val="18"/>
                  <w:color w:val="0000FF"/>
                  <w:w w:val="97"/>
                </w:rPr>
                <w:t>to LivePerson’s Quarterly Report on Form 10-Q for the quarter ended March 31, 2018, filed May 8, 2018 (File No. 000-</w:t>
              </w:r>
            </w:hyperlink>
          </w:p>
        </w:tc>
      </w:tr>
      <w:tr>
        <w:trPr>
          <w:trHeight w:val="196"/>
        </w:trPr>
        <w:tc>
          <w:tcPr>
            <w:tcW w:w="17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3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8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10.17*</w:t>
            </w:r>
          </w:p>
        </w:tc>
        <w:tc>
          <w:tcPr>
            <w:tcW w:w="9180" w:type="dxa"/>
            <w:vAlign w:val="bottom"/>
            <w:gridSpan w:val="25"/>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Long Term Incentive Plan dated July 31, 2018 (incorporated by reference to Exhibit 10.1 to LivePerson’s Quarterly Report on</w:t>
              </w:r>
            </w:hyperlink>
          </w:p>
        </w:tc>
      </w:tr>
      <w:tr>
        <w:trPr>
          <w:trHeight w:val="196"/>
        </w:trPr>
        <w:tc>
          <w:tcPr>
            <w:tcW w:w="1720" w:type="dxa"/>
            <w:vAlign w:val="bottom"/>
          </w:tcPr>
          <w:p>
            <w:pPr>
              <w:spacing w:after="0"/>
              <w:rPr>
                <w:sz w:val="17"/>
                <w:szCs w:val="17"/>
                <w:color w:val="auto"/>
              </w:rPr>
            </w:pPr>
          </w:p>
        </w:tc>
        <w:tc>
          <w:tcPr>
            <w:tcW w:w="90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Form 10-Q for the quarter ended June 30, 2018 filed on August 6, 2018 ((File No. 000-30141))</w:t>
              </w:r>
            </w:hyperlink>
          </w:p>
        </w:tc>
        <w:tc>
          <w:tcPr>
            <w:tcW w:w="100" w:type="dxa"/>
            <w:vAlign w:val="bottom"/>
            <w:gridSpan w:val="2"/>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10.18*</w:t>
            </w:r>
          </w:p>
        </w:tc>
        <w:tc>
          <w:tcPr>
            <w:tcW w:w="9040" w:type="dxa"/>
            <w:vAlign w:val="bottom"/>
            <w:tcBorders>
              <w:bottom w:val="single" w:sz="8" w:color="0000FF"/>
            </w:tcBorders>
            <w:gridSpan w:val="21"/>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Separation Agreement General Release between LivePerson and Eran Vanounou, dated as of April 30, 2018 (incorporated by</w:t>
              </w:r>
            </w:hyperlink>
          </w:p>
        </w:tc>
        <w:tc>
          <w:tcPr>
            <w:tcW w:w="14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10.2 to LivePerson’s Quarterly Report on Form 10-Q for the quarter ended June 30, 2018, filed on August</w:t>
              </w:r>
            </w:hyperlink>
          </w:p>
        </w:tc>
      </w:tr>
      <w:tr>
        <w:trPr>
          <w:trHeight w:val="196"/>
        </w:trPr>
        <w:tc>
          <w:tcPr>
            <w:tcW w:w="1720" w:type="dxa"/>
            <w:vAlign w:val="bottom"/>
          </w:tcPr>
          <w:p>
            <w:pPr>
              <w:spacing w:after="0"/>
              <w:rPr>
                <w:sz w:val="17"/>
                <w:szCs w:val="17"/>
                <w:color w:val="auto"/>
              </w:rPr>
            </w:pPr>
          </w:p>
        </w:tc>
        <w:tc>
          <w:tcPr>
            <w:tcW w:w="91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6, 2018 ((File No. 000-30141))</w:t>
              </w:r>
            </w:hyperlink>
          </w:p>
        </w:tc>
        <w:tc>
          <w:tcPr>
            <w:tcW w:w="60" w:type="dxa"/>
            <w:vAlign w:val="bottom"/>
          </w:tcPr>
          <w:p>
            <w:pPr>
              <w:spacing w:after="0"/>
              <w:rPr>
                <w:sz w:val="17"/>
                <w:szCs w:val="17"/>
                <w:color w:val="auto"/>
              </w:rPr>
            </w:pPr>
          </w:p>
        </w:tc>
      </w:tr>
      <w:tr>
        <w:trPr>
          <w:trHeight w:val="493"/>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21.1</w:t>
            </w:r>
          </w:p>
        </w:tc>
        <w:tc>
          <w:tcPr>
            <w:tcW w:w="2240" w:type="dxa"/>
            <w:vAlign w:val="bottom"/>
            <w:tcBorders>
              <w:top w:val="single" w:sz="8" w:color="0000FF"/>
            </w:tcBorders>
            <w:gridSpan w:val="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Subsidiaries</w:t>
              </w:r>
            </w:hyperlink>
          </w:p>
        </w:tc>
        <w:tc>
          <w:tcPr>
            <w:tcW w:w="6940" w:type="dxa"/>
            <w:vAlign w:val="bottom"/>
            <w:gridSpan w:val="19"/>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23.1</w:t>
            </w:r>
          </w:p>
        </w:tc>
        <w:tc>
          <w:tcPr>
            <w:tcW w:w="204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Consent of BDO USA, LLP</w:t>
              </w:r>
            </w:hyperlink>
          </w:p>
        </w:tc>
        <w:tc>
          <w:tcPr>
            <w:tcW w:w="7140" w:type="dxa"/>
            <w:vAlign w:val="bottom"/>
            <w:gridSpan w:val="22"/>
          </w:tcPr>
          <w:p>
            <w:pPr>
              <w:spacing w:after="0"/>
              <w:rPr>
                <w:sz w:val="24"/>
                <w:szCs w:val="24"/>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31.1</w:t>
            </w:r>
          </w:p>
        </w:tc>
        <w:tc>
          <w:tcPr>
            <w:tcW w:w="902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by Chief Executive Officer pursuant to Exchange Act Rule 13a-14(a), as adopted pursuant to Section 302 of the</w:t>
              </w:r>
            </w:hyperlink>
          </w:p>
        </w:tc>
        <w:tc>
          <w:tcPr>
            <w:tcW w:w="160" w:type="dxa"/>
            <w:vAlign w:val="bottom"/>
            <w:gridSpan w:val="5"/>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Sarbanes-Oxley Act of 2002</w:t>
              </w:r>
            </w:hyperlink>
          </w:p>
        </w:tc>
        <w:tc>
          <w:tcPr>
            <w:tcW w:w="7100" w:type="dxa"/>
            <w:vAlign w:val="bottom"/>
            <w:gridSpan w:val="20"/>
          </w:tcPr>
          <w:p>
            <w:pPr>
              <w:spacing w:after="0"/>
              <w:rPr>
                <w:sz w:val="17"/>
                <w:szCs w:val="17"/>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31.2</w:t>
            </w:r>
          </w:p>
        </w:tc>
        <w:tc>
          <w:tcPr>
            <w:tcW w:w="9180" w:type="dxa"/>
            <w:vAlign w:val="bottom"/>
            <w:gridSpan w:val="25"/>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Certification by principal financial officer pursuant to Exchange Act Rule 13a-14(a), as adopted pursuant to Section 302 of the</w:t>
              </w:r>
            </w:hyperlink>
          </w:p>
        </w:tc>
      </w:tr>
      <w:tr>
        <w:trPr>
          <w:trHeight w:val="196"/>
        </w:trPr>
        <w:tc>
          <w:tcPr>
            <w:tcW w:w="172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w:anchor="page113">
              <w:r>
                <w:rPr>
                  <w:rFonts w:ascii="Arial" w:cs="Arial" w:eastAsia="Arial" w:hAnsi="Arial"/>
                  <w:sz w:val="18"/>
                  <w:szCs w:val="18"/>
                  <w:color w:val="0000FF"/>
                  <w:w w:val="91"/>
                </w:rPr>
                <w:t>Sarbanes-Oxley Act of 2002</w:t>
              </w:r>
            </w:hyperlink>
          </w:p>
        </w:tc>
        <w:tc>
          <w:tcPr>
            <w:tcW w:w="7040" w:type="dxa"/>
            <w:vAlign w:val="bottom"/>
            <w:tcBorders>
              <w:top w:val="single" w:sz="8" w:color="0000FF"/>
            </w:tcBorders>
            <w:gridSpan w:val="19"/>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720" w:type="dxa"/>
            <w:vAlign w:val="bottom"/>
          </w:tcPr>
          <w:p>
            <w:pPr>
              <w:jc w:val="center"/>
              <w:ind w:right="850"/>
              <w:spacing w:after="0"/>
              <w:rPr>
                <w:sz w:val="20"/>
                <w:szCs w:val="20"/>
                <w:color w:val="auto"/>
              </w:rPr>
            </w:pPr>
            <w:r>
              <w:rPr>
                <w:rFonts w:ascii="Arial" w:cs="Arial" w:eastAsia="Arial" w:hAnsi="Arial"/>
                <w:sz w:val="18"/>
                <w:szCs w:val="18"/>
                <w:color w:val="auto"/>
              </w:rPr>
              <w:t>32.1**</w:t>
            </w:r>
          </w:p>
        </w:tc>
        <w:tc>
          <w:tcPr>
            <w:tcW w:w="85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Certification by Chief Executive Officer pursuant to 18 U.S.C. Section 1350, as adopted pursuant to Section 906 of the</w:t>
              </w:r>
            </w:hyperlink>
          </w:p>
        </w:tc>
        <w:tc>
          <w:tcPr>
            <w:tcW w:w="600" w:type="dxa"/>
            <w:vAlign w:val="bottom"/>
            <w:gridSpan w:val="12"/>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w:anchor="page114">
              <w:r>
                <w:rPr>
                  <w:rFonts w:ascii="Arial" w:cs="Arial" w:eastAsia="Arial" w:hAnsi="Arial"/>
                  <w:sz w:val="18"/>
                  <w:szCs w:val="18"/>
                  <w:color w:val="0000FF"/>
                  <w:w w:val="91"/>
                </w:rPr>
                <w:t>Sarbanes-Oxley Act of 2002</w:t>
              </w:r>
            </w:hyperlink>
          </w:p>
        </w:tc>
        <w:tc>
          <w:tcPr>
            <w:tcW w:w="7100" w:type="dxa"/>
            <w:vAlign w:val="bottom"/>
            <w:gridSpan w:val="20"/>
          </w:tcPr>
          <w:p>
            <w:pPr>
              <w:spacing w:after="0"/>
              <w:rPr>
                <w:sz w:val="17"/>
                <w:szCs w:val="17"/>
                <w:color w:val="auto"/>
              </w:rPr>
            </w:pPr>
          </w:p>
        </w:tc>
      </w:tr>
      <w:tr>
        <w:trPr>
          <w:trHeight w:val="412"/>
        </w:trPr>
        <w:tc>
          <w:tcPr>
            <w:tcW w:w="1720" w:type="dxa"/>
            <w:vAlign w:val="bottom"/>
          </w:tcPr>
          <w:p>
            <w:pPr>
              <w:jc w:val="center"/>
              <w:ind w:right="850"/>
              <w:spacing w:after="0"/>
              <w:rPr>
                <w:sz w:val="20"/>
                <w:szCs w:val="20"/>
                <w:color w:val="auto"/>
              </w:rPr>
            </w:pPr>
            <w:r>
              <w:rPr>
                <w:rFonts w:ascii="Arial" w:cs="Arial" w:eastAsia="Arial" w:hAnsi="Arial"/>
                <w:sz w:val="18"/>
                <w:szCs w:val="18"/>
                <w:color w:val="auto"/>
              </w:rPr>
              <w:t>32.2**</w:t>
            </w:r>
          </w:p>
        </w:tc>
        <w:tc>
          <w:tcPr>
            <w:tcW w:w="9180" w:type="dxa"/>
            <w:vAlign w:val="bottom"/>
            <w:gridSpan w:val="25"/>
          </w:tcPr>
          <w:p>
            <w:pPr>
              <w:spacing w:after="0"/>
              <w:rPr>
                <w:rFonts w:ascii="Arial" w:cs="Arial" w:eastAsia="Arial" w:hAnsi="Arial"/>
                <w:sz w:val="18"/>
                <w:szCs w:val="18"/>
                <w:color w:val="0000FF"/>
                <w:w w:val="96"/>
              </w:rPr>
            </w:pPr>
            <w:hyperlink w:anchor="page115">
              <w:r>
                <w:rPr>
                  <w:rFonts w:ascii="Arial" w:cs="Arial" w:eastAsia="Arial" w:hAnsi="Arial"/>
                  <w:sz w:val="18"/>
                  <w:szCs w:val="18"/>
                  <w:color w:val="0000FF"/>
                  <w:w w:val="96"/>
                </w:rPr>
                <w:t>Certification by principal financial officer pursuant to 18 U.S.C. Section 1350, as adopted pursuant to Section 906 of the</w:t>
              </w:r>
            </w:hyperlink>
          </w:p>
        </w:tc>
      </w:tr>
      <w:tr>
        <w:trPr>
          <w:trHeight w:val="196"/>
        </w:trPr>
        <w:tc>
          <w:tcPr>
            <w:tcW w:w="1720" w:type="dxa"/>
            <w:vAlign w:val="bottom"/>
          </w:tcPr>
          <w:p>
            <w:pPr>
              <w:spacing w:after="0"/>
              <w:rPr>
                <w:sz w:val="17"/>
                <w:szCs w:val="17"/>
                <w:color w:val="auto"/>
              </w:rPr>
            </w:pPr>
          </w:p>
        </w:tc>
        <w:tc>
          <w:tcPr>
            <w:tcW w:w="86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115">
              <w:r>
                <w:rPr>
                  <w:rFonts w:ascii="Arial" w:cs="Arial" w:eastAsia="Arial" w:hAnsi="Arial"/>
                  <w:sz w:val="18"/>
                  <w:szCs w:val="18"/>
                  <w:color w:val="0000FF"/>
                </w:rPr>
                <w:t>Sarbanes-Oxley Act of 2002</w:t>
              </w:r>
            </w:hyperlink>
          </w:p>
        </w:tc>
        <w:tc>
          <w:tcPr>
            <w:tcW w:w="500" w:type="dxa"/>
            <w:vAlign w:val="bottom"/>
            <w:gridSpan w:val="10"/>
          </w:tcPr>
          <w:p>
            <w:pPr>
              <w:spacing w:after="0"/>
              <w:rPr>
                <w:sz w:val="17"/>
                <w:szCs w:val="17"/>
                <w:color w:val="auto"/>
              </w:rPr>
            </w:pPr>
          </w:p>
        </w:tc>
      </w:tr>
      <w:tr>
        <w:trPr>
          <w:trHeight w:val="453"/>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3"/>
              </w:rPr>
              <w:t>101.INS†</w:t>
            </w:r>
          </w:p>
        </w:tc>
        <w:tc>
          <w:tcPr>
            <w:tcW w:w="20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8"/>
              </w:rPr>
              <w:t>XBRL Instance Document</w:t>
            </w:r>
          </w:p>
        </w:tc>
        <w:tc>
          <w:tcPr>
            <w:tcW w:w="7120" w:type="dxa"/>
            <w:vAlign w:val="bottom"/>
            <w:gridSpan w:val="21"/>
          </w:tcPr>
          <w:p>
            <w:pPr>
              <w:spacing w:after="0"/>
              <w:rPr>
                <w:sz w:val="24"/>
                <w:szCs w:val="24"/>
                <w:color w:val="auto"/>
              </w:rPr>
            </w:pP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101.SCH†</w:t>
            </w:r>
          </w:p>
        </w:tc>
        <w:tc>
          <w:tcPr>
            <w:tcW w:w="91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4"/>
              </w:rPr>
              <w:t>101.CAL†</w:t>
            </w:r>
          </w:p>
        </w:tc>
        <w:tc>
          <w:tcPr>
            <w:tcW w:w="91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1"/>
              </w:rPr>
              <w:t>101.DEF†</w:t>
            </w:r>
          </w:p>
        </w:tc>
        <w:tc>
          <w:tcPr>
            <w:tcW w:w="91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6"/>
              </w:rPr>
              <w:t>101.LAB†</w:t>
            </w:r>
          </w:p>
        </w:tc>
        <w:tc>
          <w:tcPr>
            <w:tcW w:w="91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0"/>
              </w:rPr>
              <w:t>101.PRE†</w:t>
            </w:r>
          </w:p>
        </w:tc>
        <w:tc>
          <w:tcPr>
            <w:tcW w:w="91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332" w:hanging="332"/>
        <w:spacing w:after="0"/>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332" w:right="60" w:hanging="332"/>
        <w:spacing w:after="0" w:line="342" w:lineRule="auto"/>
        <w:tabs>
          <w:tab w:leader="none" w:pos="3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accompany the Annual Report on Form 10-K pursuant to Section 906 of the Sarbanes-Oxley Act of 2002 and shall not be deemed “filed” by the Company for purposes of Section 18 of the Securities Exchange Act of 1934, as amended.</w:t>
      </w:r>
    </w:p>
    <w:p>
      <w:pPr>
        <w:sectPr>
          <w:pgSz w:w="11900" w:h="16838" w:orient="portrait"/>
          <w:cols w:equalWidth="0" w:num="1">
            <w:col w:w="11372"/>
          </w:cols>
          <w:pgMar w:left="248" w:top="1162" w:right="279" w:bottom="1440" w:gutter="0" w:footer="0" w:header="0"/>
        </w:sectPr>
      </w:pPr>
    </w:p>
    <w:p>
      <w:pPr>
        <w:spacing w:after="0" w:line="259"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372"/>
          </w:cols>
          <w:pgMar w:left="248" w:top="1162" w:right="279" w:bottom="1440" w:gutter="0" w:footer="0" w:header="0"/>
          <w:type w:val="continuous"/>
        </w:sectPr>
      </w:pPr>
    </w:p>
    <w:bookmarkStart w:id="108" w:name="page109"/>
    <w:bookmarkEnd w:id="108"/>
    <w:p>
      <w:pPr>
        <w:ind w:left="332" w:hanging="332"/>
        <w:spacing w:after="0" w:line="293" w:lineRule="auto"/>
        <w:tabs>
          <w:tab w:leader="none" w:pos="3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3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32"/>
          </w:cols>
          <w:pgMar w:left="248" w:top="1017"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LIVEPERSON,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Ltd. (formerly HumanClick Ltd.) —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Kasamba Inc.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Germany GmbH —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(UK) Ltd. —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Netherlands B.V. —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At Once!, LLC — Georgia</w:t>
      </w:r>
    </w:p>
    <w:p>
      <w:pPr>
        <w:sectPr>
          <w:pgSz w:w="11900" w:h="16838" w:orient="portrait"/>
          <w:cols w:equalWidth="0" w:num="1">
            <w:col w:w="11420"/>
          </w:cols>
          <w:pgMar w:left="240" w:top="66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333-112019, 333-112018, 333-136249 and 333-147929) and Form S-8 (No. 333-229495, 333-224059, 333-34230, 333-147572, 333-159850, 333-168945, 333-194590 and 333-219573) of LivePerson, Inc. of our reports dated February 25, 2019, relating to the consolidated financial statements and the effectiveness of LivePerson, Inc.’s internal control over financial reporting, which appear in this Form 10-K.</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47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66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February 25, 2019</w:t>
            </w:r>
          </w:p>
        </w:tc>
        <w:tc>
          <w:tcPr>
            <w:tcW w:w="2980" w:type="dxa"/>
            <w:vAlign w:val="bottom"/>
          </w:tcPr>
          <w:p>
            <w:pPr>
              <w:ind w:left="222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980" w:type="dxa"/>
            <w:vAlign w:val="bottom"/>
            <w:vMerge w:val="restart"/>
          </w:tcPr>
          <w:p>
            <w:pPr>
              <w:ind w:left="2220"/>
              <w:spacing w:after="0"/>
              <w:rPr>
                <w:sz w:val="20"/>
                <w:szCs w:val="20"/>
                <w:color w:val="auto"/>
              </w:rPr>
            </w:pPr>
            <w:r>
              <w:rPr>
                <w:rFonts w:ascii="Arial" w:cs="Arial" w:eastAsia="Arial" w:hAnsi="Arial"/>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980" w:type="dxa"/>
            <w:vAlign w:val="bottom"/>
            <w:vMerge w:val="continue"/>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980" w:type="dxa"/>
            <w:vAlign w:val="bottom"/>
          </w:tcPr>
          <w:p>
            <w:pPr>
              <w:ind w:left="222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w w:val="99"/>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E. Greiner, certify that:</w:t>
      </w:r>
    </w:p>
    <w:p>
      <w:pPr>
        <w:spacing w:after="0" w:line="17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40"/>
              <w:spacing w:after="0"/>
              <w:rPr>
                <w:sz w:val="20"/>
                <w:szCs w:val="20"/>
                <w:color w:val="auto"/>
              </w:rPr>
            </w:pPr>
            <w:r>
              <w:rPr>
                <w:rFonts w:ascii="Arial" w:cs="Arial" w:eastAsia="Arial" w:hAnsi="Arial"/>
                <w:sz w:val="18"/>
                <w:szCs w:val="18"/>
                <w:color w:val="auto"/>
              </w:rPr>
              <w:t>February 25, 2019</w:t>
            </w:r>
          </w:p>
        </w:tc>
        <w:tc>
          <w:tcPr>
            <w:tcW w:w="2400" w:type="dxa"/>
            <w:vAlign w:val="bottom"/>
          </w:tcPr>
          <w:p>
            <w:pPr>
              <w:ind w:left="174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0" w:type="dxa"/>
            <w:vAlign w:val="bottom"/>
            <w:vMerge w:val="restart"/>
          </w:tcPr>
          <w:p>
            <w:pPr>
              <w:ind w:left="174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337"/>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vMerge w:val="restart"/>
          </w:tcPr>
          <w:p>
            <w:pPr>
              <w:ind w:left="174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5240" w:type="dxa"/>
            <w:vAlign w:val="bottom"/>
            <w:vMerge w:val="restart"/>
          </w:tcPr>
          <w:p>
            <w:pPr>
              <w:ind w:left="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2018,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25, 2019</w:t>
            </w:r>
          </w:p>
        </w:tc>
        <w:tc>
          <w:tcPr>
            <w:tcW w:w="2940" w:type="dxa"/>
            <w:vAlign w:val="bottom"/>
          </w:tcPr>
          <w:p>
            <w:pPr>
              <w:ind w:left="2280"/>
              <w:spacing w:after="0"/>
              <w:rPr>
                <w:sz w:val="20"/>
                <w:szCs w:val="20"/>
                <w:color w:val="auto"/>
              </w:rPr>
            </w:pPr>
            <w:r>
              <w:rPr>
                <w:rFonts w:ascii="Arial" w:cs="Arial" w:eastAsia="Arial" w:hAnsi="Arial"/>
                <w:sz w:val="18"/>
                <w:szCs w:val="18"/>
                <w:color w:val="auto"/>
              </w:rPr>
              <w:t>By:</w:t>
            </w:r>
          </w:p>
        </w:tc>
        <w:tc>
          <w:tcPr>
            <w:tcW w:w="4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940" w:type="dxa"/>
            <w:vAlign w:val="bottom"/>
            <w:vMerge w:val="restart"/>
          </w:tcPr>
          <w:p>
            <w:pPr>
              <w:ind w:left="2280"/>
              <w:spacing w:after="0"/>
              <w:rPr>
                <w:sz w:val="20"/>
                <w:szCs w:val="20"/>
                <w:color w:val="auto"/>
              </w:rPr>
            </w:pPr>
            <w:r>
              <w:rPr>
                <w:rFonts w:ascii="Arial" w:cs="Arial" w:eastAsia="Arial" w:hAnsi="Arial"/>
                <w:sz w:val="18"/>
                <w:szCs w:val="18"/>
                <w:color w:val="auto"/>
              </w:rPr>
              <w:t>Name:</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940" w:type="dxa"/>
            <w:vAlign w:val="bottom"/>
          </w:tcPr>
          <w:p>
            <w:pPr>
              <w:ind w:left="228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Christopher E. Greiner, Chief Financial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2018,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February 25, 2019</w:t>
            </w:r>
          </w:p>
        </w:tc>
        <w:tc>
          <w:tcPr>
            <w:tcW w:w="2160" w:type="dxa"/>
            <w:vAlign w:val="bottom"/>
          </w:tcPr>
          <w:p>
            <w:pPr>
              <w:ind w:left="1520"/>
              <w:spacing w:after="0"/>
              <w:rPr>
                <w:sz w:val="20"/>
                <w:szCs w:val="20"/>
                <w:color w:val="auto"/>
              </w:rPr>
            </w:pPr>
            <w:r>
              <w:rPr>
                <w:rFonts w:ascii="Arial" w:cs="Arial" w:eastAsia="Arial" w:hAnsi="Arial"/>
                <w:sz w:val="18"/>
                <w:szCs w:val="18"/>
                <w:color w:val="auto"/>
              </w:rPr>
              <w:t>By:</w:t>
            </w:r>
          </w:p>
        </w:tc>
        <w:tc>
          <w:tcPr>
            <w:tcW w:w="57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160" w:type="dxa"/>
            <w:vAlign w:val="bottom"/>
            <w:vMerge w:val="restart"/>
          </w:tcPr>
          <w:p>
            <w:pPr>
              <w:ind w:left="1520"/>
              <w:spacing w:after="0"/>
              <w:rPr>
                <w:sz w:val="20"/>
                <w:szCs w:val="20"/>
                <w:color w:val="auto"/>
              </w:rPr>
            </w:pPr>
            <w:r>
              <w:rPr>
                <w:rFonts w:ascii="Arial" w:cs="Arial" w:eastAsia="Arial" w:hAnsi="Arial"/>
                <w:sz w:val="18"/>
                <w:szCs w:val="18"/>
                <w:color w:val="auto"/>
              </w:rPr>
              <w:t>Name:</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351"/>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60" w:type="dxa"/>
            <w:vAlign w:val="bottom"/>
          </w:tcPr>
          <w:p>
            <w:pPr>
              <w:ind w:left="1520"/>
              <w:spacing w:after="0"/>
              <w:rPr>
                <w:sz w:val="20"/>
                <w:szCs w:val="20"/>
                <w:color w:val="auto"/>
              </w:rPr>
            </w:pPr>
            <w:r>
              <w:rPr>
                <w:rFonts w:ascii="Arial" w:cs="Arial" w:eastAsia="Arial" w:hAnsi="Arial"/>
                <w:sz w:val="18"/>
                <w:szCs w:val="18"/>
                <w:color w:val="auto"/>
              </w:rPr>
              <w:t>Title:</w:t>
            </w: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lowerRoman"/>
      <w:start w:val="2"/>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lvl w:ilvl="1">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decimal"/>
      <w:start w:val="3"/>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decimal"/>
      <w:start w:val="5"/>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5"/>
    </w:lvl>
  </w:abstractNum>
  <w:abstractNum w:abstractNumId="65">
    <w:nsid w:val="1F48EAA1"/>
    <w:multiLevelType w:val="hybridMultilevel"/>
    <w:lvl w:ilvl="0">
      <w:lvlJc w:val="left"/>
      <w:lvlText w:val="(%1)"/>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66" Type="http://schemas.openxmlformats.org/officeDocument/2006/relationships/image" Target="media/image35.png"/><Relationship Id="rId42" Type="http://schemas.openxmlformats.org/officeDocument/2006/relationships/hyperlink" Target="http://www.sec.gov/Archives/edgar/data/1102993/000114420406025812/v046069_ex2-1.htm" TargetMode="External"/><Relationship Id="rId43" Type="http://schemas.openxmlformats.org/officeDocument/2006/relationships/hyperlink" Target="http://www.sec.gov/Archives/edgar/data/1102993/000144530514005054/mergeragreement-exhibit21.htm" TargetMode="External"/><Relationship Id="rId44" Type="http://schemas.openxmlformats.org/officeDocument/2006/relationships/hyperlink" Target="http://www.sec.gov/Archives/edgar/data/1102993/000091205701505793/a2041838zex-3_1.txt" TargetMode="External"/><Relationship Id="rId45" Type="http://schemas.openxmlformats.org/officeDocument/2006/relationships/hyperlink" Target="http://www.sec.gov/Archives/edgar/data/1102993/000091205701505793/a2041838zex-3_2.txt" TargetMode="External"/><Relationship Id="rId46" Type="http://schemas.openxmlformats.org/officeDocument/2006/relationships/hyperlink" Target="http://www.sec.gov/Archives/edgar/data/1102993/000091205700002944/0000912057-00-002944.txt" TargetMode="External"/><Relationship Id="rId47" Type="http://schemas.openxmlformats.org/officeDocument/2006/relationships/hyperlink" Target="http://www.sec.gov/Archives/edgar/data/1102993/000114420409031652/v151820_ex99-1.htm" TargetMode="External"/><Relationship Id="rId48" Type="http://schemas.openxmlformats.org/officeDocument/2006/relationships/hyperlink" Target="http://www.sec.gov/Archives/edgar/data/1102993/000114420411026825/v221138_ex10-1.htm" TargetMode="External"/><Relationship Id="rId49" Type="http://schemas.openxmlformats.org/officeDocument/2006/relationships/hyperlink" Target="http://www.sec.gov/Archives/edgar/data/1102993/000114420412034047/v315687_ex99-1.htm" TargetMode="External"/><Relationship Id="rId50" Type="http://schemas.openxmlformats.org/officeDocument/2006/relationships/hyperlink" Target="http://www.sec.gov/Archives/edgar/data/1102993/000114420410045617/v194223_ex99-1.htm" TargetMode="External"/><Relationship Id="rId51" Type="http://schemas.openxmlformats.org/officeDocument/2006/relationships/hyperlink" Target="http://www.sec.gov/Archives/edgar/data/1102993/000114420412014539/v303693_ex10-5.htm" TargetMode="External"/><Relationship Id="rId52" Type="http://schemas.openxmlformats.org/officeDocument/2006/relationships/hyperlink" Target="http://www.sec.gov/Archives/edgar/data/1102993/000114420412014539/v303693_ex10-6.htm" TargetMode="External"/><Relationship Id="rId53" Type="http://schemas.openxmlformats.org/officeDocument/2006/relationships/hyperlink" Target="http://www.sec.gov/Archives/edgar/data/1102993/000114420412014539/v303693_ex10-8.htm" TargetMode="External"/><Relationship Id="rId54" Type="http://schemas.openxmlformats.org/officeDocument/2006/relationships/hyperlink" Target="http://www.sec.gov/Archives/edgar/data/1102993/000114420411024667/v220093_ex10-1.htm" TargetMode="External"/><Relationship Id="rId55" Type="http://schemas.openxmlformats.org/officeDocument/2006/relationships/hyperlink" Target="http://www.sec.gov/Archives/edgar/data/1102993/000144530514002062/a2014q1livepersonex102.htm" TargetMode="External"/><Relationship Id="rId56" Type="http://schemas.openxmlformats.org/officeDocument/2006/relationships/hyperlink" Target="http://www.sec.gov/Archives/edgar/data/1102993/000110299317000121/a2017q3livepersonex105b.htm" TargetMode="External"/><Relationship Id="rId57" Type="http://schemas.openxmlformats.org/officeDocument/2006/relationships/hyperlink" Target="http://www.sec.gov/Archives/edgar/data/1102993/000110299318000030/amendmenttocfoagreement2ex.htm" TargetMode="External"/><Relationship Id="rId58" Type="http://schemas.openxmlformats.org/officeDocument/2006/relationships/hyperlink" Target="http://www.sec.gov/Archives/edgar/data/1102993/000110299318000030/rsu_2015xtime8.htm" TargetMode="External"/><Relationship Id="rId59" Type="http://schemas.openxmlformats.org/officeDocument/2006/relationships/hyperlink" Target="http://www.sec.gov/Archives/edgar/data/1102993/000110299318000030/rsu_2017xceo.htm" TargetMode="External"/><Relationship Id="rId60" Type="http://schemas.openxmlformats.org/officeDocument/2006/relationships/hyperlink" Target="http://www.sec.gov/Archives/edgar/data/1102993/000110299318000030/exhibit991inducementplan1-.htm" TargetMode="External"/><Relationship Id="rId61" Type="http://schemas.openxmlformats.org/officeDocument/2006/relationships/hyperlink" Target="http://www.sec.gov/Archives/edgar/data/1102993/000110299318000030/liveperson-execagmtlocasci.htm" TargetMode="External"/><Relationship Id="rId62" Type="http://schemas.openxmlformats.org/officeDocument/2006/relationships/hyperlink" Target="http://www.sec.gov/Archives/edgar/data/1102993/000110299318000072/ex101offerletter-alexspine.htm" TargetMode="External"/><Relationship Id="rId63" Type="http://schemas.openxmlformats.org/officeDocument/2006/relationships/hyperlink" Target="http://www.sec.gov/Archives/edgar/data/1102993/000110299318000072/ex102offerletter-chrisgrei.htm" TargetMode="External"/><Relationship Id="rId64" Type="http://schemas.openxmlformats.org/officeDocument/2006/relationships/hyperlink" Target="http://www.sec.gov/Archives/edgar/data/1102993/000110299318000133/liveperson-2018ltipex101.htm" TargetMode="External"/><Relationship Id="rId65" Type="http://schemas.openxmlformats.org/officeDocument/2006/relationships/hyperlink" Target="http://www.sec.gov/Archives/edgar/data/1102993/000110299318000133/eransepagmt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2019-12-28T16:17:51Z</dcterms:created>
  <dcterms:modified xsi:type="dcterms:W3CDTF">2019-12-28T16:17:51Z</dcterms:modified>
</cp:coreProperties>
</file>