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8, 2025</w:t>
      </w: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LivePerson,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99" w:right="339" w:bottom="1440" w:gutter="0" w:footer="0" w:header="0"/>
        </w:sectPr>
      </w:pPr>
    </w:p>
    <w:p>
      <w:pPr>
        <w:spacing w:after="0" w:line="26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001-41926</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13-3861628</w:t>
      </w:r>
    </w:p>
    <w:p>
      <w:pPr>
        <w:spacing w:after="0" w:line="1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340" w:space="720"/>
            <w:col w:w="2560"/>
          </w:cols>
          <w:pgMar w:left="320" w:top="999" w:right="33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530 7th Ave, Floor M1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with 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609-4200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999" w:right="339"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jc w:val="center"/>
        <w:ind w:left="340" w:right="3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LPSN</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Rights to Purchase Series A Junior Participating Preferred Stock</w:t>
            </w:r>
          </w:p>
        </w:tc>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None</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8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by Item 3.03 of Form 8-K, the information set forth under Item 5.03 of this Current Report on Form 8-K is incorporated herein by reference into this Item 3.03.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previously reported, at a Special Meeting of Stockholders of LivePerson, Inc. (“LivePerson,” the “Company,” “we” or “us”) on October 2, 2025 (the “Special Meeting”), the Company’s stockholders approved a proposal to approve an amendment to the Company’s Fourth Amended and Restated Certificate of Incorporation, as amended, (i) to effect a reverse stock split of the Company’s common stock, par value $0.001 per share, subject to the Board of Directors’ discretion, at a ratio of not less than 1-for-5 and not greater than 1-for-20, with the exact ratio to be set within that range at the discretion of the Board of Directors, without further approval or authorization of the stockholders, prior to the one-year anniversary of the date on which the reverse stock split is approved by the Company’s stockholders at the Special Meeting and (ii) if and when the reverse stock split is effected, to decrease the number of authorized shares of the Company’s common stock in the same ratio as is selected for the reverse stock split.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Special Meeting, the Board approved a reverse stock split (the “Reverse Stock Split”) at a ratio of 1-for-15 (the “Reverse Stock Split Ratio”) and a corresponding reduction in the number of authorized shares of common stock (the “Authorized Share Reduction”).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October 13, 2025, the Company plans to file a Certificate of Amendment No. 3 to the Company’s certificate of incorporation (the “Certificate of Amendment”) with the Secretary of State of the State of Delaware, as a result of which the Reverse Stock Split and the Authorized Share Reduction are expected to be effected prior to market open on October 13, 2025 (the “Effective Time”).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Certificate of Amendment does not purport to be complete and is qualified in its entirety by reference to the complete text of the form of the Certificate of Amendment, a copy of which is attached hereto as Exhibit 3.1 and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Split Adjustment; Treatment of Fractional Shares</w:t>
      </w:r>
    </w:p>
    <w:p>
      <w:pPr>
        <w:spacing w:after="0" w:line="2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At the Effective Time, every 15 shares of issued and outstanding common stock will be automatically reclassified and combined into one share of common stock. In addition, the number of authorized shares of common stock will be proportionately reduced, resulting in a decrease from 300,000,000 to 20,000,000 authorized shares of common stock. Proportionate adjustments will be made to (i) the number of shares of common stock available for issuance under the Company’s equity plans, (ii) the number of shares underlying, the exercise prices of, and performance hurdles of, outstanding equity awards, as applicable, that have been previously granted under such equity plans or other arrangements, (iii) the number of shares or notional shares underlying, and the exercise prices of, the Company’s outstanding warrants, (iv) the number of shares or notional shares underlying, and the conversion prices of, the Company’s outstanding convertible notes and (v) the number of rights outstanding pursuant to the Company’s Tax Benefits Preservation Plan, in each case in accordance with their respective terms. The Reverse Stock Split will not affect the par value of the common stock. Neither the Reverse Stock Split nor the Authorized Share Reduction will have any effect on the number of shares of preferred stock that the Company is authorized to issue under its certificate of incorporation.</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the Reverse Stock Split. Instead, any stockholders who would have been entitled to receive fractional shares as a result of the Reverse Stock Split will receive cash payments in lieu of their fractional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Symbol; New CUSIP</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common stock is expected to begin trading on a post-Reverse Stock Split basis on the Nasdaq Global Select Market at the market open on October 13, 2025 under the Company’s existing trading symbol “LPSN”. The new CUSIP number for the common stock following the Reverse Stock Split will be 538146 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Statements in this Current Report on Form 8-K regarding LivePerson that are not historical facts are forward-looking statements and are subject to risks and uncertainties that could cause actual future events or results to differ materially from such statements. Any such forward-looking statements, including but not limited to statements about the Reverse Stock Split and the Authorized Share Reduction and the timing thereof, the impact of the Reverse Stock Split and the Authorized Share Reduction on stockholders, the potential impact of the Reverse Stock Split and the Authorized Share Reduction on the Company’s share price, and the potential for the Company to regain compliance with the minimum bid price requirement for continued listing on the Nasdaq Global Select Market, are made pursuant to the safe harbor provisions of the Private Securities Litigation Reform Act of 1995. Some of the factors that could cause actual results to differ materially from the forward-looking statements contained herein include, without limitation: our ability to retain existing customers and cause them to purchase additional services and to attract new customers; the intensive personnel, infrastructure and resource commitment required to support our customer base; our ability to retain key personnel, attract new personnel and to manage staff attrition; our ability to successfully integrate acquisitions; our ability to refinance our substantial indebtedness before it becomes due or to secure necessary additional financing on commercially reasonable terms, or at all; lengthy sales cycles; delays in our implementation cycles; payment-related risks; potential fluctuations in our quarterly revenue and operating results; limitations on the effectiveness of our controls; non-payment or late payment of amounts due to us from a significant number of customers; volatility in the capital markets; recognition of revenue from subscriptions; customer retention and engagement; our ability to develop and maintain successful relationships with partners, service partners, social media and other third-party consumer messaging platforms and endpoints; our ability to effectively operate on mobile devices; the highly competitive markets in which we operate; general economic conditions; failures or security breaches in our services, those of our third-party service providers, or in the websites of our customers; regulation or possible misappropriation of personal information belonging to our customers’ Internet users; US and international laws and regulations regarding privacy data protection and AI and increased public scrutiny of privacy, security and AI issues that could result in increased government regulation and other legal obligations; ongoing litigation and legal matters; new regulatory or other legal requirements that could materially impact our business; governmental export controls and economic sanctions; industry-specific regulation and unfavorable industry-specific laws, regulations or interpretive positions; future regulation of the Internet or mobile devices; technology-related defects that could disrupt the LivePerson services; our ability to protect our intellectual property rights or potential infringement of the intellectual property rights of third parties; the use of AI in our product offerings or by our vendors; the presence of, and difficulty in correcting, errors, failures or “bugs” in our products; our ability to license necessary third-party software for use in our products and services, and our ability to successfully integrate third-party software; potential adverse impact due to foreign currency and cryptocurrency exchange rate fluctuations; additional regulatory requirements, tax liabilities, currency exchange rate fluctuations and other risks if and as we expand; risks related to our operations in Israel; potential failure to meet service level commitments to certain customers; legal liability and/or negative publicity for the services provided to consumers via our technology platforms; technological or other defects that could disrupt or negatively impact our services; our ability to maintain our reputation; changes in accounting principles generally accepted in the United States; natural catastrophic events and interruption to our business by man-made problems; potential limitations on our ability to use net operating losses to offset future taxable income; risks related to our common stock being traded on more than one securities exchange; and other factors described in the “Risk Factors” sections of our Annual Report on Form 10-K for the year ended December 31, 2024, filed with the SEC on March 14, 2025 and our Quarterly Report on Form 10-Q for the quarterly period ended June 30, 2025, filed with the SEC on August 13, 2025. This list is intended to identify only certain of the principal factors that could cause actual results to differ from those discussed in the forward-looking statements. Readers are referred to our reports and documents filed from time to time by us with the SEC for a discussion of these and other important factors that could cause actual results to differ from those discussed in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682625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documents are included as exhibits to this report: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54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 of Certificate of Amendment No. 3 to the Company’s Fourth Amended and Restated Certificate of Incorporation, as amended.</w:t>
            </w:r>
          </w:p>
        </w:tc>
      </w:tr>
      <w:tr>
        <w:trPr>
          <w:trHeight w:val="22"/>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236"/>
        </w:trPr>
        <w:tc>
          <w:tcPr>
            <w:tcW w:w="154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153"/>
        </w:trPr>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October 8, 2025</w:t>
      </w:r>
    </w:p>
    <w:p>
      <w:pPr>
        <w:spacing w:after="0" w:line="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(Registrant)</w:t>
      </w:r>
    </w:p>
    <w:p>
      <w:pPr>
        <w:spacing w:after="0" w:line="360"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MONICA L.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1555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5115" cy="8890"/>
                    </a:xfrm>
                    <a:prstGeom prst="rect">
                      <a:avLst/>
                    </a:prstGeom>
                    <a:noFill/>
                  </pic:spPr>
                </pic:pic>
              </a:graphicData>
            </a:graphic>
          </wp:anchor>
        </w:drawing>
      </w:r>
    </w:p>
    <w:p>
      <w:pPr>
        <w:spacing w:after="0" w:line="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Monica L. Greenberg</w:t>
      </w:r>
    </w:p>
    <w:p>
      <w:pPr>
        <w:spacing w:after="0" w:line="9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Executive Vice President, Policy and General Counsel</w:t>
      </w:r>
    </w:p>
    <w:p>
      <w:pPr>
        <w:sectPr>
          <w:pgSz w:w="11900" w:h="16838" w:orient="portrait"/>
          <w:cols w:equalWidth="0" w:num="1">
            <w:col w:w="11240"/>
          </w:cols>
          <w:pgMar w:left="320" w:top="1440" w:right="339" w:bottom="1440" w:gutter="0" w:footer="0" w:header="0"/>
        </w:sectPr>
      </w:pPr>
    </w:p>
    <w:bookmarkStart w:id="5" w:name="page6"/>
    <w:bookmarkEnd w:id="5"/>
    <w:p>
      <w:pPr>
        <w:jc w:val="center"/>
        <w:ind w:left="380" w:right="1340"/>
        <w:spacing w:after="0" w:line="538" w:lineRule="auto"/>
        <w:rPr>
          <w:sz w:val="20"/>
          <w:szCs w:val="20"/>
          <w:color w:val="auto"/>
        </w:rPr>
      </w:pPr>
      <w:r>
        <w:rPr>
          <w:rFonts w:ascii="Times New Roman" w:cs="Times New Roman" w:eastAsia="Times New Roman" w:hAnsi="Times New Roman"/>
          <w:sz w:val="22"/>
          <w:szCs w:val="22"/>
          <w:b w:val="1"/>
          <w:bCs w:val="1"/>
          <w:color w:val="auto"/>
        </w:rPr>
        <w:t>CERTIFICATE OF AMENDMENT No. 3 TO THE FOURTH AMENDED AND RESTATED CERTIFICATE OF INCORPORATION OF LIVEPERSON, INC.</w:t>
      </w: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LivePerson, Inc. (the “Corporation”), a corporation organized and existing under and by virtue of the provisions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Corporation Law of the State of Delaware (the “DGCL”), does hereby certify as follows:</w:t>
      </w:r>
    </w:p>
    <w:p>
      <w:pPr>
        <w:spacing w:after="0" w:line="196" w:lineRule="exact"/>
        <w:rPr>
          <w:sz w:val="20"/>
          <w:szCs w:val="20"/>
          <w:color w:val="auto"/>
        </w:rPr>
      </w:pPr>
    </w:p>
    <w:p>
      <w:pPr>
        <w:ind w:left="1040" w:hanging="384"/>
        <w:spacing w:after="0"/>
        <w:tabs>
          <w:tab w:leader="none" w:pos="10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Name</w:t>
      </w:r>
      <w:r>
        <w:rPr>
          <w:rFonts w:ascii="Times New Roman" w:cs="Times New Roman" w:eastAsia="Times New Roman" w:hAnsi="Times New Roman"/>
          <w:sz w:val="22"/>
          <w:szCs w:val="22"/>
          <w:color w:val="auto"/>
        </w:rPr>
        <w:t>. The name of the corporation is LivePerson, Inc.</w:t>
      </w:r>
    </w:p>
    <w:p>
      <w:pPr>
        <w:spacing w:after="0" w:line="219" w:lineRule="exact"/>
        <w:rPr>
          <w:rFonts w:ascii="Times New Roman" w:cs="Times New Roman" w:eastAsia="Times New Roman" w:hAnsi="Times New Roman"/>
          <w:sz w:val="22"/>
          <w:szCs w:val="22"/>
          <w:color w:val="auto"/>
        </w:rPr>
      </w:pPr>
    </w:p>
    <w:p>
      <w:pPr>
        <w:ind w:left="1300" w:right="80" w:hanging="644"/>
        <w:spacing w:after="0" w:line="263" w:lineRule="auto"/>
        <w:tabs>
          <w:tab w:leader="none" w:pos="103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 Amended and Restated Certificate of Incorporation</w:t>
      </w:r>
      <w:r>
        <w:rPr>
          <w:rFonts w:ascii="Times New Roman" w:cs="Times New Roman" w:eastAsia="Times New Roman" w:hAnsi="Times New Roman"/>
          <w:sz w:val="22"/>
          <w:szCs w:val="22"/>
          <w:color w:val="auto"/>
        </w:rPr>
        <w:t>. The Fourth Amended and Restated Certificate of Incorporation of the Corporation was filed with the Secretary of State of the State of Delaware on April 12, 2000, as amended (the “</w:t>
      </w:r>
      <w:r>
        <w:rPr>
          <w:rFonts w:ascii="Times New Roman" w:cs="Times New Roman" w:eastAsia="Times New Roman" w:hAnsi="Times New Roman"/>
          <w:sz w:val="22"/>
          <w:szCs w:val="22"/>
          <w:u w:val="single" w:color="auto"/>
          <w:color w:val="auto"/>
        </w:rPr>
        <w:t>Fourth A&amp;R Certificate of Incorporation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300" w:hanging="644"/>
        <w:spacing w:after="0" w:line="260" w:lineRule="auto"/>
        <w:tabs>
          <w:tab w:leader="none" w:pos="103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Upon the filing and effectiveness (the “</w:t>
      </w:r>
      <w:r>
        <w:rPr>
          <w:rFonts w:ascii="Times New Roman" w:cs="Times New Roman" w:eastAsia="Times New Roman" w:hAnsi="Times New Roman"/>
          <w:sz w:val="21"/>
          <w:szCs w:val="21"/>
          <w:u w:val="single" w:color="auto"/>
          <w:color w:val="auto"/>
        </w:rPr>
        <w:t>Effective Time</w:t>
      </w:r>
      <w:r>
        <w:rPr>
          <w:rFonts w:ascii="Times New Roman" w:cs="Times New Roman" w:eastAsia="Times New Roman" w:hAnsi="Times New Roman"/>
          <w:sz w:val="21"/>
          <w:szCs w:val="21"/>
          <w:color w:val="auto"/>
        </w:rPr>
        <w:t>”) pursuant to the General Corporation Law of the State of Delaware of this Certificate of Amendment to the Fourth A&amp;R Certificate of Incorporation of the Corporation, each fifteen (15) shares of the Corporation’s Common Stock, par value $0.001 per share (“</w:t>
      </w:r>
      <w:r>
        <w:rPr>
          <w:rFonts w:ascii="Times New Roman" w:cs="Times New Roman" w:eastAsia="Times New Roman" w:hAnsi="Times New Roman"/>
          <w:sz w:val="21"/>
          <w:szCs w:val="21"/>
          <w:u w:val="single" w:color="auto"/>
          <w:color w:val="auto"/>
        </w:rPr>
        <w:t>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issued and outstanding immediately prior to the Effective Time shall automatically be combined into one</w:t>
      </w:r>
    </w:p>
    <w:p>
      <w:pPr>
        <w:spacing w:after="0" w:line="3" w:lineRule="exact"/>
        <w:rPr>
          <w:rFonts w:ascii="Times New Roman" w:cs="Times New Roman" w:eastAsia="Times New Roman" w:hAnsi="Times New Roman"/>
          <w:sz w:val="21"/>
          <w:szCs w:val="21"/>
          <w:color w:val="auto"/>
        </w:rPr>
      </w:pPr>
    </w:p>
    <w:p>
      <w:pPr>
        <w:ind w:left="1300" w:right="420"/>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validly issued, fully paid and non-assessable share of Common Stock, without any further action by the Corporation or the holder thereof, subject to the treatment of fractional share interests as described below (the “</w:t>
      </w:r>
      <w:r>
        <w:rPr>
          <w:rFonts w:ascii="Times New Roman" w:cs="Times New Roman" w:eastAsia="Times New Roman" w:hAnsi="Times New Roman"/>
          <w:sz w:val="22"/>
          <w:szCs w:val="22"/>
          <w:u w:val="single" w:color="auto"/>
          <w:color w:val="auto"/>
        </w:rPr>
        <w:t>Reverse Stock Split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1"/>
          <w:szCs w:val="21"/>
          <w:color w:val="auto"/>
        </w:rPr>
      </w:pPr>
    </w:p>
    <w:p>
      <w:pPr>
        <w:ind w:left="1300" w:hanging="644"/>
        <w:spacing w:after="0" w:line="250" w:lineRule="auto"/>
        <w:tabs>
          <w:tab w:leader="none" w:pos="103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shall be issued in connection with the Reverse Stock Split. For any fraction of a share of Common Stock remaining after giving effect to the Reverse Stock Split, the Corporation shall, in lieu of issuing a fractional share, pay cash to such holder equal to the product of such fraction multiplied by the fair market value of one share of Common Stock on the Nasdaq Global Select Market (as adjusted to give effect to the Reverse Stock Split) as of the closing price as quoted on the Nasdaq Global Select Market on the day of the Effective Time. The Reverse Stock Split shall occur whether or not any certificates representing such shares are surrendered to the Corporation or its transfer agent.</w:t>
      </w:r>
    </w:p>
    <w:p>
      <w:pPr>
        <w:spacing w:after="0" w:line="180" w:lineRule="exact"/>
        <w:rPr>
          <w:rFonts w:ascii="Times New Roman" w:cs="Times New Roman" w:eastAsia="Times New Roman" w:hAnsi="Times New Roman"/>
          <w:sz w:val="22"/>
          <w:szCs w:val="22"/>
          <w:color w:val="auto"/>
        </w:rPr>
      </w:pPr>
    </w:p>
    <w:p>
      <w:pPr>
        <w:ind w:left="1300" w:right="1080" w:hanging="644"/>
        <w:spacing w:after="0" w:line="284" w:lineRule="auto"/>
        <w:tabs>
          <w:tab w:leader="none" w:pos="103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Upon the Effective Time, the first paragraph of Article IV of the Fourth A&amp;R Certificate of Incorporation is hereby amended and restated in its entirety to read as follows:</w:t>
      </w:r>
    </w:p>
    <w:p>
      <w:pPr>
        <w:spacing w:after="0" w:line="14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“A. CLASSES OF STOCK. The total number of shares of stock which the Corporation shall have authority to issue is twenty-five million (25,000,000), consisting of five million (5,000,000) shares of Preferred Stock, par value $.001 per share (the “Preferred Stock”), and</w:t>
      </w:r>
    </w:p>
    <w:p>
      <w:pPr>
        <w:sectPr>
          <w:pgSz w:w="11900" w:h="16838" w:orient="portrait"/>
          <w:cols w:equalWidth="0" w:num="1">
            <w:col w:w="11200"/>
          </w:cols>
          <w:pgMar w:left="320" w:top="1418" w:right="37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22"/>
          <w:szCs w:val="22"/>
          <w:color w:val="auto"/>
        </w:rPr>
        <w:t>twenty million (20,000,000) shares of Common Stock, par value $.001 per share (the “Common Stock”). The consideration for the issuance of the shares shall be paid to or received by the Corporation in full before their issuance and shall not be less than the par value per share. 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w:t>
      </w:r>
    </w:p>
    <w:p>
      <w:pPr>
        <w:spacing w:after="0" w:line="179" w:lineRule="exact"/>
        <w:rPr>
          <w:sz w:val="20"/>
          <w:szCs w:val="20"/>
          <w:color w:val="auto"/>
        </w:rPr>
      </w:pPr>
    </w:p>
    <w:p>
      <w:pPr>
        <w:ind w:left="1300" w:right="300" w:hanging="644"/>
        <w:spacing w:after="0" w:line="271" w:lineRule="auto"/>
        <w:tabs>
          <w:tab w:leader="none" w:pos="103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Adoption</w:t>
      </w:r>
      <w:r>
        <w:rPr>
          <w:rFonts w:ascii="Times New Roman" w:cs="Times New Roman" w:eastAsia="Times New Roman" w:hAnsi="Times New Roman"/>
          <w:sz w:val="22"/>
          <w:szCs w:val="22"/>
          <w:color w:val="auto"/>
        </w:rPr>
        <w:t>. Said amendment was duly adopted in accordance with the provisions of Section 242 of the General Corporation Law of the State of Delaware.</w:t>
      </w:r>
    </w:p>
    <w:p>
      <w:pPr>
        <w:spacing w:after="0" w:line="157" w:lineRule="exact"/>
        <w:rPr>
          <w:rFonts w:ascii="Times New Roman" w:cs="Times New Roman" w:eastAsia="Times New Roman" w:hAnsi="Times New Roman"/>
          <w:sz w:val="22"/>
          <w:szCs w:val="22"/>
          <w:color w:val="auto"/>
        </w:rPr>
      </w:pPr>
    </w:p>
    <w:p>
      <w:pPr>
        <w:ind w:left="1300" w:right="380" w:hanging="644"/>
        <w:spacing w:after="0" w:line="284" w:lineRule="auto"/>
        <w:tabs>
          <w:tab w:leader="none" w:pos="103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Certificate of Amendment shall be effective as of the filing of this Certificate of Amendment with the Secretary of State of the State of Delaware.</w:t>
      </w:r>
    </w:p>
    <w:p>
      <w:pPr>
        <w:sectPr>
          <w:pgSz w:w="11900" w:h="16838" w:orient="portrait"/>
          <w:cols w:equalWidth="0" w:num="1">
            <w:col w:w="11240"/>
          </w:cols>
          <w:pgMar w:left="320" w:top="142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IN WITNESS WHEREOF, the undersigned has duly executed this Certificate of Amendment as of October 13, 2025.</w:t>
      </w:r>
    </w:p>
    <w:p>
      <w:pPr>
        <w:sectPr>
          <w:pgSz w:w="11900" w:h="16838" w:orient="portrait"/>
          <w:cols w:equalWidth="0" w:num="1">
            <w:col w:w="10140"/>
          </w:cols>
          <w:pgMar w:left="980" w:top="1422" w:right="779" w:bottom="1440" w:gutter="0" w:footer="0" w:header="0"/>
        </w:sectPr>
      </w:pPr>
    </w:p>
    <w:p>
      <w:pPr>
        <w:spacing w:after="0" w:line="2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LIVEPERSON, INC.</w:t>
      </w:r>
    </w:p>
    <w:p>
      <w:pPr>
        <w:spacing w:after="0" w:line="2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-13970</wp:posOffset>
            </wp:positionV>
            <wp:extent cx="822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Title:</w:t>
      </w:r>
    </w:p>
    <w:sectPr>
      <w:pgSz w:w="11900" w:h="16838" w:orient="portrait"/>
      <w:cols w:equalWidth="0" w:num="1">
        <w:col w:w="10140"/>
      </w:cols>
      <w:pgMar w:left="980" w:top="1422" w:right="7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2025-10-08T16:53:36Z</dcterms:created>
  <dcterms:modified xsi:type="dcterms:W3CDTF">2025-10-08T16:53:36Z</dcterms:modified>
</cp:coreProperties>
</file>