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Greenberg Monica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LIVEPERSON, INC.,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7TH AVE, FLOOR M1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LIVEPERSON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LPSN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Policy &amp; 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automatically by the issuer in order to cover the reporting person's tax liability incurred in connection with the vesting of the reporting person's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reported includes 44,651 unvested restricted stock units granted to and held by the reporting person following the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Monica L. Greenberg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179" TargetMode="External"/><Relationship Id="rId14" Type="http://schemas.openxmlformats.org/officeDocument/2006/relationships/hyperlink" Target="http://www.sec.gov/cgi-bin/browse-edgar?action=getcompany&amp;CIK=0001102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2026-05-19T17:29:56Z</dcterms:created>
  <dcterms:modified xsi:type="dcterms:W3CDTF">2026-05-19T17:29:56Z</dcterms:modified>
</cp:coreProperties>
</file>