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Filed by: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Pursuant to Rule 425 under the Securities Act of 1933</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Subject Company: LivePerson, Inc.</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Commission File No. 001-41926</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Date: August 25,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LivePerson Social Posts</w:t>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08.25.26</w:t>
      </w:r>
    </w:p>
    <w:p>
      <w:pPr>
        <w:pStyle w:val="TextBody"/>
        <w:bidi w:val="0"/>
        <w:spacing w:before="0" w:after="0"/>
        <w:jc w:val="center"/>
        <w:rPr/>
      </w:pPr>
      <w:r>
        <w:rPr/>
        <w:drawing>
          <wp:inline distT="0" distB="0" distL="0" distR="0">
            <wp:extent cx="3743325" cy="6143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43325" cy="6143625"/>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5353050" cy="59245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353050" cy="59245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website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1317</Words>
  <Characters>7813</Characters>
  <CharactersWithSpaces>9113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