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70814ds8pos.htm"/>
      <w:bookmarkStart w:id="1" w:name="ksd170814ds8pos"/>
      <w:bookmarkEnd w:id="0"/>
      <w:bookmarkEnd w:id="1"/>
      <w:r>
        <w:rPr>
          <w:rFonts w:ascii="Times New Roman" w:hAnsi="Times New Roman"/>
          <w:b/>
          <w:sz w:val="20"/>
        </w:rPr>
        <w:t xml:space="preserve">As filed with the Securities and Exchange Commission on September 4,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333- 34230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333-147572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333-159850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333-168945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333-194590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333-219573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333-224059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333-229495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333-234676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333-245808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333-258578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333-261121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333-264897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333-275611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333-277807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333-280358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333-283851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333-289765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POST-EFFECTIVE AMENDMENT NO. 1 TO FORM S-8 REGISTRATION STATEMENT NO. 333- 34230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333-147572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333-159850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333-168945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333-194590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333-219573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333-224059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333-229495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333-234676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333-245808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333-258578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333-261121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333-264897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333-275611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333-277807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333-280358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333-283851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333-289765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LivePerson,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13-3861628</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530 7th Ave, Floor M1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10018 </w:t>
      </w:r>
    </w:p>
    <w:p>
      <w:pPr>
        <w:pStyle w:val="TextBody"/>
        <w:bidi w:val="0"/>
        <w:spacing w:before="0" w:after="0"/>
        <w:jc w:val="center"/>
        <w:rPr>
          <w:rFonts w:ascii="Times New Roman" w:hAnsi="Times New Roman"/>
          <w:b/>
          <w:sz w:val="20"/>
        </w:rPr>
      </w:pPr>
      <w:r>
        <w:rPr>
          <w:rFonts w:ascii="Times New Roman" w:hAnsi="Times New Roman"/>
          <w:b/>
          <w:sz w:val="20"/>
        </w:rPr>
        <w:t xml:space="preserve">(212) 609-4200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CEO Stock Option Inducement Award </w:t>
      </w:r>
    </w:p>
    <w:p>
      <w:pPr>
        <w:pStyle w:val="TextBody"/>
        <w:bidi w:val="0"/>
        <w:spacing w:before="240" w:after="0"/>
        <w:jc w:val="center"/>
        <w:rPr>
          <w:rFonts w:ascii="Times New Roman" w:hAnsi="Times New Roman"/>
          <w:b/>
          <w:sz w:val="20"/>
        </w:rPr>
      </w:pPr>
      <w:r>
        <w:rPr>
          <w:rFonts w:ascii="Times New Roman" w:hAnsi="Times New Roman"/>
          <w:b/>
          <w:sz w:val="20"/>
        </w:rPr>
        <w:t xml:space="preserve">LivePerson, Inc. 2019 Stock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LivePerson, Inc. 2019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LivePerson, Inc. 2018 Inducement Plan </w:t>
      </w:r>
    </w:p>
    <w:p>
      <w:pPr>
        <w:pStyle w:val="TextBody"/>
        <w:bidi w:val="0"/>
        <w:spacing w:before="240" w:after="0"/>
        <w:jc w:val="center"/>
        <w:rPr>
          <w:rFonts w:ascii="Times New Roman" w:hAnsi="Times New Roman"/>
          <w:b/>
          <w:sz w:val="20"/>
        </w:rPr>
      </w:pPr>
      <w:r>
        <w:rPr>
          <w:rFonts w:ascii="Times New Roman" w:hAnsi="Times New Roman"/>
          <w:b/>
          <w:sz w:val="20"/>
        </w:rPr>
        <w:t xml:space="preserve">LivePerson, Inc. 2010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 xml:space="preserve">LivePerson, Inc. 2009 Stock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Kasamba Inc. 2003 Israeli Share Option Plan </w:t>
      </w:r>
    </w:p>
    <w:p>
      <w:pPr>
        <w:pStyle w:val="TextBody"/>
        <w:bidi w:val="0"/>
        <w:spacing w:before="240" w:after="0"/>
        <w:jc w:val="center"/>
        <w:rPr>
          <w:rFonts w:ascii="Times New Roman" w:hAnsi="Times New Roman"/>
          <w:b/>
          <w:sz w:val="20"/>
        </w:rPr>
      </w:pPr>
      <w:r>
        <w:rPr>
          <w:rFonts w:ascii="Times New Roman" w:hAnsi="Times New Roman"/>
          <w:b/>
          <w:sz w:val="20"/>
        </w:rPr>
        <w:t xml:space="preserve">LivePerson, Inc. 2000 Stock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LivePerson, Inc.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Monica L. Greenberg, Esq. </w:t>
      </w:r>
    </w:p>
    <w:p>
      <w:pPr>
        <w:pStyle w:val="TextBody"/>
        <w:bidi w:val="0"/>
        <w:spacing w:before="0" w:after="0"/>
        <w:jc w:val="center"/>
        <w:rPr>
          <w:rFonts w:ascii="Times New Roman" w:hAnsi="Times New Roman"/>
          <w:b/>
          <w:sz w:val="20"/>
        </w:rPr>
      </w:pPr>
      <w:r>
        <w:rPr>
          <w:rFonts w:ascii="Times New Roman" w:hAnsi="Times New Roman"/>
          <w:b/>
          <w:sz w:val="20"/>
        </w:rPr>
        <w:t xml:space="preserve">Chief Legal and Administrative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LivePerson, Inc. </w:t>
      </w:r>
    </w:p>
    <w:p>
      <w:pPr>
        <w:pStyle w:val="TextBody"/>
        <w:bidi w:val="0"/>
        <w:spacing w:before="0" w:after="0"/>
        <w:jc w:val="center"/>
        <w:rPr>
          <w:rFonts w:ascii="Times New Roman" w:hAnsi="Times New Roman"/>
          <w:b/>
          <w:sz w:val="20"/>
        </w:rPr>
      </w:pPr>
      <w:r>
        <w:rPr>
          <w:rFonts w:ascii="Times New Roman" w:hAnsi="Times New Roman"/>
          <w:b/>
          <w:sz w:val="20"/>
        </w:rPr>
        <w:t xml:space="preserve">530 7th Avenue, Floor M1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10018 </w:t>
      </w:r>
    </w:p>
    <w:p>
      <w:pPr>
        <w:pStyle w:val="TextBody"/>
        <w:bidi w:val="0"/>
        <w:spacing w:before="0" w:after="0"/>
        <w:jc w:val="center"/>
        <w:rPr>
          <w:rFonts w:ascii="Times New Roman" w:hAnsi="Times New Roman"/>
          <w:b/>
          <w:sz w:val="20"/>
        </w:rPr>
      </w:pPr>
      <w:r>
        <w:rPr>
          <w:rFonts w:ascii="Times New Roman" w:hAnsi="Times New Roman"/>
          <w:b/>
          <w:sz w:val="20"/>
        </w:rPr>
        <w:t xml:space="preserve">(212) 609-4200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Copy to: </w:t>
      </w:r>
    </w:p>
    <w:p>
      <w:pPr>
        <w:pStyle w:val="TextBody"/>
        <w:bidi w:val="0"/>
        <w:spacing w:before="120" w:after="0"/>
        <w:jc w:val="center"/>
        <w:rPr>
          <w:rFonts w:ascii="Times New Roman" w:hAnsi="Times New Roman"/>
          <w:b/>
          <w:sz w:val="20"/>
        </w:rPr>
      </w:pPr>
      <w:r>
        <w:rPr>
          <w:rFonts w:ascii="Times New Roman" w:hAnsi="Times New Roman"/>
          <w:b/>
          <w:sz w:val="20"/>
        </w:rPr>
        <w:t xml:space="preserve">Mark Hayek, Esq. </w:t>
      </w:r>
    </w:p>
    <w:p>
      <w:pPr>
        <w:pStyle w:val="TextBody"/>
        <w:bidi w:val="0"/>
        <w:spacing w:before="0" w:after="0"/>
        <w:jc w:val="center"/>
        <w:rPr>
          <w:rFonts w:ascii="Times New Roman" w:hAnsi="Times New Roman"/>
          <w:b/>
          <w:sz w:val="20"/>
        </w:rPr>
      </w:pPr>
      <w:r>
        <w:rPr>
          <w:rFonts w:ascii="Times New Roman" w:hAnsi="Times New Roman"/>
          <w:b/>
          <w:sz w:val="20"/>
        </w:rPr>
        <w:t xml:space="preserve">Amy Blackman, Esq. </w:t>
      </w:r>
    </w:p>
    <w:p>
      <w:pPr>
        <w:pStyle w:val="TextBody"/>
        <w:bidi w:val="0"/>
        <w:spacing w:before="0" w:after="0"/>
        <w:jc w:val="center"/>
        <w:rPr>
          <w:rFonts w:ascii="Times New Roman" w:hAnsi="Times New Roman"/>
          <w:b/>
          <w:sz w:val="20"/>
        </w:rPr>
      </w:pPr>
      <w:r>
        <w:rPr>
          <w:rFonts w:ascii="Times New Roman" w:hAnsi="Times New Roman"/>
          <w:b/>
          <w:sz w:val="20"/>
        </w:rPr>
        <w:t xml:space="preserve">Fried, Frank, Harris, Shriver &amp; Jacobson LLP </w:t>
      </w:r>
    </w:p>
    <w:p>
      <w:pPr>
        <w:pStyle w:val="TextBody"/>
        <w:bidi w:val="0"/>
        <w:spacing w:before="0" w:after="0"/>
        <w:jc w:val="center"/>
        <w:rPr>
          <w:rFonts w:ascii="Times New Roman" w:hAnsi="Times New Roman"/>
          <w:b/>
          <w:sz w:val="20"/>
        </w:rPr>
      </w:pPr>
      <w:r>
        <w:rPr>
          <w:rFonts w:ascii="Times New Roman" w:hAnsi="Times New Roman"/>
          <w:b/>
          <w:sz w:val="20"/>
        </w:rPr>
        <w:t xml:space="preserve">One New York Plaza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10004-1980 </w:t>
      </w:r>
    </w:p>
    <w:p>
      <w:pPr>
        <w:pStyle w:val="TextBody"/>
        <w:bidi w:val="0"/>
        <w:spacing w:before="0" w:after="0"/>
        <w:jc w:val="center"/>
        <w:rPr>
          <w:rFonts w:ascii="Times New Roman" w:hAnsi="Times New Roman"/>
          <w:b/>
          <w:sz w:val="20"/>
        </w:rPr>
      </w:pPr>
      <w:r>
        <w:rPr>
          <w:rFonts w:ascii="Times New Roman" w:hAnsi="Times New Roman"/>
          <w:b/>
          <w:sz w:val="20"/>
        </w:rPr>
        <w:t xml:space="preserve">(212) 859-8000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76"/>
        <w:gridCol w:w="103"/>
        <w:gridCol w:w="4826"/>
        <w:gridCol w:w="126"/>
        <w:gridCol w:w="2595"/>
        <w:gridCol w:w="126"/>
        <w:gridCol w:w="253"/>
      </w:tblGrid>
      <w:tr>
        <w:trPr/>
        <w:tc>
          <w:tcPr>
            <w:tcW w:w="217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2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26"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595" w:type="dxa"/>
            <w:tcBorders/>
            <w:vAlign w:val="bottom"/>
          </w:tcPr>
          <w:p>
            <w:pPr>
              <w:pStyle w:val="TableContents"/>
              <w:bidi w:val="0"/>
              <w:spacing w:before="0" w:after="283"/>
              <w:jc w:val="left"/>
              <w:rPr/>
            </w:pPr>
            <w:r>
              <w:rPr/>
              <w:t>Accelerated filer</w:t>
            </w:r>
          </w:p>
        </w:tc>
        <w:tc>
          <w:tcPr>
            <w:tcW w:w="12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r>
        <w:trPr>
          <w:trHeight w:val="120" w:hRule="atLeast"/>
        </w:trPr>
        <w:tc>
          <w:tcPr>
            <w:tcW w:w="2176"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2721" w:type="dxa"/>
            <w:gridSpan w:val="2"/>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r>
      <w:tr>
        <w:trPr/>
        <w:tc>
          <w:tcPr>
            <w:tcW w:w="2176"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26"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595" w:type="dxa"/>
            <w:tcBorders/>
            <w:vAlign w:val="bottom"/>
          </w:tcPr>
          <w:p>
            <w:pPr>
              <w:pStyle w:val="TableContents"/>
              <w:bidi w:val="0"/>
              <w:spacing w:before="0" w:after="283"/>
              <w:jc w:val="left"/>
              <w:rPr/>
            </w:pPr>
            <w:r>
              <w:rPr/>
              <w:t>Smaller reporting company</w:t>
            </w:r>
          </w:p>
        </w:tc>
        <w:tc>
          <w:tcPr>
            <w:tcW w:w="12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r>
        <w:trPr>
          <w:trHeight w:val="120" w:hRule="atLeast"/>
        </w:trPr>
        <w:tc>
          <w:tcPr>
            <w:tcW w:w="2176"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2721" w:type="dxa"/>
            <w:gridSpan w:val="2"/>
            <w:tcBorders/>
            <w:vAlign w:val="center"/>
          </w:tcPr>
          <w:p>
            <w:pPr>
              <w:pStyle w:val="TableContents"/>
              <w:bidi w:val="0"/>
              <w:spacing w:before="0" w:after="283"/>
              <w:jc w:val="left"/>
              <w:rPr>
                <w:sz w:val="4"/>
                <w:szCs w:val="4"/>
              </w:rPr>
            </w:pPr>
            <w:r>
              <w:rPr>
                <w:sz w:val="4"/>
                <w:szCs w:val="4"/>
              </w:rPr>
            </w:r>
          </w:p>
        </w:tc>
        <w:tc>
          <w:tcPr>
            <w:tcW w:w="379" w:type="dxa"/>
            <w:gridSpan w:val="2"/>
            <w:tcBorders/>
            <w:vAlign w:val="center"/>
          </w:tcPr>
          <w:p>
            <w:pPr>
              <w:pStyle w:val="TableContents"/>
              <w:bidi w:val="0"/>
              <w:spacing w:before="0" w:after="283"/>
              <w:jc w:val="left"/>
              <w:rPr>
                <w:sz w:val="4"/>
                <w:szCs w:val="4"/>
              </w:rPr>
            </w:pPr>
            <w:r>
              <w:rPr>
                <w:sz w:val="4"/>
                <w:szCs w:val="4"/>
              </w:rPr>
            </w:r>
          </w:p>
        </w:tc>
      </w:tr>
      <w:tr>
        <w:trPr/>
        <w:tc>
          <w:tcPr>
            <w:tcW w:w="217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2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595" w:type="dxa"/>
            <w:tcBorders/>
            <w:vAlign w:val="bottom"/>
          </w:tcPr>
          <w:p>
            <w:pPr>
              <w:pStyle w:val="TableContents"/>
              <w:bidi w:val="0"/>
              <w:spacing w:before="0" w:after="283"/>
              <w:jc w:val="left"/>
              <w:rPr/>
            </w:pPr>
            <w:r>
              <w:rPr/>
              <w:t>Emerging growth company</w:t>
            </w:r>
          </w:p>
        </w:tc>
        <w:tc>
          <w:tcPr>
            <w:tcW w:w="126"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center"/>
        <w:rPr>
          <w:rFonts w:ascii="Times New Roman" w:hAnsi="Times New Roman"/>
          <w:b/>
          <w:sz w:val="20"/>
        </w:rPr>
      </w:pPr>
      <w:r>
        <w:rPr>
          <w:rFonts w:ascii="Times New Roman" w:hAnsi="Times New Roman"/>
          <w:b/>
          <w:sz w:val="20"/>
        </w:rPr>
        <w:t xml:space="preserve">DEREGISTRATION OF SECURITIES </w:t>
      </w:r>
    </w:p>
    <w:p>
      <w:pPr>
        <w:pStyle w:val="TextBody"/>
        <w:bidi w:val="0"/>
        <w:spacing w:before="240" w:after="0"/>
        <w:jc w:val="left"/>
        <w:rPr>
          <w:rFonts w:ascii="Times New Roman" w:hAnsi="Times New Roman"/>
          <w:sz w:val="20"/>
        </w:rPr>
      </w:pPr>
      <w:r>
        <w:rPr>
          <w:rFonts w:ascii="Times New Roman" w:hAnsi="Times New Roman"/>
          <w:sz w:val="20"/>
        </w:rPr>
        <w:t>LivePerson, Inc. (the “</w:t>
      </w:r>
      <w:r>
        <w:rPr>
          <w:rFonts w:ascii="Times New Roman" w:hAnsi="Times New Roman"/>
          <w:b/>
          <w:sz w:val="20"/>
        </w:rPr>
        <w:t>Registrant</w:t>
      </w:r>
      <w:r>
        <w:rPr>
          <w:rFonts w:ascii="Times New Roman" w:hAnsi="Times New Roman"/>
          <w:sz w:val="20"/>
        </w:rPr>
        <w:t>”) is filing post-effective amendments (collectively, the “</w:t>
      </w:r>
      <w:r>
        <w:rPr>
          <w:rFonts w:ascii="Times New Roman" w:hAnsi="Times New Roman"/>
          <w:b/>
          <w:sz w:val="20"/>
        </w:rPr>
        <w:t>Post-Effective Amendments</w:t>
      </w:r>
      <w:r>
        <w:rPr>
          <w:rFonts w:ascii="Times New Roman" w:hAnsi="Times New Roman"/>
          <w:sz w:val="20"/>
        </w:rPr>
        <w:t>”) to the following registration statements on Form S-8 (collectively, the “</w:t>
      </w:r>
      <w:r>
        <w:rPr>
          <w:rFonts w:ascii="Times New Roman" w:hAnsi="Times New Roman"/>
          <w:b/>
          <w:sz w:val="20"/>
        </w:rPr>
        <w:t>Registration Statements</w:t>
      </w:r>
      <w:r>
        <w:rPr>
          <w:rFonts w:ascii="Times New Roman" w:hAnsi="Times New Roman"/>
          <w:sz w:val="20"/>
        </w:rPr>
        <w:t xml:space="preserve">”) to deregister any and all unsold securities as of the date hereof originally registered by the Registrant pursuant to the Registration Statements: </w:t>
      </w:r>
    </w:p>
    <w:p>
      <w:pPr>
        <w:pStyle w:val="TextBody"/>
        <w:bidi w:val="0"/>
        <w:spacing w:before="120" w:after="0"/>
        <w:jc w:val="left"/>
        <w:rPr/>
      </w:pPr>
      <w:r>
        <w:rPr>
          <w:rFonts w:ascii="Times New Roman" w:hAnsi="Times New Roman"/>
          <w:sz w:val="20"/>
        </w:rPr>
        <w:t>Registration Statement No. </w:t>
      </w:r>
      <w:hyperlink r:id="rId2">
        <w:r>
          <w:rPr>
            <w:rStyle w:val="InternetLink"/>
            <w:rFonts w:ascii="Times New Roman" w:hAnsi="Times New Roman"/>
            <w:sz w:val="20"/>
          </w:rPr>
          <w:t>333-34230</w:t>
        </w:r>
      </w:hyperlink>
      <w:r>
        <w:rPr>
          <w:rFonts w:ascii="Times New Roman" w:hAnsi="Times New Roman"/>
          <w:sz w:val="20"/>
        </w:rPr>
        <w:t>, filed with the Securities and Exchange Commission (the “</w:t>
      </w:r>
      <w:r>
        <w:rPr>
          <w:rFonts w:ascii="Times New Roman" w:hAnsi="Times New Roman"/>
          <w:b/>
          <w:sz w:val="20"/>
        </w:rPr>
        <w:t>Commission</w:t>
      </w:r>
      <w:r>
        <w:rPr>
          <w:rFonts w:ascii="Times New Roman" w:hAnsi="Times New Roman"/>
          <w:sz w:val="20"/>
        </w:rPr>
        <w:t>”) on April 7, 2000, with respect to (i) 10,000,000 shares of common stock, par value $0.001 (“</w:t>
      </w:r>
      <w:r>
        <w:rPr>
          <w:rFonts w:ascii="Times New Roman" w:hAnsi="Times New Roman"/>
          <w:b/>
          <w:sz w:val="20"/>
        </w:rPr>
        <w:t>Common Stock</w:t>
      </w:r>
      <w:r>
        <w:rPr>
          <w:rFonts w:ascii="Times New Roman" w:hAnsi="Times New Roman"/>
          <w:sz w:val="20"/>
        </w:rPr>
        <w:t xml:space="preserve">”), issuable under the LivePerson, Inc. 2000 Stock Incentive Plan, and (ii) 450,000 shares of Common Stock, issuable under the LivePerson, Inc. Employee Stock Purchase Plan. </w:t>
      </w:r>
    </w:p>
    <w:p>
      <w:pPr>
        <w:pStyle w:val="TextBody"/>
        <w:bidi w:val="0"/>
        <w:spacing w:before="120" w:after="0"/>
        <w:jc w:val="left"/>
        <w:rPr/>
      </w:pPr>
      <w:r>
        <w:rPr>
          <w:rFonts w:ascii="Times New Roman" w:hAnsi="Times New Roman"/>
          <w:sz w:val="20"/>
        </w:rPr>
        <w:t>Registration Statement No. </w:t>
      </w:r>
      <w:hyperlink r:id="rId3">
        <w:r>
          <w:rPr>
            <w:rStyle w:val="InternetLink"/>
            <w:rFonts w:ascii="Times New Roman" w:hAnsi="Times New Roman"/>
            <w:sz w:val="20"/>
          </w:rPr>
          <w:t>333-147572</w:t>
        </w:r>
      </w:hyperlink>
      <w:r>
        <w:rPr>
          <w:rFonts w:ascii="Times New Roman" w:hAnsi="Times New Roman"/>
          <w:sz w:val="20"/>
        </w:rPr>
        <w:t xml:space="preserve">, filed with the Commission on November 21, 2007, with respect to 623,825 shares of Common Stock under the Kasamba Inc. 2003 Israeli Share Option Plan. </w:t>
      </w:r>
    </w:p>
    <w:p>
      <w:pPr>
        <w:pStyle w:val="TextBody"/>
        <w:bidi w:val="0"/>
        <w:spacing w:before="120" w:after="0"/>
        <w:jc w:val="left"/>
        <w:rPr/>
      </w:pPr>
      <w:r>
        <w:rPr>
          <w:rFonts w:ascii="Times New Roman" w:hAnsi="Times New Roman"/>
          <w:sz w:val="20"/>
        </w:rPr>
        <w:t>Registration Statement No. </w:t>
      </w:r>
      <w:hyperlink r:id="rId4">
        <w:r>
          <w:rPr>
            <w:rStyle w:val="InternetLink"/>
            <w:rFonts w:ascii="Times New Roman" w:hAnsi="Times New Roman"/>
            <w:sz w:val="20"/>
          </w:rPr>
          <w:t>333-159850</w:t>
        </w:r>
      </w:hyperlink>
      <w:r>
        <w:rPr>
          <w:rFonts w:ascii="Times New Roman" w:hAnsi="Times New Roman"/>
          <w:sz w:val="20"/>
        </w:rPr>
        <w:t>, filed with the Commission on June 9, 2009, with respect to 19,567,744 shares of Common Stock under the LivePerson, Inc. 2009 Stock Incentive Plan (as amended or amended and restated from time to time, the “</w:t>
      </w:r>
      <w:r>
        <w:rPr>
          <w:rFonts w:ascii="Times New Roman" w:hAnsi="Times New Roman"/>
          <w:b/>
          <w:sz w:val="20"/>
        </w:rPr>
        <w:t>2009 SIP</w:t>
      </w:r>
      <w:r>
        <w:rPr>
          <w:rFonts w:ascii="Times New Roman" w:hAnsi="Times New Roman"/>
          <w:sz w:val="20"/>
        </w:rPr>
        <w:t xml:space="preserve">”). </w:t>
      </w:r>
    </w:p>
    <w:p>
      <w:pPr>
        <w:pStyle w:val="TextBody"/>
        <w:bidi w:val="0"/>
        <w:spacing w:before="120" w:after="0"/>
        <w:jc w:val="left"/>
        <w:rPr/>
      </w:pPr>
      <w:r>
        <w:rPr>
          <w:rFonts w:ascii="Times New Roman" w:hAnsi="Times New Roman"/>
          <w:sz w:val="20"/>
        </w:rPr>
        <w:t xml:space="preserve">Registration Statement No.  </w:t>
      </w:r>
      <w:hyperlink r:id="rId5">
        <w:r>
          <w:rPr>
            <w:rStyle w:val="InternetLink"/>
            <w:rFonts w:ascii="Times New Roman" w:hAnsi="Times New Roman"/>
            <w:sz w:val="20"/>
          </w:rPr>
          <w:t>333-168945</w:t>
        </w:r>
      </w:hyperlink>
      <w:r>
        <w:rPr>
          <w:rFonts w:ascii="Times New Roman" w:hAnsi="Times New Roman"/>
          <w:sz w:val="20"/>
        </w:rPr>
        <w:t>, filed with the Commission on August 19, 2010, with respect to 1,000,000 shares of Common Stock under the LivePerson, Inc. 2010 Employee Stock Purchase Plan (the “</w:t>
      </w:r>
      <w:r>
        <w:rPr>
          <w:rFonts w:ascii="Times New Roman" w:hAnsi="Times New Roman"/>
          <w:b/>
          <w:sz w:val="20"/>
        </w:rPr>
        <w:t>2010 ESPP</w:t>
      </w:r>
      <w:r>
        <w:rPr>
          <w:rFonts w:ascii="Times New Roman" w:hAnsi="Times New Roman"/>
          <w:sz w:val="20"/>
        </w:rPr>
        <w:t xml:space="preserve">”). </w:t>
      </w:r>
    </w:p>
    <w:p>
      <w:pPr>
        <w:pStyle w:val="TextBody"/>
        <w:bidi w:val="0"/>
        <w:spacing w:before="120" w:after="0"/>
        <w:jc w:val="left"/>
        <w:rPr/>
      </w:pPr>
      <w:r>
        <w:rPr>
          <w:rFonts w:ascii="Times New Roman" w:hAnsi="Times New Roman"/>
          <w:sz w:val="20"/>
        </w:rPr>
        <w:t xml:space="preserve">Registration Statement No.  </w:t>
      </w:r>
      <w:hyperlink r:id="rId6">
        <w:r>
          <w:rPr>
            <w:rStyle w:val="InternetLink"/>
            <w:rFonts w:ascii="Times New Roman" w:hAnsi="Times New Roman"/>
            <w:sz w:val="20"/>
          </w:rPr>
          <w:t>333-194590</w:t>
        </w:r>
      </w:hyperlink>
      <w:r>
        <w:rPr>
          <w:rFonts w:ascii="Times New Roman" w:hAnsi="Times New Roman"/>
          <w:sz w:val="20"/>
        </w:rPr>
        <w:t xml:space="preserve">, filed with the Commission on March 14, 2014, with respect to 4,250,000 shares of Common Stock under the 2009 SIP. </w:t>
      </w:r>
    </w:p>
    <w:p>
      <w:pPr>
        <w:pStyle w:val="TextBody"/>
        <w:bidi w:val="0"/>
        <w:spacing w:before="120" w:after="0"/>
        <w:jc w:val="left"/>
        <w:rPr/>
      </w:pPr>
      <w:r>
        <w:rPr>
          <w:rFonts w:ascii="Times New Roman" w:hAnsi="Times New Roman"/>
          <w:sz w:val="20"/>
        </w:rPr>
        <w:t xml:space="preserve">Registration Statement No.  </w:t>
      </w:r>
      <w:hyperlink r:id="rId7">
        <w:r>
          <w:rPr>
            <w:rStyle w:val="InternetLink"/>
            <w:rFonts w:ascii="Times New Roman" w:hAnsi="Times New Roman"/>
            <w:sz w:val="20"/>
          </w:rPr>
          <w:t>333-219573</w:t>
        </w:r>
      </w:hyperlink>
      <w:r>
        <w:rPr>
          <w:rFonts w:ascii="Times New Roman" w:hAnsi="Times New Roman"/>
          <w:sz w:val="20"/>
        </w:rPr>
        <w:t xml:space="preserve">, filed with the Commission on July 31, 2017, with respect to (i) 4,000,000 shares of Common Stock under the 2009 SIP and (ii) 1,000,000 shares of Common Stock under the 2010 ESPP. </w:t>
      </w:r>
    </w:p>
    <w:p>
      <w:pPr>
        <w:pStyle w:val="TextBody"/>
        <w:bidi w:val="0"/>
        <w:spacing w:before="120" w:after="0"/>
        <w:jc w:val="left"/>
        <w:rPr/>
      </w:pPr>
      <w:r>
        <w:rPr>
          <w:rFonts w:ascii="Times New Roman" w:hAnsi="Times New Roman"/>
          <w:sz w:val="20"/>
        </w:rPr>
        <w:t xml:space="preserve">Registration Statement No.  </w:t>
      </w:r>
      <w:hyperlink r:id="rId8">
        <w:r>
          <w:rPr>
            <w:rStyle w:val="InternetLink"/>
            <w:rFonts w:ascii="Times New Roman" w:hAnsi="Times New Roman"/>
            <w:sz w:val="20"/>
          </w:rPr>
          <w:t>333-224059</w:t>
        </w:r>
      </w:hyperlink>
      <w:r>
        <w:rPr>
          <w:rFonts w:ascii="Times New Roman" w:hAnsi="Times New Roman"/>
          <w:sz w:val="20"/>
        </w:rPr>
        <w:t>, filed with the Commission on March 30, 2018, with respect to 1,500,000 shares of Common Stock under the LivePerson, Inc. 2018 Inducement Plan (as amended or amended and restated from time to time, the “</w:t>
      </w:r>
      <w:r>
        <w:rPr>
          <w:rFonts w:ascii="Times New Roman" w:hAnsi="Times New Roman"/>
          <w:b/>
          <w:sz w:val="20"/>
        </w:rPr>
        <w:t>Inducement Plan</w:t>
      </w:r>
      <w:r>
        <w:rPr>
          <w:rFonts w:ascii="Times New Roman" w:hAnsi="Times New Roman"/>
          <w:sz w:val="20"/>
        </w:rPr>
        <w:t xml:space="preserve">”). </w:t>
      </w:r>
    </w:p>
    <w:p>
      <w:pPr>
        <w:pStyle w:val="TextBody"/>
        <w:bidi w:val="0"/>
        <w:spacing w:before="120" w:after="0"/>
        <w:jc w:val="left"/>
        <w:rPr/>
      </w:pPr>
      <w:r>
        <w:rPr>
          <w:rFonts w:ascii="Times New Roman" w:hAnsi="Times New Roman"/>
          <w:sz w:val="20"/>
        </w:rPr>
        <w:t>Registration Statement No. </w:t>
      </w:r>
      <w:hyperlink r:id="rId9">
        <w:r>
          <w:rPr>
            <w:rStyle w:val="InternetLink"/>
            <w:rFonts w:ascii="Times New Roman" w:hAnsi="Times New Roman"/>
            <w:sz w:val="20"/>
          </w:rPr>
          <w:t>333-229495</w:t>
        </w:r>
      </w:hyperlink>
      <w:r>
        <w:rPr>
          <w:rFonts w:ascii="Times New Roman" w:hAnsi="Times New Roman"/>
          <w:sz w:val="20"/>
        </w:rPr>
        <w:t xml:space="preserve">, filed with the Commission on February 1, 2019, with respect to 750,000 shares of Common Stock under the Inducement Plan. </w:t>
      </w:r>
    </w:p>
    <w:p>
      <w:pPr>
        <w:pStyle w:val="TextBody"/>
        <w:bidi w:val="0"/>
        <w:spacing w:before="120" w:after="0"/>
        <w:jc w:val="left"/>
        <w:rPr/>
      </w:pPr>
      <w:r>
        <w:rPr>
          <w:rFonts w:ascii="Times New Roman" w:hAnsi="Times New Roman"/>
          <w:sz w:val="20"/>
        </w:rPr>
        <w:t>Registration Statement No. </w:t>
      </w:r>
      <w:hyperlink r:id="rId10">
        <w:r>
          <w:rPr>
            <w:rStyle w:val="InternetLink"/>
            <w:rFonts w:ascii="Times New Roman" w:hAnsi="Times New Roman"/>
            <w:sz w:val="20"/>
          </w:rPr>
          <w:t>333-234676</w:t>
        </w:r>
      </w:hyperlink>
      <w:r>
        <w:rPr>
          <w:rFonts w:ascii="Times New Roman" w:hAnsi="Times New Roman"/>
          <w:sz w:val="20"/>
        </w:rPr>
        <w:t>, filed with the Commission on November 13, 2019, with respect to (i) 4,250,000 shares of Common Stock under the LivePerson, Inc. 2019 Stock Incentive Plan (as amended or amended and restated from time to time, the “</w:t>
      </w:r>
      <w:r>
        <w:rPr>
          <w:rFonts w:ascii="Times New Roman" w:hAnsi="Times New Roman"/>
          <w:b/>
          <w:sz w:val="20"/>
        </w:rPr>
        <w:t>2019 SIP</w:t>
      </w:r>
      <w:r>
        <w:rPr>
          <w:rFonts w:ascii="Times New Roman" w:hAnsi="Times New Roman"/>
          <w:sz w:val="20"/>
        </w:rPr>
        <w:t>”), (ii) 1,000,000 shares of Common Stock under the 2019 Employee Stock Purchase Plan (as amended or amended and restated from time to time, the “</w:t>
      </w:r>
      <w:r>
        <w:rPr>
          <w:rFonts w:ascii="Times New Roman" w:hAnsi="Times New Roman"/>
          <w:b/>
          <w:sz w:val="20"/>
        </w:rPr>
        <w:t>2019 ESPP</w:t>
      </w:r>
      <w:r>
        <w:rPr>
          <w:rFonts w:ascii="Times New Roman" w:hAnsi="Times New Roman"/>
          <w:sz w:val="20"/>
        </w:rPr>
        <w:t xml:space="preserve">”), and (iii) 1,118,048 shares of Common Stock under the Inducement Plan. </w:t>
      </w:r>
    </w:p>
    <w:p>
      <w:pPr>
        <w:pStyle w:val="TextBody"/>
        <w:bidi w:val="0"/>
        <w:spacing w:before="120" w:after="0"/>
        <w:jc w:val="left"/>
        <w:rPr/>
      </w:pPr>
      <w:r>
        <w:rPr>
          <w:rFonts w:ascii="Times New Roman" w:hAnsi="Times New Roman"/>
          <w:sz w:val="20"/>
        </w:rPr>
        <w:t xml:space="preserve">Registration Statement No.  </w:t>
      </w:r>
      <w:hyperlink r:id="rId11">
        <w:r>
          <w:rPr>
            <w:rStyle w:val="InternetLink"/>
            <w:rFonts w:ascii="Times New Roman" w:hAnsi="Times New Roman"/>
            <w:sz w:val="20"/>
          </w:rPr>
          <w:t>333-245808</w:t>
        </w:r>
      </w:hyperlink>
      <w:r>
        <w:rPr>
          <w:rFonts w:ascii="Times New Roman" w:hAnsi="Times New Roman"/>
          <w:sz w:val="20"/>
        </w:rPr>
        <w:t xml:space="preserve">, filed with the Commission on August 14, 2020, with respect to 3,000,000 shares of Common Stock under the 2019 SIP. </w:t>
      </w:r>
    </w:p>
    <w:p>
      <w:pPr>
        <w:pStyle w:val="TextBody"/>
        <w:bidi w:val="0"/>
        <w:spacing w:before="120" w:after="0"/>
        <w:jc w:val="left"/>
        <w:rPr/>
      </w:pPr>
      <w:r>
        <w:rPr>
          <w:rFonts w:ascii="Times New Roman" w:hAnsi="Times New Roman"/>
          <w:sz w:val="20"/>
        </w:rPr>
        <w:t xml:space="preserve">Registration Statement No.  </w:t>
      </w:r>
      <w:hyperlink r:id="rId12">
        <w:r>
          <w:rPr>
            <w:rStyle w:val="InternetLink"/>
            <w:rFonts w:ascii="Times New Roman" w:hAnsi="Times New Roman"/>
            <w:sz w:val="20"/>
          </w:rPr>
          <w:t>333-258578</w:t>
        </w:r>
      </w:hyperlink>
      <w:r>
        <w:rPr>
          <w:rFonts w:ascii="Times New Roman" w:hAnsi="Times New Roman"/>
          <w:sz w:val="20"/>
        </w:rPr>
        <w:t xml:space="preserve">, filed with the Commission on August 6, 2021, with respect to 5,000,000 shares of Common Stock issuable under the 2019 SIP. </w:t>
      </w:r>
    </w:p>
    <w:p>
      <w:pPr>
        <w:pStyle w:val="TextBody"/>
        <w:bidi w:val="0"/>
        <w:spacing w:before="120" w:after="0"/>
        <w:jc w:val="left"/>
        <w:rPr/>
      </w:pPr>
      <w:r>
        <w:rPr>
          <w:rFonts w:ascii="Times New Roman" w:hAnsi="Times New Roman"/>
          <w:sz w:val="20"/>
        </w:rPr>
        <w:t xml:space="preserve">Registration Statement No.  </w:t>
      </w:r>
      <w:hyperlink r:id="rId13">
        <w:r>
          <w:rPr>
            <w:rStyle w:val="InternetLink"/>
            <w:rFonts w:ascii="Times New Roman" w:hAnsi="Times New Roman"/>
            <w:sz w:val="20"/>
          </w:rPr>
          <w:t>333-261121</w:t>
        </w:r>
      </w:hyperlink>
      <w:r>
        <w:rPr>
          <w:rFonts w:ascii="Times New Roman" w:hAnsi="Times New Roman"/>
          <w:sz w:val="20"/>
        </w:rPr>
        <w:t xml:space="preserve">, filed with the Commission on November 16, 2021, with respect to 665,909 shares of Common Stock issuable under the 2019 SIP. </w:t>
      </w:r>
    </w:p>
    <w:p>
      <w:pPr>
        <w:pStyle w:val="TextBody"/>
        <w:bidi w:val="0"/>
        <w:spacing w:before="120" w:after="0"/>
        <w:jc w:val="left"/>
        <w:rPr/>
      </w:pPr>
      <w:r>
        <w:rPr>
          <w:rFonts w:ascii="Times New Roman" w:hAnsi="Times New Roman"/>
          <w:sz w:val="20"/>
        </w:rPr>
        <w:t xml:space="preserve">Registration Statement No.  </w:t>
      </w:r>
      <w:hyperlink r:id="rId14">
        <w:r>
          <w:rPr>
            <w:rStyle w:val="InternetLink"/>
            <w:rFonts w:ascii="Times New Roman" w:hAnsi="Times New Roman"/>
            <w:sz w:val="20"/>
          </w:rPr>
          <w:t>333-264897</w:t>
        </w:r>
      </w:hyperlink>
      <w:r>
        <w:rPr>
          <w:rFonts w:ascii="Times New Roman" w:hAnsi="Times New Roman"/>
          <w:sz w:val="20"/>
        </w:rPr>
        <w:t xml:space="preserve">, filed with the Commission on May 12, 2022, with respect to 2,790,961 shares of Common Stock under the Inducement Plan. </w:t>
      </w:r>
    </w:p>
    <w:p>
      <w:pPr>
        <w:pStyle w:val="TextBody"/>
        <w:bidi w:val="0"/>
        <w:spacing w:before="120" w:after="0"/>
        <w:jc w:val="left"/>
        <w:rPr/>
      </w:pPr>
      <w:r>
        <w:rPr>
          <w:rFonts w:ascii="Times New Roman" w:hAnsi="Times New Roman"/>
          <w:sz w:val="20"/>
        </w:rPr>
        <w:t xml:space="preserve">Registration Statement No.  </w:t>
      </w:r>
      <w:hyperlink r:id="rId15">
        <w:r>
          <w:rPr>
            <w:rStyle w:val="InternetLink"/>
            <w:rFonts w:ascii="Times New Roman" w:hAnsi="Times New Roman"/>
            <w:sz w:val="20"/>
          </w:rPr>
          <w:t>333-275611</w:t>
        </w:r>
      </w:hyperlink>
      <w:r>
        <w:rPr>
          <w:rFonts w:ascii="Times New Roman" w:hAnsi="Times New Roman"/>
          <w:sz w:val="20"/>
        </w:rPr>
        <w:t xml:space="preserve">, filed with the Commission on November 17, 2023, with respect to (i) 2,300,000 shares of Common Stock under the 2019 SIP and (ii) 1,000,000 shares of Common Stock under the 2019 ESPP. </w:t>
      </w:r>
    </w:p>
    <w:p>
      <w:pPr>
        <w:pStyle w:val="TextBody"/>
        <w:bidi w:val="0"/>
        <w:spacing w:before="120" w:after="0"/>
        <w:jc w:val="left"/>
        <w:rPr/>
      </w:pPr>
      <w:r>
        <w:rPr>
          <w:rFonts w:ascii="Times New Roman" w:hAnsi="Times New Roman"/>
          <w:sz w:val="20"/>
        </w:rPr>
        <w:t xml:space="preserve">Registration Statement No.  </w:t>
      </w:r>
      <w:hyperlink r:id="rId16">
        <w:r>
          <w:rPr>
            <w:rStyle w:val="InternetLink"/>
            <w:rFonts w:ascii="Times New Roman" w:hAnsi="Times New Roman"/>
            <w:sz w:val="20"/>
          </w:rPr>
          <w:t>333-277807</w:t>
        </w:r>
      </w:hyperlink>
      <w:r>
        <w:rPr>
          <w:rFonts w:ascii="Times New Roman" w:hAnsi="Times New Roman"/>
          <w:sz w:val="20"/>
        </w:rPr>
        <w:t xml:space="preserve">, filed with the Commission on March 8, 2024, with respect to 5,300,000 shares of Common Stock under the Inducement Plan. </w:t>
      </w:r>
    </w:p>
    <w:p>
      <w:pPr>
        <w:pStyle w:val="TextBody"/>
        <w:bidi w:val="0"/>
        <w:spacing w:before="120" w:after="0"/>
        <w:jc w:val="left"/>
        <w:rPr/>
      </w:pPr>
      <w:r>
        <w:rPr>
          <w:rFonts w:ascii="Times New Roman" w:hAnsi="Times New Roman"/>
          <w:sz w:val="20"/>
        </w:rPr>
        <w:t xml:space="preserve">Registration Statement No.  </w:t>
      </w:r>
      <w:hyperlink r:id="rId17">
        <w:r>
          <w:rPr>
            <w:rStyle w:val="InternetLink"/>
            <w:rFonts w:ascii="Times New Roman" w:hAnsi="Times New Roman"/>
            <w:sz w:val="20"/>
          </w:rPr>
          <w:t>333-280358</w:t>
        </w:r>
      </w:hyperlink>
      <w:r>
        <w:rPr>
          <w:rFonts w:ascii="Times New Roman" w:hAnsi="Times New Roman"/>
          <w:sz w:val="20"/>
        </w:rPr>
        <w:t xml:space="preserve">, filed with the Commission on June 20, 2024, with respect to (i) 1,620,000 shares of Common Stock under the Inducement Plan and (ii) 1,000,000 shares of Common Stock under the CEO Stock Option Inducement Award. </w:t>
      </w:r>
    </w:p>
    <w:p>
      <w:pPr>
        <w:pStyle w:val="TextBody"/>
        <w:bidi w:val="0"/>
        <w:spacing w:before="120" w:after="0"/>
        <w:jc w:val="left"/>
        <w:rPr/>
      </w:pPr>
      <w:r>
        <w:rPr>
          <w:rFonts w:ascii="Times New Roman" w:hAnsi="Times New Roman"/>
          <w:sz w:val="20"/>
        </w:rPr>
        <w:t>Registration Statement No. </w:t>
      </w:r>
      <w:hyperlink r:id="rId18">
        <w:r>
          <w:rPr>
            <w:rStyle w:val="InternetLink"/>
            <w:rFonts w:ascii="Times New Roman" w:hAnsi="Times New Roman"/>
            <w:sz w:val="20"/>
          </w:rPr>
          <w:t>333-283851</w:t>
        </w:r>
      </w:hyperlink>
      <w:r>
        <w:rPr>
          <w:rFonts w:ascii="Times New Roman" w:hAnsi="Times New Roman"/>
          <w:sz w:val="20"/>
        </w:rPr>
        <w:t xml:space="preserve">, filed with the Commission on December 16, 2024, with respect to (i) 4,600,000 shares of Common Stock under the 2019 SIP, (ii) 2,500,000 shares of Common Stock under the 2019 ESPP, and (iii) 2,333,333 shares of Common Stock under the Inducement Plan. </w:t>
      </w:r>
    </w:p>
    <w:p>
      <w:pPr>
        <w:pStyle w:val="TextBody"/>
        <w:bidi w:val="0"/>
        <w:spacing w:before="120" w:after="0"/>
        <w:jc w:val="left"/>
        <w:rPr/>
      </w:pPr>
      <w:r>
        <w:rPr>
          <w:rFonts w:ascii="Times New Roman" w:hAnsi="Times New Roman"/>
          <w:sz w:val="20"/>
        </w:rPr>
        <w:t xml:space="preserve">Registration Statement No.  </w:t>
      </w:r>
      <w:hyperlink r:id="rId19">
        <w:r>
          <w:rPr>
            <w:rStyle w:val="InternetLink"/>
            <w:rFonts w:ascii="Times New Roman" w:hAnsi="Times New Roman"/>
            <w:sz w:val="20"/>
          </w:rPr>
          <w:t>333-289765</w:t>
        </w:r>
      </w:hyperlink>
      <w:r>
        <w:rPr>
          <w:rFonts w:ascii="Times New Roman" w:hAnsi="Times New Roman"/>
          <w:sz w:val="20"/>
        </w:rPr>
        <w:t xml:space="preserve">, filed with the Commission on August 21, 2025, with respect to 5,340,000 shares of Common Stock under the 2019 SIP.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September 4, 2026, pursuant to the terms of the Amended and Restated Merger Agreement, dated as of July 2, 2026, by and among the Registrant, SoundHound AI, Inc., a Delaware Corporation (the “</w:t>
      </w:r>
      <w:r>
        <w:rPr>
          <w:rFonts w:ascii="Times New Roman" w:hAnsi="Times New Roman"/>
          <w:b/>
          <w:sz w:val="20"/>
        </w:rPr>
        <w:t>Parent</w:t>
      </w:r>
      <w:r>
        <w:rPr>
          <w:rFonts w:ascii="Times New Roman" w:hAnsi="Times New Roman"/>
          <w:sz w:val="20"/>
        </w:rPr>
        <w:t>”), Lightspeed Merger Sub Inc., a Delaware corporation and an indirect wholly owned subsidiary of Parent (“</w:t>
      </w:r>
      <w:r>
        <w:rPr>
          <w:rFonts w:ascii="Times New Roman" w:hAnsi="Times New Roman"/>
          <w:b/>
          <w:sz w:val="20"/>
        </w:rPr>
        <w:t>Merger Sub</w:t>
      </w:r>
      <w:r>
        <w:rPr>
          <w:rFonts w:ascii="Times New Roman" w:hAnsi="Times New Roman"/>
          <w:sz w:val="20"/>
        </w:rPr>
        <w:t>”) and Lightspeed Merger Sub II Inc., a Delaware corporation and an indirect wholly owned subsidiary of Parent (“</w:t>
      </w:r>
      <w:r>
        <w:rPr>
          <w:rFonts w:ascii="Times New Roman" w:hAnsi="Times New Roman"/>
          <w:b/>
          <w:sz w:val="20"/>
        </w:rPr>
        <w:t>Merger Sub II</w:t>
      </w:r>
      <w:r>
        <w:rPr>
          <w:rFonts w:ascii="Times New Roman" w:hAnsi="Times New Roman"/>
          <w:sz w:val="20"/>
        </w:rPr>
        <w:t>”), Merger Sub merged with and into the Registrant and immediately thereafter, Merger Sub II merged with and into the Registrant, with the Registrant continuing as the surviving corporation as an indirect wholly owned subsidiary of Parent (the “</w:t>
      </w:r>
      <w:r>
        <w:rPr>
          <w:rFonts w:ascii="Times New Roman" w:hAnsi="Times New Roman"/>
          <w:b/>
          <w:sz w:val="20"/>
        </w:rPr>
        <w:t>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Mergers, the Registrant has terminated any and all offerings of its securities pursuant to the Registration Statements. The Registrant hereby terminates the effectiveness of the Registration Statements and removes from registration, by means of the Post-Effective Amendments, any and all of the securities registered under the Registration Statements that remained unsold as of the date hereof. The Registration Statements is hereby amended, as appropriate, to reflect the deregistration of such securities, and the Registrant hereby terminates the effectiveness of the Registration Statements.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the Post-Effective Amendments to the Registration Statements to be signed on its behalf by the undersigned, thereunto duly authorized, in the City of New York, State of New York on September 4,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LivePerson,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Monica L. Greenberg</w:t>
            </w:r>
          </w:p>
        </w:tc>
      </w:tr>
      <w:tr>
        <w:trPr/>
        <w:tc>
          <w:tcPr>
            <w:tcW w:w="4082" w:type="dxa"/>
            <w:tcBorders/>
          </w:tcPr>
          <w:p>
            <w:pPr>
              <w:pStyle w:val="TableContents"/>
              <w:bidi w:val="0"/>
              <w:spacing w:before="0" w:after="283"/>
              <w:jc w:val="left"/>
              <w:rPr/>
            </w:pPr>
            <w:r>
              <w:rPr/>
              <w:t xml:space="preserve">Monica L. Greenberg </w:t>
              <w:br/>
              <w:t>Chief Legal and Administrative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other person is required to sign the Post-Effective Amendments in reliance upon Rule 478 under the Securities Act of 1933, as amended.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02993/000091205700016700/0000912057-00-016700.txt" TargetMode="External"/><Relationship Id="rId3" Type="http://schemas.openxmlformats.org/officeDocument/2006/relationships/hyperlink" Target="http://www.sec.gov/Archives/edgar/data/1102993/000114420407063840/v095315_s8.htm" TargetMode="External"/><Relationship Id="rId4" Type="http://schemas.openxmlformats.org/officeDocument/2006/relationships/hyperlink" Target="http://www.sec.gov/Archives/edgar/data/1102993/000114420409031652/v151820_s-8.htm" TargetMode="External"/><Relationship Id="rId5" Type="http://schemas.openxmlformats.org/officeDocument/2006/relationships/hyperlink" Target="http://www.sec.gov/Archives/edgar/data/1102993/000114420410045617/v194223_s-8.htm" TargetMode="External"/><Relationship Id="rId6" Type="http://schemas.openxmlformats.org/officeDocument/2006/relationships/hyperlink" Target="http://www.sec.gov/Archives/edgar/data/1102993/000144530514001052/s-8.htm" TargetMode="External"/><Relationship Id="rId7" Type="http://schemas.openxmlformats.org/officeDocument/2006/relationships/hyperlink" Target="http://www.sec.gov/Archives/edgar/data/1102993/000110299317000093/livepersoninc-formsx8stock.htm" TargetMode="External"/><Relationship Id="rId8" Type="http://schemas.openxmlformats.org/officeDocument/2006/relationships/hyperlink" Target="http://www.sec.gov/Archives/edgar/data/1102993/000110299318000042/livepersoninc-formsx8induc.htm" TargetMode="External"/><Relationship Id="rId9" Type="http://schemas.openxmlformats.org/officeDocument/2006/relationships/hyperlink" Target="http://www.sec.gov/Archives/edgar/data/1102993/000110299319000007/forms-8inducementplan750k.htm" TargetMode="External"/><Relationship Id="rId10" Type="http://schemas.openxmlformats.org/officeDocument/2006/relationships/hyperlink" Target="http://www.sec.gov/Archives/edgar/data/1102993/000110299319000123/forms-8.htm" TargetMode="External"/><Relationship Id="rId11" Type="http://schemas.openxmlformats.org/officeDocument/2006/relationships/hyperlink" Target="http://www.sec.gov/Archives/edgar/data/1102993/000110299320000129/forms-8.htm" TargetMode="External"/><Relationship Id="rId12" Type="http://schemas.openxmlformats.org/officeDocument/2006/relationships/hyperlink" Target="http://www.sec.gov/Archives/edgar/data/1102993/000110299321000124/forms-8x2021.htm" TargetMode="External"/><Relationship Id="rId13" Type="http://schemas.openxmlformats.org/officeDocument/2006/relationships/hyperlink" Target="http://www.sec.gov/Archives/edgar/data/1102993/000110299321000151/forms-8x11x2021.htm" TargetMode="External"/><Relationship Id="rId14" Type="http://schemas.openxmlformats.org/officeDocument/2006/relationships/hyperlink" Target="http://www.sec.gov/Archives/edgar/data/1102993/000110299322000045/forms-8x05x2022.htm" TargetMode="External"/><Relationship Id="rId15" Type="http://schemas.openxmlformats.org/officeDocument/2006/relationships/hyperlink" Target="http://www.sec.gov/Archives/edgar/data/1102993/000110299323000136/forms-8livepersonxnov2023.htm" TargetMode="External"/><Relationship Id="rId16" Type="http://schemas.openxmlformats.org/officeDocument/2006/relationships/hyperlink" Target="http://www.sec.gov/Archives/edgar/data/1102993/000110299324000042/forms-8livepersonxmar2024.htm" TargetMode="External"/><Relationship Id="rId17" Type="http://schemas.openxmlformats.org/officeDocument/2006/relationships/hyperlink" Target="http://www.sec.gov/Archives/edgar/data/1102993/000110299324000097/forms-8livepersonxjune2024.htm" TargetMode="External"/><Relationship Id="rId18" Type="http://schemas.openxmlformats.org/officeDocument/2006/relationships/hyperlink" Target="http://www.sec.gov/Archives/edgar/data/1102993/000110299324000217/s-8december2024.htm" TargetMode="External"/><Relationship Id="rId19" Type="http://schemas.openxmlformats.org/officeDocument/2006/relationships/hyperlink" Target="http://www.sec.gov/Archives/edgar/data/1102993/000110299325000116/s-8august2025.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1541</Words>
  <Characters>8889</Characters>
  <CharactersWithSpaces>10464</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S-8 POS</dc:title>
</cp:coreProperties>
</file>