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ind w:left="0" w:right="0" w:firstLine="4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ind w:left="0" w:right="0" w:firstLine="4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ind w:left="0" w:right="0" w:firstLine="48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0" w:after="180"/>
        <w:jc w:val="center"/>
        <w:rPr/>
      </w:pPr>
      <w:r>
        <w:rPr>
          <w:color w:val="000000"/>
        </w:rPr>
        <w:t xml:space="preserve">☒ </w:t>
      </w:r>
      <w:r>
        <w:rPr>
          <w:rFonts w:ascii="Times New Roman;serif" w:hAnsi="Times New Roman;serif"/>
          <w:b/>
          <w:color w:val="000000"/>
          <w:sz w:val="19"/>
        </w:rPr>
        <w:t>QUARTERLY REPORT PURSUANT TO SECTION 13 OR 15(d) OF THE SECURITIES EXCHANGE ACT OF 1934</w:t>
      </w:r>
    </w:p>
    <w:p>
      <w:pPr>
        <w:pStyle w:val="TextBody"/>
        <w:bidi w:val="0"/>
        <w:spacing w:lineRule="auto" w:line="288" w:before="0" w:after="120"/>
        <w:ind w:left="0" w:right="0" w:firstLine="48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120"/>
        <w:ind w:left="0" w:right="0" w:firstLine="48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120"/>
        <w:jc w:val="center"/>
        <w:rPr/>
      </w:pPr>
      <w:r>
        <w:rPr>
          <w:color w:val="000000"/>
        </w:rPr>
        <w:t xml:space="preserve">☐ </w:t>
      </w:r>
      <w:r>
        <w:rPr>
          <w:rFonts w:ascii="Times New Roman;serif" w:hAnsi="Times New Roman;serif"/>
          <w:b/>
          <w:color w:val="000000"/>
          <w:sz w:val="19"/>
        </w:rPr>
        <w:t>TRANSITION REPORT PURSUANT TO SECTION 13 OR 15(d) OF THE SECURITIES EXCHANGE ACT OF 1934</w:t>
      </w:r>
    </w:p>
    <w:p>
      <w:pPr>
        <w:pStyle w:val="TextBody"/>
        <w:bidi w:val="0"/>
        <w:spacing w:lineRule="auto" w:line="288" w:before="0" w:after="180"/>
        <w:ind w:left="0" w:right="0" w:firstLine="480"/>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lineRule="auto" w:line="288" w:before="0" w:after="40"/>
        <w:ind w:left="0" w:right="0" w:firstLine="480"/>
        <w:jc w:val="center"/>
        <w:rPr>
          <w:rFonts w:ascii="Times New Roman;serif" w:hAnsi="Times New Roman;serif"/>
          <w:b/>
          <w:color w:val="000000"/>
          <w:sz w:val="20"/>
        </w:rPr>
      </w:pPr>
      <w:r>
        <w:rPr>
          <w:rFonts w:ascii="Times New Roman;serif" w:hAnsi="Times New Roman;serif"/>
          <w:b/>
          <w:color w:val="000000"/>
          <w:sz w:val="20"/>
        </w:rPr>
        <w:t>Commission File Number: 000-30141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28" w:before="0" w:after="40"/>
        <w:ind w:left="0" w:right="0" w:firstLine="480"/>
        <w:jc w:val="center"/>
        <w:rPr>
          <w:rFonts w:ascii="Times New Roman;serif" w:hAnsi="Times New Roman;serif"/>
          <w:b/>
          <w:color w:val="000000"/>
          <w:sz w:val="32"/>
        </w:rPr>
      </w:pPr>
      <w:r>
        <w:rPr>
          <w:rFonts w:ascii="Times New Roman;serif" w:hAnsi="Times New Roman;serif"/>
          <w:b/>
          <w:color w:val="000000"/>
          <w:sz w:val="32"/>
        </w:rPr>
        <w:t>LIVEPERSON, INC.</w:t>
      </w:r>
    </w:p>
    <w:p>
      <w:pPr>
        <w:pStyle w:val="TextBody"/>
        <w:bidi w:val="0"/>
        <w:spacing w:lineRule="auto" w:line="228" w:before="0" w:after="40"/>
        <w:ind w:left="0" w:right="0" w:firstLine="48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13-3861628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530 7th Ave, Floor M1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10018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 xml:space="preserve">(212) 609-4200 </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9867" w:type="dxa"/>
        <w:jc w:val="center"/>
        <w:tblInd w:w="0" w:type="dxa"/>
        <w:tblLayout w:type="fixed"/>
        <w:tblCellMar>
          <w:top w:w="28" w:type="dxa"/>
          <w:left w:w="28" w:type="dxa"/>
          <w:bottom w:w="28" w:type="dxa"/>
          <w:right w:w="28" w:type="dxa"/>
        </w:tblCellMar>
      </w:tblPr>
      <w:tblGrid>
        <w:gridCol w:w="1157"/>
        <w:gridCol w:w="1019"/>
        <w:gridCol w:w="1019"/>
        <w:gridCol w:w="272"/>
        <w:gridCol w:w="272"/>
        <w:gridCol w:w="272"/>
        <w:gridCol w:w="520"/>
        <w:gridCol w:w="520"/>
        <w:gridCol w:w="520"/>
        <w:gridCol w:w="272"/>
        <w:gridCol w:w="272"/>
        <w:gridCol w:w="272"/>
        <w:gridCol w:w="1020"/>
        <w:gridCol w:w="1020"/>
        <w:gridCol w:w="1440"/>
      </w:tblGrid>
      <w:tr>
        <w:trPr/>
        <w:tc>
          <w:tcPr>
            <w:tcW w:w="115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9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LPSN</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Rights to Purchase Series A Junior</w:t>
              <w:br/>
              <w:t>Participating Preferred Stock</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3" w:type="dxa"/>
        <w:jc w:val="center"/>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709"/>
        <w:gridCol w:w="709"/>
        <w:gridCol w:w="712"/>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both"/>
        <w:rPr/>
      </w:pPr>
      <w:r>
        <w:rPr>
          <w:rFonts w:ascii="Times New Roman;serif" w:hAnsi="Times New Roman;serif"/>
          <w:b w:val="false"/>
          <w:color w:val="000000"/>
          <w:sz w:val="20"/>
        </w:rPr>
        <w:t xml:space="preserve">On </w:t>
      </w:r>
      <w:r>
        <w:rPr>
          <w:rFonts w:ascii="Times New Roman;serif" w:hAnsi="Times New Roman;serif"/>
          <w:b w:val="false"/>
          <w:color w:val="000000"/>
          <w:sz w:val="20"/>
          <w:shd w:fill="FFFFFF" w:val="clear"/>
        </w:rPr>
        <w:t>August 3, 2026</w:t>
      </w:r>
      <w:r>
        <w:rPr>
          <w:rFonts w:ascii="Times New Roman;serif" w:hAnsi="Times New Roman;serif"/>
          <w:b w:val="false"/>
          <w:color w:val="000000"/>
          <w:sz w:val="20"/>
        </w:rPr>
        <w:t>, 12,337,297 shares of the registrant’s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LIVEPERSON, INC.</w:t>
      </w:r>
    </w:p>
    <w:p>
      <w:pPr>
        <w:pStyle w:val="TextBody"/>
        <w:bidi w:val="0"/>
        <w:spacing w:lineRule="auto" w:line="288"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before="0" w:after="0"/>
        <w:ind w:left="0" w:right="0" w:firstLine="480"/>
        <w:jc w:val="center"/>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76"/>
        <w:gridCol w:w="243"/>
        <w:gridCol w:w="244"/>
        <w:gridCol w:w="2954"/>
        <w:gridCol w:w="2954"/>
        <w:gridCol w:w="2960"/>
        <w:gridCol w:w="167"/>
        <w:gridCol w:w="167"/>
        <w:gridCol w:w="240"/>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3">
              <w:r>
                <w:rPr>
                  <w:rStyle w:val="InternetLink"/>
                  <w:rFonts w:ascii="Times New Roman;serif" w:hAnsi="Times New Roman;serif"/>
                  <w:b/>
                  <w:color w:val="0000FF"/>
                  <w:sz w:val="20"/>
                  <w:u w:val="single"/>
                </w:rPr>
                <w:t>PART I. FINANCIAL INFORMATION</w:t>
              </w:r>
            </w:hyperlink>
          </w:p>
        </w:tc>
        <w:tc>
          <w:tcPr>
            <w:tcW w:w="5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6">
              <w:r>
                <w:rPr>
                  <w:rStyle w:val="InternetLink"/>
                  <w:rFonts w:ascii="Times New Roman;serif" w:hAnsi="Times New Roman;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6">
              <w:r>
                <w:rPr>
                  <w:rStyle w:val="InternetLink"/>
                  <w:rFonts w:ascii="Times New Roman;serif" w:hAnsi="Times New Roman;serif"/>
                  <w:b w:val="false"/>
                  <w:strike w:val="false"/>
                  <w:dstrike w:val="false"/>
                  <w:color w:val="0000FF"/>
                  <w:sz w:val="20"/>
                  <w:u w:val="none"/>
                  <w:effect w:val="none"/>
                </w:rPr>
                <w:t>4</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9">
              <w:r>
                <w:rPr>
                  <w:rStyle w:val="InternetLink"/>
                  <w:rFonts w:ascii="Times New Roman;serif" w:hAnsi="Times New Roman;serif"/>
                  <w:b w:val="false"/>
                  <w:color w:val="0000FF"/>
                  <w:sz w:val="20"/>
                  <w:u w:val="single"/>
                </w:rPr>
                <w:t>Condensed Consolidated Balance Sheets as of June 30, 2026 and December 31,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9">
              <w:r>
                <w:rPr>
                  <w:rStyle w:val="InternetLink"/>
                  <w:rFonts w:ascii="Times New Roman;serif" w:hAnsi="Times New Roman;serif"/>
                  <w:b w:val="false"/>
                  <w:strike w:val="false"/>
                  <w:dstrike w:val="false"/>
                  <w:color w:val="0000FF"/>
                  <w:sz w:val="20"/>
                  <w:u w:val="none"/>
                  <w:effect w:val="none"/>
                </w:rPr>
                <w:t>4</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e187816c53e478aa353d9d4a6586614_22">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22">
              <w:r>
                <w:rPr>
                  <w:rStyle w:val="InternetLink"/>
                  <w:rFonts w:ascii="Times New Roman;serif" w:hAnsi="Times New Roman;serif"/>
                  <w:b w:val="false"/>
                  <w:strike w:val="false"/>
                  <w:dstrike w:val="false"/>
                  <w:color w:val="0000FF"/>
                  <w:sz w:val="20"/>
                  <w:u w:val="none"/>
                  <w:effect w:val="none"/>
                </w:rPr>
                <w:t>5</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e187816c53e478aa353d9d4a6586614_178">
              <w:r>
                <w:rPr>
                  <w:rStyle w:val="InternetLink"/>
                  <w:rFonts w:ascii="Times New Roman;serif" w:hAnsi="Times New Roman;serif"/>
                  <w:b w:val="false"/>
                  <w:color w:val="000080"/>
                  <w:sz w:val="20"/>
                  <w:u w:val="single"/>
                </w:rPr>
                <w:t xml:space="preserve">Condensed Consolidated Statements of Comprehensive Loss </w:t>
              </w:r>
            </w:hyperlink>
            <w:hyperlink w:anchor="ibe187816c53e478aa353d9d4a6586614_178">
              <w:r>
                <w:rPr>
                  <w:rStyle w:val="InternetLink"/>
                  <w:rFonts w:ascii="Times New Roman;serif" w:hAnsi="Times New Roman;serif"/>
                  <w:b w:val="false"/>
                  <w:color w:val="000080"/>
                  <w:sz w:val="20"/>
                  <w:u w:val="single"/>
                </w:rPr>
                <w:t>for the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25">
              <w:r>
                <w:rPr>
                  <w:rStyle w:val="InternetLink"/>
                  <w:rFonts w:ascii="Times New Roman;serif" w:hAnsi="Times New Roman;serif"/>
                  <w:b w:val="false"/>
                  <w:strike w:val="false"/>
                  <w:dstrike w:val="false"/>
                  <w:color w:val="0000FF"/>
                  <w:sz w:val="20"/>
                  <w:u w:val="none"/>
                  <w:effect w:val="none"/>
                </w:rPr>
                <w:t>6</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e187816c53e478aa353d9d4a6586614_28">
              <w:r>
                <w:rPr>
                  <w:rStyle w:val="InternetLink"/>
                  <w:rFonts w:ascii="Times New Roman;serif" w:hAnsi="Times New Roman;serif"/>
                  <w:b w:val="false"/>
                  <w:color w:val="0000FF"/>
                  <w:sz w:val="20"/>
                  <w:u w:val="single"/>
                </w:rPr>
                <w:t>Condensed Consolidated Statements of Stockholders’ Deficit for the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28">
              <w:r>
                <w:rPr>
                  <w:rStyle w:val="InternetLink"/>
                  <w:rFonts w:ascii="Times New Roman;serif" w:hAnsi="Times New Roman;serif"/>
                  <w:b w:val="false"/>
                  <w:strike w:val="false"/>
                  <w:dstrike w:val="false"/>
                  <w:color w:val="0000FF"/>
                  <w:sz w:val="20"/>
                  <w:u w:val="none"/>
                  <w:effect w:val="none"/>
                </w:rPr>
                <w:t>7</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be187816c53e478aa353d9d4a6586614_31">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31">
              <w:r>
                <w:rPr>
                  <w:rStyle w:val="InternetLink"/>
                  <w:rFonts w:ascii="Times New Roman;serif" w:hAnsi="Times New Roman;serif"/>
                  <w:b w:val="false"/>
                  <w:strike w:val="false"/>
                  <w:dstrike w:val="false"/>
                  <w:color w:val="0000FF"/>
                  <w:sz w:val="20"/>
                  <w:u w:val="none"/>
                  <w:effect w:val="none"/>
                </w:rPr>
                <w:t>8</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34">
              <w:r>
                <w:rPr>
                  <w:rStyle w:val="InternetLink"/>
                  <w:rFonts w:ascii="Times New Roman;serif" w:hAnsi="Times New Roman;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34">
              <w:r>
                <w:rPr>
                  <w:rStyle w:val="InternetLink"/>
                  <w:rFonts w:ascii="Times New Roman;serif" w:hAnsi="Times New Roman;serif"/>
                  <w:b w:val="false"/>
                  <w:strike w:val="false"/>
                  <w:dstrike w:val="false"/>
                  <w:color w:val="0000FF"/>
                  <w:sz w:val="20"/>
                  <w:u w:val="none"/>
                  <w:effect w:val="none"/>
                </w:rPr>
                <w:t>9</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0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03">
              <w:r>
                <w:rPr>
                  <w:rStyle w:val="InternetLink"/>
                  <w:rFonts w:ascii="Times New Roman;serif" w:hAnsi="Times New Roman;serif"/>
                  <w:b w:val="false"/>
                  <w:strike w:val="false"/>
                  <w:dstrike w:val="false"/>
                  <w:color w:val="0000FF"/>
                  <w:sz w:val="20"/>
                  <w:u w:val="none"/>
                  <w:effect w:val="none"/>
                </w:rPr>
                <w:t>38</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18">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18">
              <w:r>
                <w:rPr>
                  <w:rStyle w:val="InternetLink"/>
                  <w:rFonts w:ascii="Times New Roman;serif" w:hAnsi="Times New Roman;serif"/>
                  <w:b w:val="false"/>
                  <w:strike w:val="false"/>
                  <w:dstrike w:val="false"/>
                  <w:color w:val="0000FF"/>
                  <w:sz w:val="20"/>
                  <w:u w:val="none"/>
                  <w:effect w:val="none"/>
                </w:rPr>
                <w:t>45</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21">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21">
              <w:r>
                <w:rPr>
                  <w:rStyle w:val="InternetLink"/>
                  <w:rFonts w:ascii="Times New Roman;serif" w:hAnsi="Times New Roman;serif"/>
                  <w:b w:val="false"/>
                  <w:strike w:val="false"/>
                  <w:dstrike w:val="false"/>
                  <w:color w:val="0000FF"/>
                  <w:sz w:val="20"/>
                  <w:u w:val="none"/>
                  <w:effect w:val="none"/>
                </w:rPr>
                <w:t>47</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24">
              <w:r>
                <w:rPr>
                  <w:rStyle w:val="InternetLink"/>
                  <w:rFonts w:ascii="Times New Roman;serif" w:hAnsi="Times New Roman;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27">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27">
              <w:r>
                <w:rPr>
                  <w:rStyle w:val="InternetLink"/>
                  <w:rFonts w:ascii="Times New Roman;serif" w:hAnsi="Times New Roman;serif"/>
                  <w:b w:val="false"/>
                  <w:strike w:val="false"/>
                  <w:dstrike w:val="false"/>
                  <w:color w:val="0000FF"/>
                  <w:sz w:val="20"/>
                  <w:u w:val="none"/>
                  <w:effect w:val="none"/>
                </w:rPr>
                <w:t>47</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30">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30">
              <w:r>
                <w:rPr>
                  <w:rStyle w:val="InternetLink"/>
                  <w:rFonts w:ascii="Times New Roman;serif" w:hAnsi="Times New Roman;serif"/>
                  <w:b w:val="false"/>
                  <w:strike w:val="false"/>
                  <w:dstrike w:val="false"/>
                  <w:color w:val="0000FF"/>
                  <w:sz w:val="20"/>
                  <w:u w:val="none"/>
                  <w:effect w:val="none"/>
                </w:rPr>
                <w:t>47</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33">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33">
              <w:r>
                <w:rPr>
                  <w:rStyle w:val="InternetLink"/>
                  <w:rFonts w:ascii="Times New Roman;serif" w:hAnsi="Times New Roman;serif"/>
                  <w:b w:val="false"/>
                  <w:strike w:val="false"/>
                  <w:dstrike w:val="false"/>
                  <w:color w:val="0000FF"/>
                  <w:sz w:val="20"/>
                  <w:u w:val="none"/>
                  <w:effect w:val="none"/>
                </w:rPr>
                <w:t>52</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36">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36">
              <w:r>
                <w:rPr>
                  <w:rStyle w:val="InternetLink"/>
                  <w:rFonts w:ascii="Times New Roman;serif" w:hAnsi="Times New Roman;serif"/>
                  <w:b w:val="false"/>
                  <w:strike w:val="false"/>
                  <w:dstrike w:val="false"/>
                  <w:color w:val="0000FF"/>
                  <w:sz w:val="20"/>
                  <w:u w:val="none"/>
                  <w:effect w:val="none"/>
                </w:rPr>
                <w:t>52</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39">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39">
              <w:r>
                <w:rPr>
                  <w:rStyle w:val="InternetLink"/>
                  <w:rFonts w:ascii="Times New Roman;serif" w:hAnsi="Times New Roman;serif"/>
                  <w:b w:val="false"/>
                  <w:strike w:val="false"/>
                  <w:dstrike w:val="false"/>
                  <w:color w:val="0000FF"/>
                  <w:sz w:val="20"/>
                  <w:u w:val="none"/>
                  <w:effect w:val="none"/>
                </w:rPr>
                <w:t>52</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42">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42">
              <w:r>
                <w:rPr>
                  <w:rStyle w:val="InternetLink"/>
                  <w:rFonts w:ascii="Times New Roman;serif" w:hAnsi="Times New Roman;serif"/>
                  <w:b w:val="false"/>
                  <w:strike w:val="false"/>
                  <w:dstrike w:val="false"/>
                  <w:color w:val="0000FF"/>
                  <w:sz w:val="20"/>
                  <w:u w:val="none"/>
                  <w:effect w:val="none"/>
                </w:rPr>
                <w:t>52</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45">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45">
              <w:r>
                <w:rPr>
                  <w:rStyle w:val="InternetLink"/>
                  <w:rFonts w:ascii="Times New Roman;serif" w:hAnsi="Times New Roman;serif"/>
                  <w:b w:val="false"/>
                  <w:strike w:val="false"/>
                  <w:dstrike w:val="false"/>
                  <w:color w:val="0000FF"/>
                  <w:sz w:val="20"/>
                  <w:u w:val="none"/>
                  <w:effect w:val="none"/>
                </w:rPr>
                <w:t>53</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187816c53e478aa353d9d4a6586614_148">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187816c53e478aa353d9d4a6586614_148">
              <w:r>
                <w:rPr>
                  <w:rStyle w:val="InternetLink"/>
                  <w:rFonts w:ascii="Times New Roman;serif" w:hAnsi="Times New Roman;serif"/>
                  <w:b w:val="false"/>
                  <w:strike w:val="false"/>
                  <w:dstrike w:val="false"/>
                  <w:color w:val="0000FF"/>
                  <w:sz w:val="20"/>
                  <w:u w:val="none"/>
                  <w:effect w:val="non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Statements in this Quarterly Report on Form 10-Q about LivePerson, Inc. (“LivePerson,” the “Company,” “we,” “our” or “us”) that are not historical facts, including statements about the proposed acquisition of LivePerson by SoundHound AI, Inc. (“SoundHound”), the expected benefits of the proposed acquisition, including with respect to the business outlook or future economic performance, the structure of the proposed acquisition, the closing date of the proposed acquisition, and plans following the closing of the proposed acquisition,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statements regarding expectations for retention rates, customer attrition and revenue and other statements based on examinations of historical operating trends) and management strategies. Many of these statements are found in the “Business” and “Management’s Discussion and Analysis of Financial Condition and Results of Operations” sections of this Quarterly Report on Form 10-Q. When used in this Quarterly Report on Form 10-Q,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w:t>
      </w:r>
      <w:r>
        <w:rPr>
          <w:rFonts w:ascii="Times New Roman;serif" w:hAnsi="Times New Roman;serif"/>
          <w:b w:val="false"/>
          <w:color w:val="000000"/>
          <w:sz w:val="20"/>
          <w:shd w:fill="FFFFFF" w:val="clear"/>
        </w:rPr>
        <w:t>ressed or implied in the forward-looking statements. Important factors that could cause our actual results to differ materially from the forward-looking statements we make in this Quarterly Report on Form 10-Q include those set forth in our Annual Report on Form 10-K filed with the Securities and Exchange Commission (the “SEC”) on March 16, 2026 in the sec</w:t>
      </w:r>
      <w:r>
        <w:rPr>
          <w:rFonts w:ascii="Times New Roman;serif" w:hAnsi="Times New Roman;serif"/>
          <w:b w:val="false"/>
          <w:color w:val="000000"/>
          <w:sz w:val="20"/>
        </w:rPr>
        <w:t>tion entitled Part I, Item 1A., “Risk Factors” and in this Quarterly Report on Form 10-Q in the section entitled Part II, Item 1A., “Risk Factors.” It is routine for our internal projections and expectations to change as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LIVEPERSON,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48"/>
        <w:gridCol w:w="2216"/>
        <w:gridCol w:w="2186"/>
        <w:gridCol w:w="211"/>
        <w:gridCol w:w="829"/>
        <w:gridCol w:w="109"/>
        <w:gridCol w:w="109"/>
        <w:gridCol w:w="109"/>
        <w:gridCol w:w="109"/>
        <w:gridCol w:w="213"/>
        <w:gridCol w:w="837"/>
        <w:gridCol w:w="229"/>
      </w:tblGrid>
      <w:tr>
        <w:trPr/>
        <w:tc>
          <w:tcPr>
            <w:tcW w:w="3048"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$6,030 and $4,451 as of June 30, 2026 and December 31, 2025, respectively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(Note 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137,118 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(Note 6)</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acquisition costs, net (Note 2)</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(Note 5)</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 (Note 5)</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(Note 14)</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454,667 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(Note 7)</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(Note 2)</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senior notes (Note 8)</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net of current portion (Note 8)</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371,732 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499,162 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(Notes 10 and 13)</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64"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- 20,000,000 shares authorized, 12,520,490 and 12,223,729 shares issued, 12,336,086 and 12,039,325 shares outstanding as of June 30, 2026 and December 31, 2025, respectively.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- 184,404 shares at June 30, 2026 and December 31, 2025</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1,021,076 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(1,058,494)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w:t>
            </w:r>
          </w:p>
        </w:tc>
        <w:tc>
          <w:tcPr>
            <w:tcW w:w="22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(44,495)</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454,667 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color w:val="000000"/>
        </w:rPr>
      </w:pPr>
      <w:r>
        <w:rPr>
          <w:color w:val="000000"/>
        </w:rPr>
        <w:t xml:space="preserve">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LIVEPERSON,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98"/>
        <w:gridCol w:w="1324"/>
        <w:gridCol w:w="1329"/>
        <w:gridCol w:w="240"/>
        <w:gridCol w:w="841"/>
        <w:gridCol w:w="109"/>
        <w:gridCol w:w="109"/>
        <w:gridCol w:w="109"/>
        <w:gridCol w:w="109"/>
        <w:gridCol w:w="211"/>
        <w:gridCol w:w="779"/>
        <w:gridCol w:w="109"/>
        <w:gridCol w:w="109"/>
        <w:gridCol w:w="109"/>
        <w:gridCol w:w="109"/>
        <w:gridCol w:w="219"/>
        <w:gridCol w:w="862"/>
        <w:gridCol w:w="109"/>
        <w:gridCol w:w="109"/>
        <w:gridCol w:w="109"/>
        <w:gridCol w:w="109"/>
        <w:gridCol w:w="211"/>
        <w:gridCol w:w="826"/>
        <w:gridCol w:w="157"/>
      </w:tblGrid>
      <w:tr>
        <w:trPr/>
        <w:tc>
          <w:tcPr>
            <w:tcW w:w="189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4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4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21" w:type="dxa"/>
            <w:gridSpan w:val="6"/>
            <w:tcBorders/>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Costs, expenses and other: </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expense shown separately below)</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(reversals) costs,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expenses and other</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178,903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147,677</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troubled debt restructuring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6,191,117 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12,230,954 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6,276,556 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12,155,211 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6,354,437 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LIVEPERSON,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120"/>
        <w:jc w:val="center"/>
        <w:rPr/>
      </w:pPr>
      <w:r>
        <w:rPr/>
      </w:r>
    </w:p>
    <w:tbl>
      <w:tblPr>
        <w:tblW w:w="8850" w:type="dxa"/>
        <w:jc w:val="center"/>
        <w:tblInd w:w="0" w:type="dxa"/>
        <w:tblLayout w:type="fixed"/>
        <w:tblCellMar>
          <w:top w:w="28" w:type="dxa"/>
          <w:left w:w="28" w:type="dxa"/>
          <w:bottom w:w="28" w:type="dxa"/>
          <w:right w:w="28" w:type="dxa"/>
        </w:tblCellMar>
      </w:tblPr>
      <w:tblGrid>
        <w:gridCol w:w="1214"/>
        <w:gridCol w:w="1063"/>
        <w:gridCol w:w="1083"/>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21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350"/>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488" w:type="dxa"/>
            <w:gridSpan w:val="6"/>
            <w:tcBorders/>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color w:val="000000"/>
        </w:rPr>
      </w:pPr>
      <w:r>
        <w:rPr>
          <w:color w:val="000000"/>
        </w:rPr>
        <w:t>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LIVEPERSON,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1680" w:type="dxa"/>
        <w:jc w:val="center"/>
        <w:tblInd w:w="0" w:type="dxa"/>
        <w:tblLayout w:type="fixed"/>
        <w:tblCellMar>
          <w:top w:w="28" w:type="dxa"/>
          <w:left w:w="28" w:type="dxa"/>
          <w:bottom w:w="28" w:type="dxa"/>
          <w:right w:w="28" w:type="dxa"/>
        </w:tblCellMar>
      </w:tblPr>
      <w:tblGrid>
        <w:gridCol w:w="621"/>
        <w:gridCol w:w="282"/>
        <w:gridCol w:w="283"/>
        <w:gridCol w:w="480"/>
        <w:gridCol w:w="481"/>
        <w:gridCol w:w="196"/>
        <w:gridCol w:w="109"/>
        <w:gridCol w:w="109"/>
        <w:gridCol w:w="109"/>
        <w:gridCol w:w="196"/>
        <w:gridCol w:w="421"/>
        <w:gridCol w:w="109"/>
        <w:gridCol w:w="109"/>
        <w:gridCol w:w="109"/>
        <w:gridCol w:w="109"/>
        <w:gridCol w:w="375"/>
        <w:gridCol w:w="376"/>
        <w:gridCol w:w="196"/>
        <w:gridCol w:w="109"/>
        <w:gridCol w:w="109"/>
        <w:gridCol w:w="109"/>
        <w:gridCol w:w="241"/>
        <w:gridCol w:w="315"/>
        <w:gridCol w:w="135"/>
        <w:gridCol w:w="109"/>
        <w:gridCol w:w="109"/>
        <w:gridCol w:w="109"/>
        <w:gridCol w:w="196"/>
        <w:gridCol w:w="871"/>
        <w:gridCol w:w="109"/>
        <w:gridCol w:w="109"/>
        <w:gridCol w:w="109"/>
        <w:gridCol w:w="109"/>
        <w:gridCol w:w="196"/>
        <w:gridCol w:w="886"/>
        <w:gridCol w:w="109"/>
        <w:gridCol w:w="109"/>
        <w:gridCol w:w="109"/>
        <w:gridCol w:w="109"/>
        <w:gridCol w:w="272"/>
        <w:gridCol w:w="792"/>
        <w:gridCol w:w="152"/>
        <w:gridCol w:w="109"/>
        <w:gridCol w:w="109"/>
        <w:gridCol w:w="109"/>
        <w:gridCol w:w="196"/>
        <w:gridCol w:w="751"/>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4"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12,223,729 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issued upon vesting of restricted stock units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12,285,554 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upon vesting of restricted stock units</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234,936 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12,520,490 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(1,139,878)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(8,101)</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1330" w:type="dxa"/>
        <w:jc w:val="center"/>
        <w:tblInd w:w="0" w:type="dxa"/>
        <w:tblLayout w:type="fixed"/>
        <w:tblCellMar>
          <w:top w:w="28" w:type="dxa"/>
          <w:left w:w="28" w:type="dxa"/>
          <w:bottom w:w="28" w:type="dxa"/>
          <w:right w:w="28" w:type="dxa"/>
        </w:tblCellMar>
      </w:tblPr>
      <w:tblGrid>
        <w:gridCol w:w="621"/>
        <w:gridCol w:w="282"/>
        <w:gridCol w:w="283"/>
        <w:gridCol w:w="435"/>
        <w:gridCol w:w="436"/>
        <w:gridCol w:w="196"/>
        <w:gridCol w:w="109"/>
        <w:gridCol w:w="109"/>
        <w:gridCol w:w="109"/>
        <w:gridCol w:w="212"/>
        <w:gridCol w:w="359"/>
        <w:gridCol w:w="120"/>
        <w:gridCol w:w="109"/>
        <w:gridCol w:w="109"/>
        <w:gridCol w:w="109"/>
        <w:gridCol w:w="375"/>
        <w:gridCol w:w="376"/>
        <w:gridCol w:w="196"/>
        <w:gridCol w:w="109"/>
        <w:gridCol w:w="109"/>
        <w:gridCol w:w="109"/>
        <w:gridCol w:w="241"/>
        <w:gridCol w:w="315"/>
        <w:gridCol w:w="135"/>
        <w:gridCol w:w="109"/>
        <w:gridCol w:w="109"/>
        <w:gridCol w:w="109"/>
        <w:gridCol w:w="196"/>
        <w:gridCol w:w="736"/>
        <w:gridCol w:w="109"/>
        <w:gridCol w:w="109"/>
        <w:gridCol w:w="109"/>
        <w:gridCol w:w="109"/>
        <w:gridCol w:w="196"/>
        <w:gridCol w:w="886"/>
        <w:gridCol w:w="109"/>
        <w:gridCol w:w="109"/>
        <w:gridCol w:w="109"/>
        <w:gridCol w:w="109"/>
        <w:gridCol w:w="246"/>
        <w:gridCol w:w="832"/>
        <w:gridCol w:w="138"/>
        <w:gridCol w:w="109"/>
        <w:gridCol w:w="109"/>
        <w:gridCol w:w="109"/>
        <w:gridCol w:w="196"/>
        <w:gridCol w:w="661"/>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4"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6,263,782 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issued upon vesting of restricted stock units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6,411,859 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(1,005,394)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(10,442)</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upon vesting of restricted stock units</w:t>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162,046 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Employee Stock Purchase Plan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6,625,030 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(1,021,104)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(6,928)</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(82,412)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ind w:left="0" w:right="0" w:firstLine="480"/>
        <w:jc w:val="center"/>
        <w:rPr/>
      </w:pPr>
      <w:r>
        <w:rPr/>
      </w:r>
    </w:p>
    <w:p>
      <w:pPr>
        <w:pStyle w:val="TextBody"/>
        <w:bidi w:val="0"/>
        <w:spacing w:lineRule="auto" w:line="288" w:before="0" w:after="0"/>
        <w:jc w:val="center"/>
        <w:rPr/>
      </w:pPr>
      <w:r>
        <w:rPr>
          <w:rFonts w:ascii="Times New Roman;serif" w:hAnsi="Times New Roman;serif"/>
          <w:b/>
          <w:color w:val="000000"/>
          <w:sz w:val="20"/>
        </w:rPr>
        <w:t>LIVEP</w:t>
      </w:r>
      <w:r>
        <w:rPr>
          <w:rFonts w:ascii="Times New Roman;serif" w:hAnsi="Times New Roman;serif"/>
          <w:b/>
          <w:color w:val="000000"/>
          <w:sz w:val="20"/>
          <w:shd w:fill="FFFFFF" w:val="clear"/>
        </w:rPr>
        <w:t>ERSON,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60"/>
        <w:gridCol w:w="2406"/>
        <w:gridCol w:w="2419"/>
        <w:gridCol w:w="211"/>
        <w:gridCol w:w="780"/>
        <w:gridCol w:w="109"/>
        <w:gridCol w:w="109"/>
        <w:gridCol w:w="109"/>
        <w:gridCol w:w="109"/>
        <w:gridCol w:w="211"/>
        <w:gridCol w:w="826"/>
        <w:gridCol w:w="156"/>
      </w:tblGrid>
      <w:tr>
        <w:trPr/>
        <w:tc>
          <w:tcPr>
            <w:tcW w:w="2760"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ACTIVITIES:</w:t>
            </w:r>
          </w:p>
        </w:tc>
        <w:tc>
          <w:tcPr>
            <w:tcW w:w="262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loss to net cash provided by (used in) operating activities: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8,969 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 expense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11,165 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operating lease right-of-use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purchased intangible assets and finance leases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issuance costs and accretion of debt discount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3,727 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Impairment of goodwill</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troubled debt restructuring</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warrants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interest expense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Allowance for credit losses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assets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Contract acquisition costs </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accrued expenses and other current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(used in) operating activities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(14,772)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and equipment, including capitalized internal-use software development costs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intangible assets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investing activities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(7,947)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FINANCING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 in connection with the exercise of options and employee stock purchase plan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payments for finance leases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in connection with troubled debt restructuring</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provided by financing activities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foreign exchange rate changes on cash and cash equivalents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and cash equivalents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 beginning of year</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Cash and cash equivalents - end of period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161,963 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other cash flow information:</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income taxes,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interest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non-cash investing and financing activities: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property and equipment and intangible assets recorded in 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12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Description of Business and Basis of Presentation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LivePerson, Inc. (the “Company”) is a leader in digital customer conversation. Since 1998, LivePerson has enabled meaningful connections between consumers and its customers through digital and artificial intelligence (“AI”)-powered conversations. Our customers’ existing investments in Generative AI and Large Language Models (“LLMs”) are fully compatible with LivePerson’s enterprise-class digital customer conversation platform (the “Conversational Cloud”).</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Conversational Cloud powers conversations across each of a brand’s primary digital channels, including mobile apps, mobile and desktop web browsers, short messaging service, social media and third-party consumer messaging platforms. Brands can also use the Conversational Cloud to connect conversations across voice and digital channels to give customers additional options and ensure their interactions with brands are integrated no matter where they choose to reach out.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Conversational Cloud enables what the Company calls “the tango” of humans, LivePerson bots, third-party bots and LLMs, in which humans oversee and are assisted by AI and can seamlessly step into conversations as needed. Agents utilize the AI engine (including generative AI capabilities) to surface relevant content, define next-best actions and automate repetitive transactional work so that the agent can focus on relationship building. By integrating customer engagement channels, LivePerson’s proprietary AI, and third-party bots and AI, the Conversational Cloud offers brands a comprehensive approach to scaling automations across customer conversations.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2026, the Company commercially launched Syntrix, a proprietary simulation and evaluation platform designed to provide predictability and safety in conversational AI. Utilizing the Company’s conversational data sets, Syntrix allows enterprise brands to test, evaluate, and validate AI behavior in a controlled environment prior to deployment. A core capability of the platform is the Conversation Simulator, which identifies AI performance issues and validates human agent readiness at scale. Syntrix is designed with architectural flexibility to be sold as an integrated component of the Conversational Cloud or as a standalone evaluation and simulation solution for brands utilizing third-party AI ecosystems.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Merger Agreement</w:t>
      </w:r>
    </w:p>
    <w:p>
      <w:pPr>
        <w:pStyle w:val="TextBody"/>
        <w:bidi w:val="0"/>
        <w:spacing w:before="0" w:after="0"/>
        <w:ind w:left="0" w:right="0" w:firstLine="48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2026, LivePerson entered into a Merger Agreement (the “Original Merger Agreement”), by and among LivePerson, SoundHound AI, Inc., a Delaware corporation, and Lightspeed Merger Sub Inc., a Delaware corporation and an indirect wholly owned subsidiary of SoundHound (“Merger Sub I”), pursuant to which, on the terms and subject to the conditions set forth in the Original Merger Agreement, Merger Sub I would merge with and into LivePerson, with LivePerson surviving the merger as an indirect wholly owned subsidiary of SoundHound.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entry into the Original Merger Agreement, LivePerson and SoundHound determined that applicable Israeli securities laws, which are only applicable to shares of LivePerson’s common stock, par value $0.001 (“LivePerson Common Stock”) that are held through the Tel Aviv Stock Exchange Clearing House Ltd (such shares of LivePerson Common Stock, the “TASE Shares”), would have required SoundHound to prepare and file an Israeli securities law-compliant prospectus in connection with the proposed offering and issuance of shares of Class A common stock of SoundHound, par value $0.0001 (“SoundHound Common Stock”) to holders of TASE Shares, unless an exception to such requirement was applicable or an exemption from such requirement could be obtained from the applicable legal authorities in Israel. Absent such exception or exemption, the LivePerson special meeting, and accordingly the proposed closing of the transactions contemplated by the Original Merger Agreement, could have been delayed by a number of months. The parties explored a number of potential options to avoid such a delay, and ultimately agreed to change the form of consideration to be received by holders of TASE Shares from SoundHound Common Stock to cash.</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Consequently, on July 2, 2026, LivePerson, SoundHound, Merger Sub I, and Lightspeed Merger Sub II Inc., a Delaware corporation and an indirect wholly owned subsidiary of SoundHound (“Merger Sub II”) entered into an Amended and Restated Merger Agreement (the “Amended and Restated Merger Agreement”), which amends and restates in its entirety the Original Merger Agreement. Pursuant to the Amended and Restated Merger Agreement, on the terms and subject to the conditions set forth in the Amended and Restated Merger Agreement, Merger Sub I will merge with and into LivePerson (the “First Merger”), with LivePerson surviving the First Merger as an indirect wholly owned subsidiary of SoundHound and, immediately following the First Merger, Merger Sub II will merge with and into LivePerson (the “Second Merger”, and, together with the First Merger, the “Mergers”), with LivePerson surviving the Second Merger as an indirect wholly owned subsidiary of SoundHound.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capitalized terms used in this summary of the Amended and Restated Merger Agreement that are not otherwise defined herein have the meanings ascribed to such terms in the Amended and Restated Merger Agreement.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and conditions of the Amended and Restated Merger Agreement, at the date and time the First Merger becomes effective (the “First Effective Time”), each share of LivePerson Common Stock issued and outstanding immediately prior to the First Effective Time (other than certain excluded shares, including TASE Shares) will be automatically converted into the right to receive a number of shares of SoundHound common stock equal to (a) the Closing Merger Consideration (as defined below), divided by (b) the total number of shares of LivePerson Common Stock that are issued and outstanding, or that are issuable upon the conversion, exercise or settlement in full of any rights to acquire LivePerson Common Stock, as of immediately prior to the First Effective Time (such number of shares, the “Fully Diluted Common Number”, and the result of the calculation set forth in the foregoing clauses (a) and (b), the “Per Share Merger Consideration”). It is intended that the Mergers be treated as transactions in which gain or loss is recognized for U.S. federal income tax purposes.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amount of consideration payable by SoundHound to holders of LivePerson’s common stock (other than certain excluded shares, including TASE Shares) in connection with the First Merger pursuant to the terms of the Amended and Restated Merger Agreement will be a number of shares of SoundHound Common Stock equal to the quotient of (a) the Aggregate Consideration Amount (as defined below), divided by (b) the SoundHound Closing Stock Price (the “Closing Merger Consideration”).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Consistent with the Original Merger Agreement, the “Aggregate Consideration Amount” refers to an amount equal to (a) $42,784,532.64, minus (b) the LivePerson Shortfall Cash (as defined below), plus (c) the aggregate dollar amount of the exercise prices of each option to purchase shares of LivePerson Common Stock (a “LivePerson Option”) with a per-share exercise price less than the product of the Per Share Merger Consideration multiplied by the SoundHound Closing Stock Price ((each such option, an “In-The-Money Option”) (other than options assumed by SoundHound and converted into an option to acquire shares of SoundHound Common Stock (the “Assumed Options”), in accordance with the terms of the Amended and Restated Merger Agreement)). Consistent with the Original Merger Agreement, “LivePerson Shortfall Cash” refers to an amount equal to (x) $74,000,000, minus (y) the aggregate principal amount of the 0% Convertible Senior Notes due 2026 (the “2026 Notes”) repurchased by LivePerson between April 1, 2026 and the closing of the Mergers (the “Closing”) (the figure resulting from clause (x) minus clause (y), the “LivePerson Minimum Cash”), minus (z) the cash and cash equivalents on LivePerson’s balance sheet as of 12:01 a.m. Pacific Time on the date on which the Closing occurs (the “Closing Date”) (net of certain LivePerson transaction expenses as of the Closing) (the foregoing clause (z), the “LivePerson Cash Balance”); provided that, if a negative number results from such calculation, “LivePerson Shortfall Cash” will be $0. Consistent with the Original Merger Agreement, the “SoundHound Closing Stock Price” refers to the price per share of SoundHound Common Stock derived from the average of the daily volume weighted average prices of a share of SoundHound Common Stock on the Nasdaq on each of the ten (10) consecutive trading days ending on (and including) the trading day that is three (3) trading days prior to the Closing Date, rounded down to the nearest penny, as reported by Bloomberg (the “SoundHound Closing VWAP Stock Price”); provided that, in the event such price per share (I) exceeds $12.00 per share, “SoundHound Closing Stock Price” will be $12.00 per share or (II) falls below $7.00 per share, “SoundHound Closing Stock Price” will be $7.00 per share.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Amended and Restated Merger Agreement, at the time that the Second Merger becomes effective (the “Second Effective Time”), each TASE Share and issued and outstanding immediately prior to the Second Effective Time (other than any Dissenting Shares (as defined below)) will be automatically converted into the right to receive an amount in cash equal to (a) the Closing TASE Cash Merger Consideration (as defined below), divided by (b) the total number of TASE Shares that are issued and outstanding as of immediately prior to the Second Effective Time (such number of shares, the “Fully Diluted TASE Common Number”, and the result of the calculation set forth in the foregoing clauses (a) and (b), the “Per Share Cash Merger Consideration”).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amount of cash consideration payable by SoundHound to holders of TASE Shares (other than Dissenting Shares) in connection with the Second Merger pursuant to the terms of the Amended and Restated Merger Agreement will be an amount in cash equal to (a) the Closing Merger Consideration, multiplied by (b) the SoundHound Closing VWAP Stock Price, multiplied by (c) a fraction, the numerator of which is the Fully Diluted TASE Common Number, and the denominator of which is the Fully Diluted Common Number (the “Closing TASE Cash Merger Consideration”); provided that, in the event such amount exceeds $7,500,000, “Closing TASE Cash Merger Consideration” will be $7,500,000.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TASE Shares that are issued and outstanding immediately prior to the Second Effective Time and held by a holder or beneficial owner who did not vote in favor of the adoption of the Amended and Restated Merger Agreement and properly demanded appraisal of such TASE Shares (“Dissenting Shares”) in accordance with Section 262 of the DGCL will not be converted into the right to receive the Per Share Cash Merger Consideration and will instead, at the Second Effective Time, be converted into the right to receive payment of the fair value of such Dissenting Shares in accordance with the terms of the Amended and Restated Merger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Consistent with the Original Merger Agreement, under the terms of the Amended and Restated Merger Agreement, completion of the Mergers is subject to customary closing conditions, including, among others (a) the adoption of the Amended and Restated Merger Agreement by the stockholders of LivePerson; (b) the absence of any law, order or other legal impediment prohibiting the consummation of the Mergers; (c) the receipt of approvals under certain applicable foreign direct investment laws; (d) the approval for listing the shares of SoundHound Common Stock issuable to the stockholders of LivePerson pursuant to the Amended and Restated Merger Agreement on the Nasdaq; (e) the effectiveness of SoundHound’s registration statement on Form S-4; (f) the accuracy of the parties’ respective representations and warranties in the Amended and Restated Merger Agreement, subject to specified materiality qualifications; (g) the performance or compliance by SoundHound and LivePerson with the covenants in the Amended and Restated Merger Agreement in all material respects; (h) the absence of a material adverse effect on LivePerson (as defined in the Amended and Restated Merger Agreement); and (i) the consummation of the Notes Restructuring Transactions (as defined below).</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Consistent with the Original Merger Agreement, the Amended and Restated Merger Agreement contains customary representations, warranties and covenants made by each of SoundHound, Merger Sub I, Merger Sub II and LivePerson, including, among others, covenants by LivePerson regarding the conduct of its business during the pendency of the transactions contemplated by the Amended and Restated Merger Agreement, public disclosures and other matters. LivePerson is required, among other things, not to solicit alternative business combination transactions and, subject to certain exceptions, not to engage in discussions or negotiations regarding an alternative business combination transaction.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Consistent with the Original Merger Agreement, both SoundHound and LivePerson may terminate the Amended and Restated Merger Agreement under specified circumstances, including (a) if the Mergers are not completed by October 21, 2026 (which date may be extended to December 5, 2026 if certain regulatory approvals have not been obtained); (b) if LivePerson fails to obtain stockholder approval; (c) if LivePerson’s board of directors makes an adverse recommendation change with respect to the Mergers or commits a material breach of its non-solicitation obligations; (d) if LivePerson’s board of directors terminates to accept a superior acquisition proposal; or (e) if the Notes Restructuring Transactions are terminated for any reason. Consistent with the Original Merger Agreement, the Amended and Restated Merger Agreement further provides that LivePerson is required to pay SoundHound a termination fee of $5,000,000, plus SoundHound’s transaction expenses, if the Amended and Restated Merger Agreement is terminated under certain specified circumstances, including if LivePerson’s board of directors changes or withdraws its recommendation of the Mergers, terminates the Amended and Restated Merger Agreement to enter into an agreement with respect to a superior acquisition proposal or if the Notes Restructuring Transactions terminate for any reason or otherwise fail to consummate by the Outside Date (as defined in the Amended and Restated Merger Agreement), except where such termination or failure to consummate primarily resulted from SoundHound’s material breach of the Notes Restructuring Agreement; provided that where a termination fee is payable in connection with the failure to consummate, or termination of, the Notes Restructuring Transactions, the obligation to reimburse SoundHound’s transaction expenses will be capped at $3,750,000.</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and Restated Merger Agreement and the consummation of the transactions contemplated thereby, including the Mergers have been unanimously approved by LivePerson’s board of directors, and LivePerson’s board of directors has resolved to recommend to the stockholders of LivePerson to adopt the Amended and Restated Merger Agreement, subject to its terms and conditions.</w:t>
      </w:r>
    </w:p>
    <w:p>
      <w:pPr>
        <w:pStyle w:val="TextBody"/>
        <w:bidi w:val="0"/>
        <w:spacing w:before="0" w:after="0"/>
        <w:ind w:left="0" w:right="0" w:firstLine="48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The Notes Restructuring Agreement</w:t>
      </w:r>
    </w:p>
    <w:p>
      <w:pPr>
        <w:pStyle w:val="TextBody"/>
        <w:bidi w:val="0"/>
        <w:spacing w:before="0" w:after="0"/>
        <w:ind w:left="0" w:right="0" w:firstLine="48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21, 2026, concurrently with the execution and delivery of the Original Merger Agreement, SoundHound entered into a Notes Restructuring Agreement (the “Notes Restructuring Agreement”) with LivePerson and each of the holders of the First Lien Convertible Senior Notes due 2029 (“2029 Notes”) and the Second Lien Senior Subordinated Secured Notes due 2029 (the “Second Lien Notes,” and together with the 2029 Notes, the “Secured Notes,” and together with the 2026 Notes and the 2029 Notes, the “Notes”), pursuant to which and on the terms and subject to the conditions thereof, among other things, the holders of the Secured Notes have agreed to release and deem satisfied the Secured Notes for the consideration contemplated thereby (the transactions contemplated by the Notes Restructuring Agreement, “Notes Restructuring Transactions”).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consummation of the Notes Restructuring Transactions, on the terms and subject to the conditions set forth in the Notes Restructuring Agreement, each holder of 2029 Notes has agreed to accept, in full and complete satisfaction of all obligations of LivePerson to such holder, (a) a number of shares of SoundHound Common Stock equal to the quotient of (i) $178,007,733.68 (the “First Lien Holder Aggregate Consideration Amount”), divided by (ii) the SoundHound Closing Stock Price and (b) an amount in cash paid by LivePerson concurrently with Closing in the amount of (i) accrued and unpaid interest on the 2029 Notes held by such holder, plus (ii) 65% of any LivePerson Excess Cash.</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consummation of the Notes Restructuring Transactions, on the terms and subject to the conditions set forth in the Notes Restructuring Agreement, each holder of Second Lien Notes has agreed to accept, in full and complete satisfaction of all obligations of LivePerson to such holder, such holder’s pro rata portion of (a) a number of shares of SoundHound Common Stock equal to the quotient of (i) $83,207,733.68 (the “Second Lien Holder Aggregate Consideration Amount”), divided by (ii) the SoundHound Closing Stock Price and (b) an amount in cash equal to (i) the principal amount of any 2026 Notes repurchased and retired by LivePerson between April 1, 2026 and the Closing, minus (ii) the amount of cash paid to repurchase such 2026 Notes, plus (iii) 35% of LivePerson Excess Cash.</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color w:val="000000"/>
        </w:rPr>
      </w:pPr>
      <w:r>
        <w:rPr>
          <w:color w:val="000000"/>
        </w:rPr>
        <w:t>“</w:t>
      </w:r>
      <w:r>
        <w:rPr>
          <w:rFonts w:ascii="Times New Roman;serif" w:hAnsi="Times New Roman;serif"/>
          <w:b w:val="false"/>
          <w:color w:val="000000"/>
          <w:sz w:val="20"/>
        </w:rPr>
        <w:t>LivePerson Excess Cash” refers to the difference of (a) the LivePerson Cash Balance, minus (b) the LivePerson Minimum Cash; provided that, if a negative number results from such calculation, “LivePerson Excess Cash” shall be $0.</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Notes Restructuring Agreement provides SoundHound the option to elect, at any time before the close of business two business days prior to the Closing Date, to substitute an amount of cash in lieu of all or a portion of the stock consideration paid to the holders of Secured Notes, provided that (a) each holder of Secured Notes receives the same proportion of its consideration in cash and shares of SoundHound Common Stock; (b) regardless of the SoundHound Closing Stock Price, the proportion of consideration satisfied in cash shall be calculated assuming the stock consideration is worth the First Lien Holder Aggregate Consideration Amount and the Second Lien Holder Aggregate Consideration Amount, respectively and (c) in the event SoundHound Closing Stock Price is greater than $12.00 per share, SoundHound shall not be entitled to substitute cash for more than 50% of the stock consideration.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Notes Restructuring Agreement, completion of the Notes Restructuring Transactions is subject to customary closing conditions, including (a) the absence of any order or other legal impediment prohibiting the consummation of the Notes Restructuring Transactions; (b) the closing conditions under the Amended and Restated Merger Agreement being satisfied or waived (other than the consummation of the Notes Restructuring Transactions); (c) the requisite securities law filings having been made; (d) the approval for listing the shares of SoundHound Common Stock issuable to the holder of the Secured Notes pursuant to the Notes Restructuring Agreement on the Nasdaq; (e) the accuracy of the parties’ respective representations and warranties in the Notes Restructuring Agreement, subject to specified materiality qualifications; (f) the performance or compliance by SoundHound, LivePerson and the holders of Secured Notes with the covenants in the Notes Restructuring Agreement in all material respects; (g) the delivery of all required payments under the Notes Restructuring Agreement; (h) the entry into a registration rights agreement in respect of the shares of SoundHound Common Stock issuable to the holders of the Secured Notes; and (i) the substantially contemporaneous consummation of the Notes Restructuring Transactions by the holders of the 2029 Notes and the holders of the Second Lien Notes.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Notes Restructuring Agreement contains customary representations, warranties and covenants made by each of the parties, including, among others, that the shares of SoundHound Common Stock issued in connection with the Notes Restructuring Transactions will be eligible for resale pursuant to an effective registration statement filed by SoundHound with the SEC. The holders of Secured Notes are required, among other things, not to solicit alternative business combination or note restructuring transactions and not to engage in discussions or negotiations regarding an alternative business combination or note restructuring transaction.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Notes Restructuring Agreement automatically terminates upon any termination of the Amended and Restated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(as defined in the Amended and Restated Merger Agreement). The holders of the 2029 Notes are entitled to terminate the Notes Restructuring Agreement upon (a) any failure by LivePerson to pay amounts due under the indenture or other agreements governing the 2029 Notes or (b) a breach of certain provisions of the indenture governing the 2029 Notes, in each case, subject to cure rights of LivePerson and SoundHound.</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ind w:left="0" w:right="0" w:firstLine="48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2025, the Company effected a 1-for-15 reverse stock split (the “Reverse Stock Split”) of its issued common stock. As a result, every 15 shares of its issued common stock were combined into one share of common stock. No fractional shares of the Company’s common stock were issued as a result of the Reverse Stock Split. Each stockholder who would otherwise have been entitled to receive a fractional share as a result of the Reverse Stock Split received a cash payment equal to the product obtained by multiplying the number of shares of common stock held by such stockholder before the Reverse Stock Split that would otherwise have been exchanged for such fractional share interest by the closing price per share of the common stock as reported on The Nasdaq Global Select Market on October 10, 2025. As a result of the Reverse Stock Split, proportionate adjustments were made to the per share exercise price and the number of shares issuable upon the exercise of, or notional shares underlying, all outstanding warrants to purchase shares of the Company’s common stock. In addition, the number of authorized shares of common stock was proportionately reduced. Proportionate adjustments were also made to (i)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number of shares of common stock available for issuance under the Company’s equity plans, (ii) the number of shares underlying, and the exercise prices of, outstanding equity awards, as applicable, that have been previously granted under such equity plans or other arrangements, (iii) the number of shares or notional shares underlying, and the exercise prices of, the Company’s outstanding warrants, (iv) the number of shares or notional shares underlying, and the conversion prices of, the Company’s outstanding convertible notes and (v) the number of rights outstanding pursuant to the Company’s Tax Benefits Preservation Plan, in each case in accordance with their respective terms. The Reverse Stock Split did not affect the par value of the common stock or the number of shares of preferred stock that the Company is authorized to issue under its certificate of incorporation. These notes to the condensed consolidated financial statements and the accompanying condensed consolidated financial statements give retroactive effect to the Reverse Stock Split for all periods presented.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and the financial data and other information disclosed in the notes to the condensed consolidated financial statements as of June 30, 2026 and for the three and six months ended June 30, 2026 are unaudited. In the opinion of management, the unaudited condensed consolidated financial statements reflect all adjustments, which include only normal recurring adjustments necessary for a fair presentation of the Company’s condensed consolidated financial position, results of operations, comprehensive loss, and cash flows for the interim periods presented. The results of operations for any interim period are not necessarily indicative of the results of operations for any other future interim period or for a full fiscal year. The condensed consolidated balance sheet as of December 31, 2025 has been derived from audited consolidated financial statements at that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Certain information and note disclosures included in the Company’s audited financial statements prepared in accordance with accounting principles generally accepted in the United States (“GAAP”) have been condensed or omitted as they are not required for interim financial statements pursuant to GAAP and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2025 included in the Company’s Annual Report on Form 10-K filed with the SEC on March 16, 2026</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before="0" w:after="0"/>
        <w:ind w:left="0" w:right="0" w:firstLine="48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reflect the operations of LivePerson and its wholly-owned subsidiaries. All intercompany balances and transactions have been eliminated in consolidation.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These estimates are based on information available as of the date of the condensed consolidated financial statements. On a regular basis, management evaluates these estimates and assumptions.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Items subject to such estimates and assumptions include, but are not limited to: </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stock-based compensation expense; </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allowance for credit losses;</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the period of benefit for deferred contract acquisition costs;</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valuation of goodwill;</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valuation and useful lives of long-lived assets;</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valuation of the cash-settled and share-settled warrants (together, “Warrants”);</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valuation of features embedded in the 2029 Notes (as defined below);</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income taxes; and</w:t>
      </w:r>
    </w:p>
    <w:p>
      <w:pPr>
        <w:pStyle w:val="TextBody"/>
        <w:bidi w:val="0"/>
        <w:spacing w:lineRule="auto" w:line="288" w:before="0" w:after="160"/>
        <w:ind w:left="0" w:right="0" w:hanging="360"/>
        <w:jc w:val="both"/>
        <w:rPr/>
      </w:pPr>
      <w:r>
        <w:rPr>
          <w:color w:val="000000"/>
          <w:shd w:fill="FFFFFF" w:val="clear"/>
        </w:rPr>
        <w:t>•</w:t>
      </w:r>
      <w:r>
        <w:rPr>
          <w:rFonts w:ascii="Times New Roman;serif" w:hAnsi="Times New Roman;serif"/>
          <w:b w:val="false"/>
          <w:color w:val="000000"/>
          <w:sz w:val="20"/>
          <w:shd w:fill="FFFFFF" w:val="clear"/>
        </w:rPr>
        <w:t>recognition, measurement, and disclosure of contingent liabilities.</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financial statements as soon as they become known. Actual results could differ from those estimates and any such differences may be material to the Company’s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the Company’s Annual Report on Form 10-K for the year ended December 31, 2025. There have been no significant changes to these policies that have had a material impact on the Company’s condensed consolidated financial statements and related notes for the three and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prepaid expenses and other current assets as of the dates presented:</w:t>
      </w:r>
    </w:p>
    <w:p>
      <w:pPr>
        <w:pStyle w:val="TextBody"/>
        <w:bidi w:val="0"/>
        <w:spacing w:before="0" w:after="0"/>
        <w:ind w:left="0" w:right="0" w:firstLine="720"/>
        <w:jc w:val="both"/>
        <w:rPr/>
      </w:pPr>
      <w:r>
        <w:rPr/>
      </w:r>
    </w:p>
    <w:tbl>
      <w:tblPr>
        <w:tblW w:w="6602" w:type="dxa"/>
        <w:jc w:val="center"/>
        <w:tblInd w:w="0" w:type="dxa"/>
        <w:tblLayout w:type="fixed"/>
        <w:tblCellMar>
          <w:top w:w="28" w:type="dxa"/>
          <w:left w:w="28" w:type="dxa"/>
          <w:bottom w:w="28" w:type="dxa"/>
          <w:right w:w="28" w:type="dxa"/>
        </w:tblCellMar>
      </w:tblPr>
      <w:tblGrid>
        <w:gridCol w:w="1425"/>
        <w:gridCol w:w="1251"/>
        <w:gridCol w:w="1254"/>
        <w:gridCol w:w="211"/>
        <w:gridCol w:w="721"/>
        <w:gridCol w:w="109"/>
        <w:gridCol w:w="109"/>
        <w:gridCol w:w="109"/>
        <w:gridCol w:w="109"/>
        <w:gridCol w:w="221"/>
        <w:gridCol w:w="757"/>
        <w:gridCol w:w="326"/>
      </w:tblGrid>
      <w:tr>
        <w:trPr/>
        <w:tc>
          <w:tcPr>
            <w:tcW w:w="142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software maintenance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15,100 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non-cancelable operating leases for its corporate offices and other service agreements. As of June 30, 2026, the Company’s lease assets and liabilities were not material, with a remaining lease term of less than one year, with an option to extend. The Company uses the non-cancelable lease term when recognizing the right-of-use (“ROU”) assets and lease liabilities, unless it is reasonably certain that a renewal or termination option will be exercised. The Company’s operating lease costs were $2.1 million and $2.5 million for the three months ended June 30, 2026 and 2025, respectively. The Company’s operating lease costs were $4.0 million and $4.9 million for the six months ended June 30, 2026 and 2025, respectively. The weighted average discount rate for leases was 7% for the three and six months ended June 30, 2026 and 2025. Future minimum lease payments under the one remaining non-cancelable lease are not material for the next twelve months.     </w:t>
      </w:r>
    </w:p>
    <w:p>
      <w:pPr>
        <w:pStyle w:val="TextBody"/>
        <w:bidi w:val="0"/>
        <w:spacing w:before="0" w:after="0"/>
        <w:ind w:left="0" w:right="0" w:firstLine="7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July 2025, the Financial Accounting Standards Board (“FASB”) issued Accounting Standards Update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which provides all entities with a practical expedient when estimating expected credit losses for current accounts receivable and current contract assets arising from certain transactions. In developing reasonable and supportable forecasts as part of estimating expected credit losses, all entities may elect a practical expedient that assumes that current conditions as of the balance sheet date do not change for the remaining life of the asset. The guidance was effective for annual periods beginning after December 15, 2025. The Company elected to adopt the practical expedient, which did not have a material impact on the Company’s condensed consolidated financial statements or related disclosures.</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November 2024, the FASB issued ASU 2024-04,</w:t>
      </w:r>
      <w:r>
        <w:rPr>
          <w:color w:val="000000"/>
        </w:rPr>
        <w:t xml:space="preserve"> </w:t>
      </w:r>
      <w:r>
        <w:rPr>
          <w:rFonts w:ascii="Times New Roman;serif" w:hAnsi="Times New Roman;serif"/>
          <w:b w:val="false"/>
          <w:i/>
          <w:color w:val="000000"/>
          <w:sz w:val="20"/>
        </w:rPr>
        <w:t>Debt - Debt with Conversion and Other Options (Subtopic 470-20): Induced Conversions of Convertible Debt Instruments</w:t>
      </w:r>
      <w:r>
        <w:rPr>
          <w:rFonts w:ascii="Times New Roman;serif" w:hAnsi="Times New Roman;serif"/>
          <w:b w:val="false"/>
          <w:color w:val="000000"/>
          <w:sz w:val="20"/>
        </w:rPr>
        <w:t xml:space="preserve">, which seeks to clarify the requirements for determining whether certain settlements of convertible debt instruments should be accounted for as an induced conversion. The amendments in this update were effective for annual periods beginning after December 15, 2025. Adoption of the guidance, which the Company elected to apply prospectively, did not have a material impact on the Company’s condensed consolidated financial statements or related disclosures.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 xml:space="preserve">Codification Improvements, </w:t>
      </w:r>
      <w:r>
        <w:rPr>
          <w:rFonts w:ascii="Times New Roman;serif" w:hAnsi="Times New Roman;serif"/>
          <w:b w:val="false"/>
          <w:color w:val="000000"/>
          <w:sz w:val="20"/>
        </w:rPr>
        <w:t>which seeks to make incremental improvements to GAAP on a broad range of topics arising from technical corrections, unintended application of guidance, clarifications and other minor improvements. The guidance is effective for interim reporting periods within annual reporting periods beginning after December 15, 2026, with early adoption permitted, and can be applied on an issue-by-issue basis, prospectively or retrospectively. The Company is currently evaluating the potential impact of adopting this new guidance on its consolidated financial statements and related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 xml:space="preserve">Interim Reporting (Topic 270) - Narrow-Scope Improvements </w:t>
      </w:r>
      <w:r>
        <w:rPr>
          <w:rFonts w:ascii="Times New Roman;serif" w:hAnsi="Times New Roman;serif"/>
          <w:b w:val="false"/>
          <w:color w:val="000000"/>
          <w:sz w:val="20"/>
        </w:rPr>
        <w:t xml:space="preserve">which improves the navigability of the required interim disclosures and clarifies when that guidance is applicable. The guidance is effective for interim reporting periods within annual reporting periods beginning after December 15, 2027, with early adoption permitted, and can be applied prospectively or retrospectively. The Company is currently evaluating the potential impact of adopting this new guidance on its consolidated financial statements and related disclosures.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 xml:space="preserve">which removes all references to project stages related to internal-use software development.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The guidance is effective for annual periods beginning after December 15, 2027, with early adoption permitted. The Company is currently evaluating the potential impact of adopting this new guidance on its consolidated financial statements and related disclosures.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which seeks to expand disclosures about a public entity’s expenses, including more detailed information about the types of expenses (including purchases of inventory, employee compensation, depreciation, amortization, and depletion) in commonly presented expense captions (such as cost of sales, sales and marketing, general and administrative, and research and development). The amendments in this update are effective for annual periods beginning after December 15, 2026, and interim periods beginning after December 15, 2027. Early adoption is permitted for both interim and annual financial statements that have not yet been issued or made available for issuance. ASU 2024-03 should be applied retrospectively. The Company is currently evaluating the potential impact of adopting this new guidance on its consolidated financial statements and related disclosures.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Revenue Recognition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revenue is generated from hosted service revenues, including platform access, usage and related professional services. Revenues are recognized when control of these services is transferred to the Company’s customers, in an amount that reflects the consideration the Company expects to be entitled to in exchange for those services. No single customer accounted for 10% or more of total revenue for the three and six months ended June 30, 2026 and 2025.</w:t>
      </w:r>
    </w:p>
    <w:p>
      <w:pPr>
        <w:pStyle w:val="TextBody"/>
        <w:bidi w:val="0"/>
        <w:spacing w:before="0" w:after="0"/>
        <w:jc w:val="both"/>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determines revenue recognition through the following steps: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identification of the contract, or contracts, with a customer;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recognition of revenue when, or as, the Company satisfies a performance obligation.</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revenue source:</w:t>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tbl>
      <w:tblPr>
        <w:tblW w:w="7410" w:type="dxa"/>
        <w:jc w:val="center"/>
        <w:tblInd w:w="0" w:type="dxa"/>
        <w:tblLayout w:type="fixed"/>
        <w:tblCellMar>
          <w:top w:w="28" w:type="dxa"/>
          <w:left w:w="28" w:type="dxa"/>
          <w:bottom w:w="28" w:type="dxa"/>
          <w:right w:w="28" w:type="dxa"/>
        </w:tblCellMar>
      </w:tblPr>
      <w:tblGrid>
        <w:gridCol w:w="651"/>
        <w:gridCol w:w="573"/>
        <w:gridCol w:w="575"/>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Hosted services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the total transaction price allocated to remaining performance obligations was $147.3 million. Approximately 96% of the Company’s remaining performance obligations are expected to be recognized during the next 24 months, with the balance recognized thereafter. The disclosed amount represents contracted revenue that has not yet been recognized and does not include contract amounts that are cancelable by the customer, amounts associated with optional renewal periods, and amounts related to performance obligations that are billed and recognized as performed.</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Contracts with Multiple Performance Obligations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Judgment is required to determine the SSP for each distinct performance obligation. The Company determines SSP based on observable prices at which the performance obligations are sold separately. When not directly observable, SSP is estimated using an adjusted market assessment approach, which considers market conditions and other entity-specific factors. </w:t>
      </w:r>
    </w:p>
    <w:p>
      <w:pPr>
        <w:pStyle w:val="TextBody"/>
        <w:bidi w:val="0"/>
        <w:spacing w:before="0" w:after="0"/>
        <w:ind w:left="0" w:right="0" w:firstLine="48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by Geographic Location</w:t>
      </w:r>
    </w:p>
    <w:p>
      <w:pPr>
        <w:pStyle w:val="TextBody"/>
        <w:bidi w:val="0"/>
        <w:spacing w:before="0" w:after="0"/>
        <w:ind w:left="0" w:right="0" w:firstLine="48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domiciled in the United States and has international operations around the globe. The following table presents the Company’s revenues attributable to operations by region for the periods presented:</w:t>
      </w:r>
    </w:p>
    <w:p>
      <w:pPr>
        <w:pStyle w:val="TextBody"/>
        <w:bidi w:val="0"/>
        <w:spacing w:before="0" w:after="60"/>
        <w:ind w:left="0" w:right="0" w:firstLine="720"/>
        <w:jc w:val="both"/>
        <w:rPr/>
      </w:pPr>
      <w:r>
        <w:rPr/>
      </w:r>
    </w:p>
    <w:tbl>
      <w:tblPr>
        <w:tblW w:w="6856" w:type="dxa"/>
        <w:jc w:val="left"/>
        <w:tblInd w:w="0" w:type="dxa"/>
        <w:tblLayout w:type="fixed"/>
        <w:tblCellMar>
          <w:top w:w="28" w:type="dxa"/>
          <w:left w:w="28" w:type="dxa"/>
          <w:bottom w:w="28" w:type="dxa"/>
          <w:right w:w="28" w:type="dxa"/>
        </w:tblCellMar>
      </w:tblPr>
      <w:tblGrid>
        <w:gridCol w:w="450"/>
        <w:gridCol w:w="396"/>
        <w:gridCol w:w="399"/>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(1)</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EMEA </w:t>
            </w:r>
            <w:r>
              <w:rPr>
                <w:rFonts w:ascii="Times New Roman;serif" w:hAnsi="Times New Roman;serif"/>
                <w:b w:val="false"/>
                <w:color w:val="000000"/>
                <w:sz w:val="13"/>
              </w:rPr>
              <w:t>(2)</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APAC </w:t>
            </w:r>
            <w:r>
              <w:rPr>
                <w:rFonts w:ascii="Times New Roman;serif" w:hAnsi="Times New Roman;serif"/>
                <w:b w:val="false"/>
                <w:color w:val="000000"/>
                <w:sz w:val="13"/>
              </w:rPr>
              <w:t>(3)</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(1)United States, Canada, Latin America and South America (“Americas”)</w:t>
      </w:r>
    </w:p>
    <w:p>
      <w:pPr>
        <w:pStyle w:val="TextBody"/>
        <w:bidi w:val="0"/>
        <w:spacing w:lineRule="auto" w:line="288" w:before="0" w:after="60"/>
        <w:ind w:left="0" w:right="0" w:hanging="360"/>
        <w:jc w:val="both"/>
        <w:rPr/>
      </w:pPr>
      <w:r>
        <w:rPr>
          <w:rFonts w:ascii="Times New Roman;serif" w:hAnsi="Times New Roman;serif"/>
          <w:b w:val="false"/>
          <w:color w:val="000000"/>
          <w:sz w:val="14"/>
        </w:rPr>
        <w:t>(2)</w:t>
      </w:r>
      <w:r>
        <w:rPr>
          <w:rFonts w:ascii="Times New Roman;serif" w:hAnsi="Times New Roman;serif"/>
          <w:b w:val="false"/>
          <w:color w:val="000000"/>
          <w:sz w:val="16"/>
        </w:rPr>
        <w:t>Europe, the Middle East and Africa (“EMEA”)</w:t>
      </w:r>
    </w:p>
    <w:p>
      <w:pPr>
        <w:pStyle w:val="TextBody"/>
        <w:bidi w:val="0"/>
        <w:spacing w:lineRule="auto" w:line="288" w:before="0" w:after="60"/>
        <w:ind w:left="0" w:right="0" w:hanging="360"/>
        <w:jc w:val="both"/>
        <w:rPr/>
      </w:pPr>
      <w:r>
        <w:rPr>
          <w:rFonts w:ascii="Times New Roman;serif" w:hAnsi="Times New Roman;serif"/>
          <w:b w:val="false"/>
          <w:color w:val="000000"/>
          <w:sz w:val="14"/>
        </w:rPr>
        <w:t>(3)</w:t>
      </w:r>
      <w:r>
        <w:rPr>
          <w:rFonts w:ascii="Times New Roman;serif" w:hAnsi="Times New Roman;serif"/>
          <w:b w:val="false"/>
          <w:color w:val="000000"/>
          <w:sz w:val="16"/>
        </w:rPr>
        <w:t>Asia-Pacific (“APAC”)</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Information about Contract Balances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defers all incremental commission costs incurred to obtain the contract. These contract acquisition costs, which are comprised of sales commissions, have balances at June 30, 2026 and December 31, 2025 of $18.2 million and $24.0 million, respectively. The Company amortizes these costs over the related period of benefit using the customer expected life that the Company determined to be four years, which is consistent with the transfer to the customer of the services to which the asset relates. The Company classifies contract acquisition costs as long-term.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deferred revenue balance consists of services, which have been invoiced upfront, and are recognized as revenue only when the revenue recognition criteria are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some arrangements, the Company allows customers to pay for access to the LivePerson Platform over the term of the software subscription. Amounts recognized as revenue in excess of amounts billed are recorded as unbilled receivables. Unbilled receivables, anticipated to be invoiced in the next twelve months, are included in Accounts receivable, net of allowances for credit losses on the condensed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recognized revenue of $15.9 million and $42.9 million for the three and six months ended June 30, 2026, respectively, and $13.5 million and $39.8 million for the three and six months ended June 30, 2025, respectively, which was included in the corresponding deferred revenue balance at the beginning of the year.</w:t>
      </w:r>
    </w:p>
    <w:p>
      <w:pPr>
        <w:pStyle w:val="TextBody"/>
        <w:bidi w:val="0"/>
        <w:spacing w:before="0" w:after="120"/>
        <w:ind w:left="0" w:right="0" w:firstLine="48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long-term deferred revenues are included in Other liabilities on the condensed consolidated balance sheets. The opening and closing balances of the Company’s contract acquisition costs, net, and deferred revenues are as follows:</w:t>
      </w:r>
    </w:p>
    <w:p>
      <w:pPr>
        <w:pStyle w:val="TextBody"/>
        <w:bidi w:val="0"/>
        <w:spacing w:before="0" w:after="0"/>
        <w:ind w:left="0" w:right="0" w:firstLine="720"/>
        <w:jc w:val="both"/>
        <w:rPr/>
      </w:pPr>
      <w:r>
        <w:rPr/>
      </w:r>
    </w:p>
    <w:tbl>
      <w:tblPr>
        <w:tblW w:w="9328" w:type="dxa"/>
        <w:jc w:val="center"/>
        <w:tblInd w:w="0" w:type="dxa"/>
        <w:tblLayout w:type="fixed"/>
        <w:tblCellMar>
          <w:top w:w="28" w:type="dxa"/>
          <w:left w:w="28" w:type="dxa"/>
          <w:bottom w:w="28" w:type="dxa"/>
          <w:right w:w="28" w:type="dxa"/>
        </w:tblCellMar>
      </w:tblPr>
      <w:tblGrid>
        <w:gridCol w:w="1021"/>
        <w:gridCol w:w="896"/>
        <w:gridCol w:w="902"/>
        <w:gridCol w:w="109"/>
        <w:gridCol w:w="109"/>
        <w:gridCol w:w="109"/>
        <w:gridCol w:w="109"/>
        <w:gridCol w:w="358"/>
        <w:gridCol w:w="1225"/>
        <w:gridCol w:w="187"/>
        <w:gridCol w:w="109"/>
        <w:gridCol w:w="109"/>
        <w:gridCol w:w="109"/>
        <w:gridCol w:w="310"/>
        <w:gridCol w:w="1060"/>
        <w:gridCol w:w="160"/>
        <w:gridCol w:w="109"/>
        <w:gridCol w:w="109"/>
        <w:gridCol w:w="109"/>
        <w:gridCol w:w="410"/>
        <w:gridCol w:w="906"/>
        <w:gridCol w:w="213"/>
        <w:gridCol w:w="109"/>
        <w:gridCol w:w="109"/>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Contract Acquisition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Costs, Net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Deferred Revenue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Deferred Revenue </w:t>
              <w:br/>
              <w:t>(Non-current)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c>
          <w:tcPr>
            <w:tcW w:w="590" w:type="dxa"/>
            <w:gridSpan w:val="5"/>
            <w:tcBorders/>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33,559 </w:t>
            </w:r>
          </w:p>
        </w:tc>
        <w:tc>
          <w:tcPr>
            <w:tcW w:w="187"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57,980 </w:t>
            </w:r>
          </w:p>
        </w:tc>
        <w:tc>
          <w:tcPr>
            <w:tcW w:w="160"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13"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23,951 </w:t>
            </w:r>
          </w:p>
        </w:tc>
        <w:tc>
          <w:tcPr>
            <w:tcW w:w="18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54,295 </w:t>
            </w:r>
          </w:p>
        </w:tc>
        <w:tc>
          <w:tcPr>
            <w:tcW w:w="16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in deferred revenue during both periods presented were primarily driven by changes in customer renewal patterns and contract structures, including the timing of renewals and shifts in service commitments. Amortization expense in connection with contract acquisition cost included in sales and marketing expense in the condensed consolidated statements of operations was $4.1 million and $8.2 million for the three and six months ended June 30, 2026, respectively, and $3.8 million and $8.1 million for the three and six months ended June 30, 2025, respectively.</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 Net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Accounts receivable are recorded at the invoiced amount and do not bear interest. The allowance for credit losses is the Company’s best estimate of the amount of expected credit losses in the Company’s existing accounts receivable, based on both specific and general reserves. The Company</w:t>
      </w:r>
      <w:r>
        <w:rPr>
          <w:color w:val="000000"/>
          <w:shd w:fill="FFFFFF" w:val="clear"/>
        </w:rPr>
        <w:t xml:space="preserve"> </w:t>
      </w:r>
      <w:r>
        <w:rPr>
          <w:rFonts w:ascii="Times New Roman;serif" w:hAnsi="Times New Roman;serif"/>
          <w:b w:val="false"/>
          <w:color w:val="000000"/>
          <w:sz w:val="20"/>
          <w:shd w:fill="FFFFFF" w:val="clear"/>
        </w:rPr>
        <w:t>maintains general reserves on a collective basis by considering factors such as historical experience, creditworthiness, the age of the trade receivable balances, and current econom</w:t>
      </w:r>
      <w:r>
        <w:rPr>
          <w:rFonts w:ascii="Times New Roman;serif" w:hAnsi="Times New Roman;serif"/>
          <w:b w:val="false"/>
          <w:color w:val="000000"/>
          <w:sz w:val="20"/>
        </w:rPr>
        <w:t>ic conditions.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credit losses as of the dates presented is as follows:</w:t>
      </w:r>
    </w:p>
    <w:p>
      <w:pPr>
        <w:pStyle w:val="TextBody"/>
        <w:bidi w:val="0"/>
        <w:spacing w:before="0" w:after="0"/>
        <w:ind w:left="0" w:right="0" w:firstLine="720"/>
        <w:jc w:val="both"/>
        <w:rPr/>
      </w:pPr>
      <w:r>
        <w:rPr/>
      </w:r>
    </w:p>
    <w:tbl>
      <w:tblPr>
        <w:tblW w:w="5132" w:type="dxa"/>
        <w:jc w:val="center"/>
        <w:tblInd w:w="0" w:type="dxa"/>
        <w:tblLayout w:type="fixed"/>
        <w:tblCellMar>
          <w:top w:w="28" w:type="dxa"/>
          <w:left w:w="28" w:type="dxa"/>
          <w:bottom w:w="28" w:type="dxa"/>
          <w:right w:w="28" w:type="dxa"/>
        </w:tblCellMar>
      </w:tblPr>
      <w:tblGrid>
        <w:gridCol w:w="929"/>
        <w:gridCol w:w="816"/>
        <w:gridCol w:w="820"/>
        <w:gridCol w:w="211"/>
        <w:gridCol w:w="616"/>
        <w:gridCol w:w="109"/>
        <w:gridCol w:w="109"/>
        <w:gridCol w:w="109"/>
        <w:gridCol w:w="109"/>
        <w:gridCol w:w="242"/>
        <w:gridCol w:w="706"/>
        <w:gridCol w:w="35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8,627 </w:t>
            </w:r>
          </w:p>
        </w:tc>
        <w:tc>
          <w:tcPr>
            <w:tcW w:w="356" w:type="dxa"/>
            <w:tcBorders/>
            <w:shd w:fill="CFEDFD"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costs and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w:t>
            </w:r>
          </w:p>
        </w:tc>
        <w:tc>
          <w:tcPr>
            <w:tcW w:w="356"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35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pStyle w:val="TextBody"/>
        <w:bidi w:val="0"/>
        <w:spacing w:before="0" w:after="0"/>
        <w:ind w:left="0" w:right="0" w:firstLine="4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3. Net Loss Per Share </w:t>
      </w:r>
    </w:p>
    <w:p>
      <w:pPr>
        <w:pStyle w:val="TextBody"/>
        <w:bidi w:val="0"/>
        <w:spacing w:before="0" w:after="0"/>
        <w:ind w:left="0" w:right="0" w:firstLine="48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by the weighted-average number of shares of common stock outstanding during the period. </w:t>
      </w:r>
    </w:p>
    <w:p>
      <w:pPr>
        <w:pStyle w:val="TextBody"/>
        <w:bidi w:val="0"/>
        <w:spacing w:before="0" w:after="60"/>
        <w:ind w:left="0" w:right="0" w:firstLine="72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loss per share is computed by giving effect to all potentially dilutive common stock equivalents outstanding for the period. For diluted net loss per share, the numerator is decreased to reverse the gain on troubled debt restructuring associated with the repurchase of a portion of the 2026 Notes and the denominator is increased to include the number of the shares issuable upon the conversion of the 2026 Notes. For purposes of the calculations below, stock options, restricted stock units, and the 2026 Notes are considered to be common stock equivalents but are excluded from the calculation of diluted net loss per share when including them has an anti-dilutive effect. </w:t>
      </w:r>
    </w:p>
    <w:p>
      <w:pPr>
        <w:pStyle w:val="TextBody"/>
        <w:bidi w:val="0"/>
        <w:spacing w:before="0" w:after="60"/>
        <w:ind w:left="0" w:right="0" w:firstLine="72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share-settled warrants and cash-settled warrants are not participating securities. The share-settled warrants are excluded from the calculation of diluted EPS for the three and six months ended June 30, 2026, and the three months ended June 30, 2025, as their effect would have been anti-dilutive because the exercise prices were greater than the average market price of the common shares for those periods. The cash-settled warrants are not included in the calculation of diluted EPS due to the cash-settlement requirement. </w:t>
      </w:r>
    </w:p>
    <w:p>
      <w:pPr>
        <w:pStyle w:val="TextBody"/>
        <w:bidi w:val="0"/>
        <w:spacing w:before="0" w:after="60"/>
        <w:ind w:left="0" w:right="0" w:firstLine="720"/>
        <w:jc w:val="both"/>
        <w:rPr/>
      </w:pPr>
      <w:r>
        <w:rPr/>
      </w:r>
    </w:p>
    <w:p>
      <w:pPr>
        <w:pStyle w:val="TextBody"/>
        <w:bidi w:val="0"/>
        <w:spacing w:lineRule="auto" w:line="288" w:before="0" w:after="60"/>
        <w:ind w:left="0" w:right="0" w:firstLine="720"/>
        <w:jc w:val="both"/>
        <w:rPr/>
      </w:pPr>
      <w:r>
        <w:rPr>
          <w:rFonts w:ascii="Times New Roman;serif" w:hAnsi="Times New Roman;serif"/>
          <w:b w:val="false"/>
          <w:color w:val="000000"/>
          <w:sz w:val="20"/>
        </w:rPr>
        <w:t>The Company uses the treasury stock method for stock options, restricted stock units, and share-settled warrants, and uses the if-converted method for convertible debt. See Note 8 –</w:t>
      </w:r>
      <w:r>
        <w:rPr>
          <w:color w:val="000000"/>
        </w:rPr>
        <w:t xml:space="preserve"> </w:t>
      </w:r>
      <w:r>
        <w:rPr>
          <w:rFonts w:ascii="Times New Roman;serif" w:hAnsi="Times New Roman;serif"/>
          <w:b w:val="false"/>
          <w:i/>
          <w:color w:val="000000"/>
          <w:sz w:val="20"/>
        </w:rPr>
        <w:t>Senior Notes, Capped Call Transactions and Warrants</w:t>
      </w:r>
      <w:r>
        <w:rPr>
          <w:color w:val="000000"/>
        </w:rPr>
        <w:t xml:space="preserve"> </w:t>
      </w:r>
      <w:r>
        <w:rPr>
          <w:rFonts w:ascii="Times New Roman;serif" w:hAnsi="Times New Roman;serif"/>
          <w:b w:val="false"/>
          <w:color w:val="000000"/>
          <w:sz w:val="20"/>
        </w:rPr>
        <w:t>for additional information about the 2026 Notes, 2029 Notes, and Second Lien Notes.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rPr>
        <w:t>The following table presents</w:t>
      </w:r>
      <w:r>
        <w:rPr>
          <w:color w:val="000000"/>
          <w:shd w:fill="FFFFFF" w:val="clear"/>
        </w:rPr>
        <w:t xml:space="preserve"> </w:t>
      </w:r>
      <w:r>
        <w:rPr>
          <w:rFonts w:ascii="Times New Roman;serif" w:hAnsi="Times New Roman;serif"/>
          <w:b w:val="false"/>
          <w:color w:val="000000"/>
          <w:sz w:val="20"/>
          <w:shd w:fill="FFFFFF" w:val="clear"/>
        </w:rPr>
        <w:t>shares used in calculating basic and diluted net loss per share for the</w:t>
      </w:r>
      <w:r>
        <w:rPr>
          <w:color w:val="000000"/>
        </w:rPr>
        <w:t xml:space="preserv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shd w:fill="FFFFFF" w:val="clear"/>
        </w:rPr>
        <w:t>June 30, 2026 and 2025, as follows:</w:t>
      </w:r>
    </w:p>
    <w:tbl>
      <w:tblPr>
        <w:tblW w:w="10205" w:type="dxa"/>
        <w:jc w:val="left"/>
        <w:tblInd w:w="0" w:type="dxa"/>
        <w:tblLayout w:type="fixed"/>
        <w:tblCellMar>
          <w:top w:w="28" w:type="dxa"/>
          <w:left w:w="28" w:type="dxa"/>
          <w:bottom w:w="28" w:type="dxa"/>
          <w:right w:w="28" w:type="dxa"/>
        </w:tblCellMar>
      </w:tblPr>
      <w:tblGrid>
        <w:gridCol w:w="1663"/>
        <w:gridCol w:w="1452"/>
        <w:gridCol w:w="1460"/>
        <w:gridCol w:w="240"/>
        <w:gridCol w:w="841"/>
        <w:gridCol w:w="110"/>
        <w:gridCol w:w="110"/>
        <w:gridCol w:w="110"/>
        <w:gridCol w:w="110"/>
        <w:gridCol w:w="216"/>
        <w:gridCol w:w="790"/>
        <w:gridCol w:w="110"/>
        <w:gridCol w:w="109"/>
        <w:gridCol w:w="109"/>
        <w:gridCol w:w="109"/>
        <w:gridCol w:w="240"/>
        <w:gridCol w:w="841"/>
        <w:gridCol w:w="109"/>
        <w:gridCol w:w="109"/>
        <w:gridCol w:w="109"/>
        <w:gridCol w:w="109"/>
        <w:gridCol w:w="211"/>
        <w:gridCol w:w="781"/>
        <w:gridCol w:w="157"/>
      </w:tblGrid>
      <w:tr>
        <w:trPr/>
        <w:tc>
          <w:tcPr>
            <w:tcW w:w="1663"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(In thousands, except share and per share amounts)</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stockholders for basic net loss per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troubled debt restructuring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stockholders for diluted net loss per share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used to compute basic net loss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12,217,384 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6,276,556 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6,191,117 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option of the 2026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of potential exercise of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used to compute diluted net loss per share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12,230,954 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6,276,556 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6,354,437 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securities listed below were excluded from the computation of diluted net loss per share for the three and six months ended June 30, 2026 and 2025 as follows:</w:t>
      </w:r>
    </w:p>
    <w:tbl>
      <w:tblPr>
        <w:tblW w:w="10205" w:type="dxa"/>
        <w:jc w:val="center"/>
        <w:tblInd w:w="0" w:type="dxa"/>
        <w:tblLayout w:type="fixed"/>
        <w:tblCellMar>
          <w:top w:w="28" w:type="dxa"/>
          <w:left w:w="28" w:type="dxa"/>
          <w:bottom w:w="28" w:type="dxa"/>
          <w:right w:w="28" w:type="dxa"/>
        </w:tblCellMar>
      </w:tblPr>
      <w:tblGrid>
        <w:gridCol w:w="1444"/>
        <w:gridCol w:w="1233"/>
        <w:gridCol w:w="1237"/>
        <w:gridCol w:w="680"/>
        <w:gridCol w:w="296"/>
        <w:gridCol w:w="191"/>
        <w:gridCol w:w="191"/>
        <w:gridCol w:w="191"/>
        <w:gridCol w:w="191"/>
        <w:gridCol w:w="680"/>
        <w:gridCol w:w="296"/>
        <w:gridCol w:w="191"/>
        <w:gridCol w:w="109"/>
        <w:gridCol w:w="109"/>
        <w:gridCol w:w="109"/>
        <w:gridCol w:w="521"/>
        <w:gridCol w:w="455"/>
        <w:gridCol w:w="160"/>
        <w:gridCol w:w="160"/>
        <w:gridCol w:w="160"/>
        <w:gridCol w:w="160"/>
        <w:gridCol w:w="488"/>
        <w:gridCol w:w="488"/>
        <w:gridCol w:w="465"/>
      </w:tblGrid>
      <w:tr>
        <w:trPr/>
        <w:tc>
          <w:tcPr>
            <w:tcW w:w="144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common stock options and employee stock purchase plan</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174,604 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167,382 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174,604 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167,382 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767,160 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767,160 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Share-settled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1,034,220 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687,588 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320,106 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320,106 </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1,863,353 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1,942,236 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1,863,353 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1,254,648 </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4. Segment Information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accounts for its segment information in accordance with the provisions of Accounting Standards Codification (“ASC”) 280-10, </w:t>
      </w:r>
      <w:r>
        <w:rPr>
          <w:rFonts w:ascii="Times New Roman;serif" w:hAnsi="Times New Roman;serif"/>
          <w:b w:val="false"/>
          <w:i/>
          <w:color w:val="000000"/>
          <w:sz w:val="20"/>
        </w:rPr>
        <w:t>Segment Reporting</w:t>
      </w:r>
      <w:r>
        <w:rPr>
          <w:rFonts w:ascii="Times New Roman;serif" w:hAnsi="Times New Roman;serif"/>
          <w:b w:val="false"/>
          <w:color w:val="000000"/>
          <w:sz w:val="20"/>
        </w:rPr>
        <w:t>.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w:t>
      </w:r>
      <w:r>
        <w:rPr>
          <w:rFonts w:ascii="Times New Roman;serif" w:hAnsi="Times New Roman;serif"/>
          <w:b w:val="false"/>
          <w:color w:val="000000"/>
          <w:sz w:val="20"/>
          <w:shd w:fill="FFFFFF" w:val="clear"/>
        </w:rPr>
        <w:t xml:space="preserve">he chief operating decision maker (“CODM”), who is the Company’s Chief Executive Officer, evaluates performance, makes operating decisions, and allocates resources based on the financial information presented on a consolidated basis using net loss. Expenses are reviewed by the nature of the cost (Cost of revenue, Sales and marketing, General and administrative and Product development), consistent with the Company’s presentation on its condensed consolidated statements of operations. There are no segment managers who are held accountable by the CODM, or anyone else, for operations, operating results and planning for levels or components below the consolidated unit level. Accordingly, management has determined that the Company operates as one operating and reportable segment. The Company identifies net loss as its required measure of segment operating profit or loss. Significant expenses within loss from operations, as well as within net loss are separately presented on the Company’s condensed consolidated statements of operations. Other segment items within net loss include Interest expense, Interest income, Gain on troubled debt restructuring, Other income (expense), net, and Provision for income taxes. </w:t>
      </w:r>
    </w:p>
    <w:p>
      <w:pPr>
        <w:pStyle w:val="TextBody"/>
        <w:bidi w:val="0"/>
        <w:spacing w:before="0" w:after="0"/>
        <w:ind w:left="0" w:right="0" w:firstLine="720"/>
        <w:jc w:val="both"/>
        <w:rPr/>
      </w:pPr>
      <w:r>
        <w:rPr/>
      </w:r>
    </w:p>
    <w:p>
      <w:pPr>
        <w:pStyle w:val="TextBody"/>
        <w:bidi w:val="0"/>
        <w:spacing w:lineRule="auto" w:line="288" w:before="0" w:after="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Geographic Information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long-lived assets by geographic region as of the dates set forth below:</w:t>
      </w:r>
    </w:p>
    <w:p>
      <w:pPr>
        <w:pStyle w:val="TextBody"/>
        <w:bidi w:val="0"/>
        <w:spacing w:before="0" w:after="60"/>
        <w:ind w:left="0" w:right="0" w:firstLine="720"/>
        <w:jc w:val="both"/>
        <w:rPr/>
      </w:pPr>
      <w:r>
        <w:rPr/>
      </w:r>
    </w:p>
    <w:tbl>
      <w:tblPr>
        <w:tblW w:w="4742" w:type="dxa"/>
        <w:jc w:val="left"/>
        <w:tblInd w:w="0" w:type="dxa"/>
        <w:tblLayout w:type="fixed"/>
        <w:tblCellMar>
          <w:top w:w="28" w:type="dxa"/>
          <w:left w:w="28" w:type="dxa"/>
          <w:bottom w:w="28" w:type="dxa"/>
          <w:right w:w="28" w:type="dxa"/>
        </w:tblCellMar>
      </w:tblPr>
      <w:tblGrid>
        <w:gridCol w:w="713"/>
        <w:gridCol w:w="624"/>
        <w:gridCol w:w="628"/>
        <w:gridCol w:w="211"/>
        <w:gridCol w:w="826"/>
        <w:gridCol w:w="109"/>
        <w:gridCol w:w="109"/>
        <w:gridCol w:w="109"/>
        <w:gridCol w:w="109"/>
        <w:gridCol w:w="231"/>
        <w:gridCol w:w="905"/>
        <w:gridCol w:w="168"/>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317,549 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(1)Israel, United Kingdom, Japan, France, Italy, Spain, Canada, and Singapore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Goodwill and Intangible Assets, Net</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aggregate purchase price over the fair value of net identifiable assets acquired in a business combination. The Company evaluates goodwill for impairment on an annual basis, and more frequently whenever events or substantive changes in circumstances indicate that it is more likely than not that the carrying value of a reporting unit exceeds its fair value. Assumptions used in an impairment test require significant judgment, therefore, they are subject to change based on facts and circumstances present at each date goodwill is evaluated for impairment.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performed its quarterly triggering event assessment and concluded that several triggering events were present, including the execution of the Original Merger Agreement and Notes Restructuring Agreement in April 2026, and a decline in both LivePerson Common Stock and SoundHound Common Stock prices. As a result, the Company performed an interim impairment test as of June 30, 2026 using the quantitative “Step 1” assessment. The Company determined the fair value of its reporting unit on a total invested capital basis, consisting of (i) the potential settlement value of the outstanding 2026 Notes, (ii) the market capitalization of LivePerson common stock, which has an implied discount from the Original Merger Agreement purchase price (subject to the $7.00 - $12.00 per share collar), and (iii) the fair value of LivePerson’s outstanding debt based on the purchase price in the Original Merger Agreement (subject to the collar), adjusted based on the closing price of the SoundHound Common Stock as of June 30, 2026. The Company concluded this approach represents the most reliable indication of fair value for its single reporting unit, given the existence of the Original Merger Agreement negotiated with an unaffiliated third party. This approach differs from the income and market approaches used to estimate the fair value of the Company’s reporting unit in its annual impairment test as of October 1, 2025 and interim test on December 31, 2025, which required significant judgment regarding forecasted future revenues, EBITDA, discount rates, and selected marketplace multiples of comparable public companies. The Company determined that the approach used as of June 30, 2026 results in a measurement that is more representative of fair value than its prior income and market approaches, given the availability of more direct market evidence following execution of the Original Merger Agreement and Notes Restructuring Agreement. This change reflects the evidence available as of the current measurement date and does not represent a change in the Company’s goodwill impairment testing methodology. The estimated fair value of the reporting unit is a Level 3 measure in the fair value hierarchy. As a result of this impairment test, the Company recorded a non-cash impairment charge of $51.8 million in the condensed consolidated statements of operations during the three months ended June 30, 2026, to recognize the impairment of goodwill in the Company’s one reporting unit.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after giving effect to this impairment charge, the estimated fair value of the reporting unit approximated its carrying value, resulting in little to no excess of fair value over carrying value. Accordingly, the Company’s remaining goodwill is at further risk of impairment in future periods, if the Mergers do not close timely. Because the fair value determination is based substantially on the quoted market prices of SoundHound Common Stock and LivePerson Common Stock and the consideration mechanics of the Original Merger Agreement and Notes Restructuring Agreement, a future decline in either company’s stock price, any adverse amendment to, or termination of, the Original Merger Agreement or Notes Restructuring Agreement, or an increase in the carrying value of the reporting unit’s net assets, could result in additional goodwill impairment charges in future periods, which could be material to the Company’s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impairments of goodwill during the three and six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in future periods, the financial performance of the reporting unit does not meet expectations, or a prolonged decline occurs in the marketplace of our common stock, it may cause a material change in the results of the impairment assessment and result in future impairment to goodwill.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six months ended June 30, 2026 are as follows:</w:t>
      </w:r>
    </w:p>
    <w:p>
      <w:pPr>
        <w:pStyle w:val="TextBody"/>
        <w:bidi w:val="0"/>
        <w:spacing w:before="0" w:after="0"/>
        <w:ind w:left="0" w:right="0" w:firstLine="480"/>
        <w:jc w:val="both"/>
        <w:rPr/>
      </w:pPr>
      <w:r>
        <w:rPr/>
      </w:r>
    </w:p>
    <w:tbl>
      <w:tblPr>
        <w:tblW w:w="4349" w:type="dxa"/>
        <w:jc w:val="left"/>
        <w:tblInd w:w="0" w:type="dxa"/>
        <w:tblLayout w:type="fixed"/>
        <w:tblCellMar>
          <w:top w:w="28" w:type="dxa"/>
          <w:left w:w="28" w:type="dxa"/>
          <w:bottom w:w="28" w:type="dxa"/>
          <w:right w:w="28" w:type="dxa"/>
        </w:tblCellMar>
      </w:tblPr>
      <w:tblGrid>
        <w:gridCol w:w="1102"/>
        <w:gridCol w:w="968"/>
        <w:gridCol w:w="974"/>
        <w:gridCol w:w="231"/>
        <w:gridCol w:w="906"/>
        <w:gridCol w:w="168"/>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Goodwill, net</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as of December 31, 2025</w:t>
            </w:r>
            <w:r>
              <w:rPr>
                <w:color w:val="000000"/>
              </w:rPr>
              <w:t xml:space="preserve"> </w:t>
            </w:r>
            <w:r>
              <w:rPr>
                <w:rFonts w:ascii="Times New Roman;serif" w:hAnsi="Times New Roman;serif"/>
                <w:b w:val="false"/>
                <w:color w:val="000000"/>
                <w:sz w:val="13"/>
              </w:rPr>
              <w:t>(1)</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adjustment</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as of June 30, 2026</w:t>
            </w:r>
            <w:r>
              <w:rPr>
                <w:color w:val="000000"/>
              </w:rPr>
              <w:t xml:space="preserve"> </w:t>
            </w:r>
            <w:r>
              <w:rPr>
                <w:rFonts w:ascii="Times New Roman;serif" w:hAnsi="Times New Roman;serif"/>
                <w:b w:val="false"/>
                <w:color w:val="000000"/>
                <w:sz w:val="13"/>
              </w:rPr>
              <w:t>(1)</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132,386 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(1) As of June 30, 2026 and December 31, 2025, the accumulated impairment balances were </w:t>
      </w:r>
      <w:r>
        <w:rPr>
          <w:rFonts w:ascii="Times New Roman;serif" w:hAnsi="Times New Roman;serif"/>
          <w:b w:val="false"/>
          <w:color w:val="000000"/>
          <w:sz w:val="16"/>
          <w:shd w:fill="FFFFFF" w:val="clear"/>
        </w:rPr>
        <w:t>$165.8 million</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color w:val="000000"/>
          <w:sz w:val="16"/>
          <w:shd w:fill="FFFFFF" w:val="clear"/>
        </w:rPr>
        <w:t>$114.0 million, respectively.</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 Assets, Net - Patents</w:t>
      </w:r>
    </w:p>
    <w:p>
      <w:pPr>
        <w:pStyle w:val="TextBody"/>
        <w:bidi w:val="0"/>
        <w:spacing w:before="0" w:after="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Legal costs incurred to establish patents are capitalized. When patents are issued, capitalized costs are amortized on the straight-line method over the related patent term. We review our patent portfolio on a periodic basis to determine whether events and circumstances would indicate impairment. In the event a patent is abandoned, the net book value of the patent is written off. </w:t>
      </w:r>
    </w:p>
    <w:p>
      <w:pPr>
        <w:pStyle w:val="TextBody"/>
        <w:bidi w:val="0"/>
        <w:spacing w:before="0" w:after="60"/>
        <w:jc w:val="left"/>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changes in the carrying amount of intangible assets are as follows: </w:t>
      </w:r>
    </w:p>
    <w:tbl>
      <w:tblPr>
        <w:tblW w:w="5912" w:type="dxa"/>
        <w:jc w:val="left"/>
        <w:tblInd w:w="0" w:type="dxa"/>
        <w:tblLayout w:type="fixed"/>
        <w:tblCellMar>
          <w:top w:w="28" w:type="dxa"/>
          <w:left w:w="28" w:type="dxa"/>
          <w:bottom w:w="28" w:type="dxa"/>
          <w:right w:w="28" w:type="dxa"/>
        </w:tblCellMar>
      </w:tblPr>
      <w:tblGrid>
        <w:gridCol w:w="1170"/>
        <w:gridCol w:w="1033"/>
        <w:gridCol w:w="1036"/>
        <w:gridCol w:w="211"/>
        <w:gridCol w:w="721"/>
        <w:gridCol w:w="109"/>
        <w:gridCol w:w="109"/>
        <w:gridCol w:w="109"/>
        <w:gridCol w:w="109"/>
        <w:gridCol w:w="253"/>
        <w:gridCol w:w="867"/>
        <w:gridCol w:w="185"/>
      </w:tblGrid>
      <w:tr>
        <w:trPr/>
        <w:tc>
          <w:tcPr>
            <w:tcW w:w="117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Patents: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amortization period</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years</w:t>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is recognized over the estimated useful life of the asset. Aggregate amortization expense for intangible assets, net was $0.2 million and $0.4 million for the three and six months ended June 30, 2026, respectively, and $0.2 million and $0.4 million for the three and six months ended June 30, 2025, respectively. There were no impairments of intangible assets during the three and six months ended June 30, 2026 and 2025.</w:t>
      </w:r>
    </w:p>
    <w:p>
      <w:pPr>
        <w:pStyle w:val="TextBody"/>
        <w:bidi w:val="0"/>
        <w:spacing w:before="0" w:after="60"/>
        <w:ind w:left="0" w:right="0" w:firstLine="48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estimated annual amortization expense for the next five years and thereafter is as follows:  </w:t>
      </w:r>
    </w:p>
    <w:tbl>
      <w:tblPr>
        <w:tblW w:w="4620" w:type="dxa"/>
        <w:jc w:val="center"/>
        <w:tblInd w:w="0" w:type="dxa"/>
        <w:tblLayout w:type="fixed"/>
        <w:tblCellMar>
          <w:top w:w="28" w:type="dxa"/>
          <w:left w:w="28" w:type="dxa"/>
          <w:bottom w:w="28" w:type="dxa"/>
          <w:right w:w="28" w:type="dxa"/>
        </w:tblCellMar>
      </w:tblPr>
      <w:tblGrid>
        <w:gridCol w:w="608"/>
        <w:gridCol w:w="534"/>
        <w:gridCol w:w="538"/>
        <w:gridCol w:w="569"/>
        <w:gridCol w:w="1952"/>
        <w:gridCol w:w="419"/>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Estimated Amortization Expense</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13,421 </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Property and Equipment, Net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net of accumulated depreciation, and amortization. Depreciation and amortization is calculated using the straight-line method over the estimated useful lives of the related assets. Leasehold improvements are amortized using the straight-line method over the shorter of the lease term or the estimated useful life of the asset. The Company reviews the estimated useful lives of its property and equipment on an annual basis. The following table presents the detail of property and equipment, net as of the dates presented:</w:t>
      </w:r>
    </w:p>
    <w:p>
      <w:pPr>
        <w:pStyle w:val="TextBody"/>
        <w:bidi w:val="0"/>
        <w:spacing w:before="0" w:after="120"/>
        <w:ind w:left="0" w:right="0" w:firstLine="480"/>
        <w:jc w:val="both"/>
        <w:rPr/>
      </w:pPr>
      <w:r>
        <w:rPr/>
      </w:r>
    </w:p>
    <w:tbl>
      <w:tblPr>
        <w:tblW w:w="10205" w:type="dxa"/>
        <w:jc w:val="left"/>
        <w:tblInd w:w="0" w:type="dxa"/>
        <w:tblLayout w:type="fixed"/>
        <w:tblCellMar>
          <w:top w:w="28" w:type="dxa"/>
          <w:left w:w="28" w:type="dxa"/>
          <w:bottom w:w="28" w:type="dxa"/>
          <w:right w:w="28" w:type="dxa"/>
        </w:tblCellMar>
      </w:tblPr>
      <w:tblGrid>
        <w:gridCol w:w="1463"/>
        <w:gridCol w:w="1275"/>
        <w:gridCol w:w="1283"/>
        <w:gridCol w:w="1026"/>
        <w:gridCol w:w="1026"/>
        <w:gridCol w:w="1030"/>
        <w:gridCol w:w="109"/>
        <w:gridCol w:w="109"/>
        <w:gridCol w:w="109"/>
        <w:gridCol w:w="211"/>
        <w:gridCol w:w="826"/>
        <w:gridCol w:w="109"/>
        <w:gridCol w:w="109"/>
        <w:gridCol w:w="109"/>
        <w:gridCol w:w="109"/>
        <w:gridCol w:w="230"/>
        <w:gridCol w:w="902"/>
        <w:gridCol w:w="170"/>
      </w:tblGrid>
      <w:tr>
        <w:trPr/>
        <w:tc>
          <w:tcPr>
            <w:tcW w:w="146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 development costs</w:t>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equipment and building improvements</w:t>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lesser of 5 or 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3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321,661 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(231,272)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w:t>
            </w:r>
          </w:p>
        </w:tc>
        <w:tc>
          <w:tcPr>
            <w:tcW w:w="3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property and equipment was $5.0 million and $10.0 million during the three and six months ended June 30, 2026, respectively, and $5.6 million and $11.2 million during the three and six months ended June 30, 2025, respectively. There were no impairments of property and equipment during the three and six months ended June 30, 2026 and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Expenditures for routine maintenance and repairs are charged to operating expense as incurred. Major renewals and improvements are capitalized and depreciated over their estimated useful lives. The following table presents total depreciation and amortization expense included in the condensed consolidated statements of operations for the periods presented: </w:t>
      </w:r>
    </w:p>
    <w:p>
      <w:pPr>
        <w:pStyle w:val="TextBody"/>
        <w:bidi w:val="0"/>
        <w:spacing w:before="0" w:after="0"/>
        <w:ind w:left="0" w:right="0" w:firstLine="720"/>
        <w:jc w:val="both"/>
        <w:rPr/>
      </w:pPr>
      <w:r>
        <w:rPr/>
      </w:r>
    </w:p>
    <w:tbl>
      <w:tblPr>
        <w:tblW w:w="9198" w:type="dxa"/>
        <w:jc w:val="left"/>
        <w:tblInd w:w="0" w:type="dxa"/>
        <w:tblLayout w:type="fixed"/>
        <w:tblCellMar>
          <w:top w:w="28" w:type="dxa"/>
          <w:left w:w="28" w:type="dxa"/>
          <w:bottom w:w="28" w:type="dxa"/>
          <w:right w:w="28" w:type="dxa"/>
        </w:tblCellMar>
      </w:tblPr>
      <w:tblGrid>
        <w:gridCol w:w="1355"/>
        <w:gridCol w:w="1195"/>
        <w:gridCol w:w="1199"/>
        <w:gridCol w:w="256"/>
        <w:gridCol w:w="748"/>
        <w:gridCol w:w="132"/>
        <w:gridCol w:w="132"/>
        <w:gridCol w:w="132"/>
        <w:gridCol w:w="132"/>
        <w:gridCol w:w="256"/>
        <w:gridCol w:w="748"/>
        <w:gridCol w:w="132"/>
        <w:gridCol w:w="109"/>
        <w:gridCol w:w="109"/>
        <w:gridCol w:w="109"/>
        <w:gridCol w:w="211"/>
        <w:gridCol w:w="721"/>
        <w:gridCol w:w="109"/>
        <w:gridCol w:w="109"/>
        <w:gridCol w:w="109"/>
        <w:gridCol w:w="109"/>
        <w:gridCol w:w="211"/>
        <w:gridCol w:w="721"/>
        <w:gridCol w:w="154"/>
      </w:tblGrid>
      <w:tr>
        <w:trPr/>
        <w:tc>
          <w:tcPr>
            <w:tcW w:w="135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Accrued Expenses and Other Current Liabilities</w:t>
      </w:r>
    </w:p>
    <w:p>
      <w:pPr>
        <w:pStyle w:val="TextBody"/>
        <w:bidi w:val="0"/>
        <w:spacing w:before="0" w:after="0"/>
        <w:ind w:left="0" w:right="0" w:firstLine="720"/>
        <w:jc w:val="both"/>
        <w:rPr/>
      </w:pPr>
      <w:r>
        <w:rPr/>
      </w:r>
    </w:p>
    <w:p>
      <w:pPr>
        <w:pStyle w:val="TextBody"/>
        <w:bidi w:val="0"/>
        <w:spacing w:lineRule="auto" w:line="288" w:before="0" w:after="12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accrued expenses and other current liabilities as of the dates presented:</w:t>
      </w:r>
    </w:p>
    <w:tbl>
      <w:tblPr>
        <w:tblW w:w="7518" w:type="dxa"/>
        <w:jc w:val="left"/>
        <w:tblInd w:w="0" w:type="dxa"/>
        <w:tblLayout w:type="fixed"/>
        <w:tblCellMar>
          <w:top w:w="28" w:type="dxa"/>
          <w:left w:w="28" w:type="dxa"/>
          <w:bottom w:w="28" w:type="dxa"/>
          <w:right w:w="28" w:type="dxa"/>
        </w:tblCellMar>
      </w:tblPr>
      <w:tblGrid>
        <w:gridCol w:w="1753"/>
        <w:gridCol w:w="1544"/>
        <w:gridCol w:w="1548"/>
        <w:gridCol w:w="211"/>
        <w:gridCol w:w="721"/>
        <w:gridCol w:w="109"/>
        <w:gridCol w:w="109"/>
        <w:gridCol w:w="109"/>
        <w:gridCol w:w="109"/>
        <w:gridCol w:w="253"/>
        <w:gridCol w:w="867"/>
        <w:gridCol w:w="185"/>
      </w:tblGrid>
      <w:tr>
        <w:trPr/>
        <w:tc>
          <w:tcPr>
            <w:tcW w:w="175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consulting and other vendor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other employee-related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liability (Note 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(Note 12)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provisions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Senior Notes, Capped Call Transactions and Warrants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due 2026 and Capped Calls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2020, the Company issued $517.5 million aggregate principal amount of its 2026 Notes in a private placement, of which $15.0 million aggregate principal amount was outstanding as of June 30, 2026. The 2026 Notes are senior unsecured obligations of the Company. The 2026 Notes will mature on December 15, 2026, unless earlier repurchased or redeemed by the Company or converted pursuant to their terms. The total net proceeds from the offering of the 2026 Notes, after deducting debt issuance costs, was approximately $505.3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Each $1,000 in principal amount of the 2026 Notes is convertible into 0.8862 shares of the Company’s common stock, which is equivalent to a conversion price of $1,128.39 per share. The conversion rate is subject to adjustment upon the occurrence of certain specified events but will not be adjusted for any accrued and unpaid special interest.</w:t>
      </w:r>
      <w:r>
        <w:rPr>
          <w:color w:val="000000"/>
        </w:rPr>
        <w:t xml:space="preserve"> </w:t>
      </w:r>
      <w:r>
        <w:rPr>
          <w:rFonts w:ascii="Times New Roman;serif" w:hAnsi="Times New Roman;serif"/>
          <w:b w:val="false"/>
          <w:color w:val="000000"/>
          <w:sz w:val="20"/>
        </w:rPr>
        <w:t xml:space="preserve">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The indenture governing the 2026 Notes contains events of default customary for convertible notes issued in connection with similar transactions. If the Company undergoes a “Fundamental Change” (as defined in the indenture governing the 2026 Notes) which includes a change of control or the failure of the Company’s common stock to be listed or quoted on any of The Nasdaq Global Select Market, The Nasdaq Global Market or the New York Stock Exchange,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“2026 Notes measurement period”) in which the “trading price” (as defined in the indenture governing the 2026 Notes) per $1,000 principal amount of 2026 Notes for each trading day of the 2026 Notes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shd w:fill="FFFFFF" w:val="clear"/>
        </w:rPr>
        <w:t>June 30, 2026, the conditions allowing holders of the 2026 Notes to convert were not met.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connection with the offering of the 2026 Notes, the Company entered into privately-negotiated capped call</w:t>
      </w:r>
      <w:r>
        <w:rPr>
          <w:color w:val="000000"/>
        </w:rPr>
        <w:t xml:space="preserve"> </w:t>
      </w:r>
      <w:r>
        <w:rPr>
          <w:rFonts w:ascii="Times New Roman;serif" w:hAnsi="Times New Roman;serif"/>
          <w:b w:val="false"/>
          <w:color w:val="000000"/>
          <w:sz w:val="20"/>
        </w:rPr>
        <w:t>option transactions with certain counterparties (the “2026 capped calls”). The 2026 capped calls each have a strike price of $1,128.39 per share, subject to certain adjustments, which corresponds to the conversion price of the 2026 Notes. The 2026 capped calls have cap prices of $1,583.70 per share, subject to certain adjustment events. The 2026 capped calls cover, subject to anti-dilution adjustments, approximately 3 thousand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deficit and are not accounted for as derivatives. The net cost of $46.1 million incurred to purchase the 2026 capped calls was recorded as a reduction to additional paid-in capital in the accompanying condensed consolidated balance sheets.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June 2024 Debt Exchange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a privately negotiated exchange and purchase agreement (the “Exchange and Purchase Agreement”), on June 3, 2024, the Company exchanged $146.0 million principal amount of the 2026 Notes then held by an investor for $100.0 million principal amount of new 2029 Notes, and the same investor purchased an additional $50.0 million principal amount of the 2029 Notes for cash. In connection with the exchange and purchase, the Company also issued the Warrants to the investor, and the investor agreed to purchase up to $50.0 million of additional 2029 Notes upon the Company’s request and subject to certain conditions (the “Delayed Draw Notes”). A corresponding portion of capped calls were terminated following the exchange and purchase as required by their terms for minimal consideration.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June 2024 Debt Repurchase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13, 2024, the Company repurchased $10.3 million principal amount of the 2026 Notes for $4.9 million in cash, and a corresponding portion of the 2026 capped calls were terminated following the repurchase as required by their terms for no consideration.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September 2025 Debt Exchange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September 12, 2025 (the “Exchange Closing Date”), the Company consummated an exchange of the $341.1 million in aggregate principal amount of 2026 Notes held by certain former holders of the Company’s outstanding 2026 Notes (the “Noteholders”) for (i) an aggregate payment of $45.0 million in cash, (ii) $115.0 million in aggregate principal amount of the Company’s 10.0% Second Lien Senior Subordinated Secured Notes due 2029 (the “Second Lien Notes”), (iii) 3,555,596 shares of common stock and (iv) 26,551 shares of Series B Fixed Rate Convertible Perpetual Preferred Stock, par value $0.001 (the “Series B Preferred Stock”). On September 25, 2025, the Company issued an additional 143,192 shares of common stock to certain of the Noteholders, which shares were issued on a deferred basis due to a beneficial ownership limitation preventing such Noteholders from owning in excess of 9.90% of the outstanding common stock of the Company. In addition, a corresponding portion of the 2026 capped calls were terminated following the exchange as required by their terms for no consideration. This September 2025 Debt Exchange was accounted for as a Troubled Debt Restructuring (“TDR”) in accordance with ASC 470-60, </w:t>
      </w:r>
      <w:r>
        <w:rPr>
          <w:rFonts w:ascii="Times New Roman;serif" w:hAnsi="Times New Roman;serif"/>
          <w:b w:val="false"/>
          <w:i/>
          <w:color w:val="000000"/>
          <w:sz w:val="20"/>
        </w:rPr>
        <w:t>Troubled Debt Restructuring by Debtors</w:t>
      </w:r>
      <w:r>
        <w:rPr>
          <w:color w:val="000000"/>
        </w:rPr>
        <w:t xml:space="preserve"> </w:t>
      </w:r>
      <w:r>
        <w:rPr>
          <w:rFonts w:ascii="Times New Roman;serif" w:hAnsi="Times New Roman;serif"/>
          <w:b w:val="false"/>
          <w:color w:val="000000"/>
          <w:sz w:val="20"/>
        </w:rPr>
        <w:t xml:space="preserve">(“ASC 470-60”). The Company recognized a TDR gain of $27.7 million, which was presented as Gain on troubled debt restructuring in the consolidated statements of operations for the year ended December 31,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the Exchange Closing Date, the principal amount of the exchanged 2026 Notes was $341.1 million with a discount of $1.7 million for a net carrying value of $339.4 million. The Company recognized the Second Lien Notes at a carrying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 $182.0 million. Under the TDR accounting treatment, the carrying value of the Second Lien Notes of $182.0 million was comprised of the total future undiscounted cash flows which included principal of $115.0 million, the maximum interest of $58.7 million as well as a redemption premium of $8.3 million. The redemption premium is related to the contingent redemption feature where the lenders can redeem the Second Lien Notes immediately prior to their maturity upon the occurrence of a Fundamental Change as defined in the indenture governing the Second Lien Notes at 105% of the principal plus accrued but unpaid interest as discussed further below. The Company assumes contingent future payments will have to be paid and those amounts shall be included in the total future cash payments. If, in future periods, the contingency is resolved so that a contingent payment does not have to be made, the Company will recognize a gain in the period when the contingency has been resolved. Subsequently, no interest expense on the Second Lien Notes will be recorded, as all future interest payments will reduce the carrying value of the restructured debt.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April 2026 Debt Repurchase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7, 2026, the Company repurchased $5.2 million principal amount of the 2026 Notes for $3.0 million in cash. A corresponding portion of the 2026 capped calls were terminated following the repurchase as required by their terms for no consideration. This April 2026 debt repurchase was accounted for as a TDR in accordance with ASC 470-60. The Company recognized a TDR gain of $2.2 million, which was presented as Gain on troubled debt restructuring in the consolidated statements of operations for the three and six months ended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outstanding 2026 Notes, due December 15, 2026, are classified as current portion of senior notes in the condensed consolidated balance sheets as of June 30, 2026 and December 31, 2025. The aggregate principal amount of the outstanding 2026 Notes was $15.0 million and the carrying amount of the outstanding 2026 Notes was $14.9 million as of June 30, 2026. The remaining term over which the outstanding 2026 Notes’ debt issuance costs will be amortized is 0.4 years at an effective interest rate of 0.40%.</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Second Lien Senior Subordinated Secured Notes due 2029</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Exchange Closing Date, the Company issued $115.0 million in aggregate principal amount of Second Lien Notes as part of the September 2025 Debt Exchange transaction. The Second Lien Notes accrue interest at a rate of 10.0% per annum. Prior to March 15, 2027, all of the interest on the Second Lien Notes is payable in-kind (“PIK”). On and after March 15, 2027 and until June 15, 2028, interest will be payable, at the Company’s option, in cash or in-kind or partially in cash and partially in-kind. On and after June 15, 2028, until the maturity of the Second Lien Notes, interest on the Second Lien Notes will be payable in cash, or at the Company’s option, up to 6.0% per annum in-kind. Unless earlier repurchased or redeemed by the Company, the Second Lien Notes will mature on December 15, 2029.</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at its option, redeem the Second Lien Notes, in whole or in part, prior to September 12, 2026 at a price equal to the sum of (i) 105% of the accrued and unpaid interest (including cash and PIK components thereof), (ii) 105% of the aggregate principal amount of the Second Lien Notes (including, without duplication of any amounts described in item (i), all increases to the principal amount as the result of previous payments of PIK interest) and (iii) the present value of the remaining future interest payments (including cash and PIK components thereof) through September 12, 2026, computed using a discount rate of T + 50 (such amount, the “Make Whole Amount”). On or after September 12, 2026, and prior to September 12, 2027, the Company may, at its option, redeem the Second Lien Notes, in whole or in part for an amount of cash equal to the sum of (i) 105% of the aggregate principal amount of the Second Lien Notes (including all increases to the principal amount as the result of previous payments of PIK interest) plus (ii) 105% of all accrued and unpaid interest (including, without duplication of any amounts described in item (i), cash and PIK components thereof). On or after September 12, 2027, and prior to September 12, 2028, the Company may, at its option, redeem the Second Lien Notes, in whole or in part for an amount of cash equal to the sum of (i) 102.5% of the aggregate principal amount of the Second Lien Notes (including all increases to the principal amount as the result of previous payments of PIK interest) plus (ii) 102.5% of all accrued and unpaid interest (including, without duplication of any amounts described in item (i), cash and PIK components thereof). From September 12, 2028 until maturity, the Company may, at its option, redeem the Second Lien Notes, in whole or in part for an amount of cash equal to the sum of (i) 100% of the aggregate principal amount of the Second Lien Notes (including all increases to the principal amount as the result of previous payments of PIK interest) plus (ii) 100% of all accrued and unpaid interest (including, without duplication of any amounts described in item (i), cash and PIK components thereof). No sinking fund is provided for the Second Lien Notes.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Second Lien Notes are guaranteed on a senior subordinated basis by certain of the Company’s direct and indirect domestic and foreign subsidiaries and secured by second lien priority security interests in substantially all of the assets of the Company and such subsidiary guarantors, subject to customary exceptions. Pursuant to an intercreditor agreement, the Second Lien Notes are subordinated in right of payment and to collateral, in each case, to the 2029 Notes.</w:t>
      </w:r>
      <w:r>
        <w:rPr>
          <w:color w:val="000000"/>
        </w:rPr>
        <w:t xml:space="preserve"> </w:t>
      </w:r>
      <w:r>
        <w:rPr>
          <w:rFonts w:ascii="Times New Roman;serif" w:hAnsi="Times New Roman;serif"/>
          <w:b w:val="false"/>
          <w:color w:val="000000"/>
          <w:sz w:val="20"/>
        </w:rPr>
        <w:t xml:space="preserve">The indenture governing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Second Lien Notes contains affirmative and negative covenants and events of default customary for senior secured notes issued in connection with similar transactions. The negative 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w:t>
      </w:r>
      <w:r>
        <w:rPr>
          <w:rFonts w:ascii="Times New Roman;serif" w:hAnsi="Times New Roman;serif"/>
          <w:b w:val="false"/>
          <w:color w:val="212529"/>
          <w:sz w:val="20"/>
        </w:rPr>
        <w:t xml:space="preserve">Our failure to comply with these covenants could result in an event of default which, if not cured or waived, could result in the acceleration of the Second Lien Notes. In the event the Second Lien Notes are accelerated prior to September 12, 2028, the applicable acceleration premium set forth in the indenture governing the Second Lien Notes will become due. </w:t>
      </w:r>
      <w:r>
        <w:rPr>
          <w:rFonts w:ascii="Times New Roman;serif" w:hAnsi="Times New Roman;serif"/>
          <w:b w:val="false"/>
          <w:color w:val="000000"/>
          <w:sz w:val="20"/>
        </w:rPr>
        <w:t>The indenture governing the Second Lien Notes permits the Company and its subsidiaries to incur, subject to certain requirements, up to (i) $150.0 million of debt that is junior in lien priority and subordinated in right of payment to the Second Lien Notes, and (ii) up to $20.1 million as exchange consideration for, or the proceeds of which are used to repay, the remaining $20.1 million aggregate principal amount of 2026 Notes, which debt may be in the form of additional Second Lien Notes. No embedded derivatives were bifurcated from the Second Lien Notes as the September 2025 Debt Exchange was accounted for as a troubled debt restructuring and the Company recognized a gain in connection with the issuance of the Second Lien Notes.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as defined in the indenture governing the Second Lien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Second Lien Notes at a repurchase price equal to (i) to the Make Whole Amount, if such Fundamental Change occurs prior to September 12, 2026, or (ii) the sum of (A) 105% of the aggregate principal amount of the Second Lien Notes (including all increases to the principal amount as the result of previous payments of PIK interest) plus (B) 105% of all accrued and unpaid interest, if such Fundamental Change occurs on or after September 12, 2026.</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Series B Preferred Stock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the Exchange Closing Date, the Company filed a Certificate of Designation with respect to the Series B Preferred Stock (the “Series B Certificate of Designation”) with the Secretary of State of the State of Delaware and issued to the Noteholders an aggregate 26,551 shares of Series B Preferred Stock. Each share of Series B Preferred Stock had an initial stated value (“Stated Value”) of $1,000 per share, subject to adjustment for (i) any splits, combinations, or similar adjustment and (ii) accrued unpaid dividends. The Series B Preferred Stock did not have a stated maturity and were not subject to mandatory redemption or any sinking fund, and would have remained outstanding indefinitely unless earlier converted, repurchased or redeemed.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 2025, the stockholders of the Company approved the Stock Increase Charter Amendment Proposal to increase the authorized common stock share capital of the Company from 13,333,333 shares to 20,000,000 shares. The Stock Increase Charter Amendment was filed with the Secretary of State of the State of Delaware on October 3, 2025. As a result, all of the outstanding shares of Series B Preferred Stock automatically converted pursuant to the terms of the Series B Certificate of Designation, and on October 7, 2025, an aggregate 1,547,840 shares of common stock were issued to holders of the Series B Preferred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First Lien Convertible Senior Notes due 2029</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2024, the Company issued $150.0 million aggregate principal amount of its 2029 Notes pursuant to the Exchange and Purchase Agreement including $100.0 million aggregate principal amount issued in exchange for $146.0 million aggregate principal amount of 2026 Notes and $50.0 million aggregate principal amount issued for cash. The Company paid third parties $7.6 million in connection with the transaction, which was capitalized as debt issuance costs. At the time of the exchange, the fair value of the 2029 Notes approximated $118.1 million, and the Company recognized a debt discount of $31.9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the Company issued $50.0 million aggregate principal amount of its 2029 Notes, constituting the Delayed Draw Notes, for $50.0 million cash.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earlier repurchased or redeemed by the Company or converted pursuant to their terms, the 2029 Notes will mature on the earlier of (a) June 15, 2029 and (b) 91 days before the maturity of the 2026 Notes, if greater than $60.0 million principal amount of 2026 Notes remains outstanding on such date. The amount payable by the Company if the 2029 Notes mature pursuant to clause (b) will be equal to 100% of the aggregate principal amount of the 2029 Notes, plus accrued and unpaid interest, plus the remaining future interest payments that would have been payable through June 15, 2029, discounted at a rate equal to the comparable treasury rate plus 50 basis points (the “Make-Whole Amount”).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June 3, 2024, until the date of issuance of the Delayed Draw Notes, interest on the 2029 Notes accrued at a rate of 10.83% (consisting of 4.17% cash and 6.66% PIK) per annum. From the date of issuance of the Delayed Draw Notes and prior to December 15, 2026, interest on the 2029 Notes has increased and accrues at a rate of 11.375% (consisting of 4.375% cash and 7.00% PIK) per annum. On and after December 15, 2026, interest on the 2029 Notes will further increase and accrue at a rate of 13% (consisting of 5% cash and 8% PIK) per annum.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December 15, 2026, the Company may, at its option, redeem the 2029 Notes, in whole or in part for an amount of cash equal to the sum of (i) 103.25% of the aggregate principal amount of the 2029 Notes (including all increases to the principal amount as the result of previous payments of PIK interest) plus (ii) 103.25% of all accrued and unpaid PIK interest plus (iii) all accrued and unpaid cash interest. From December 15, 2026 until maturity, the Company may, at its option, redeem the 2029 Notes, in whole or in part for an amount of cash equal to the sum of (i) 113% of the aggregate principal amount of the 2029 Notes (including all increases to the principal amount as the result of previous payments of PIK interest) plus (ii) 113% of all accrued and unpaid PIK interest plus (iii) all accrued and unpaid cash interest. No sinking fund is provided for the 2029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2029 Notes are guaranteed on a senior basis by certain of the Company’s direct and indirect domestic and foreign subsidiaries and secured by first priority security interests in substantially all of the assets of the Company and such subsidiary guarantors, subject to customary exceptions. The indenture governing the 2029 Notes contains affirmative and negative covenants and events of default customary for senior secured notes issued in connection with similar transactions. The negative 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The Make-Whole Amount will be payable in the event of an acceleration of the 2029 Notes or repurchase triggered by certain asset sales. The indenture governing the 2029 Notes permits the Company and its subsidiaries to incur, subject to certain requirements, up to $150.0 million of debt that is junior in lien priority and subordinated in right of payment to the 2029 Notes. The indenture governing the 2029 Notes also includes a financial covenant that requires the Company at all times to maintain a minimum cash balance of $60.0 million (excluding proceeds of the 2029 Notes). Upon request of the investor, the indenture governing the 2029 Notes requires the Company to enter into a registration rights agreement with respect to the 2029 Notes containing customary terms including demand, shelf and piggyback registration rights. The Company was in compliance with its financial covenants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(as defined in the indenture governing the 2029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2029 Notes at a repurchase price equal to 100% of the aggregate principal amount of the 2029 Notes to be repurchased, plus accrued and unpaid interest, plus an amount equal to 66% of the remaining future interest payments (including PIK interest) that would have been payable through June 15, 2029, discounted at a rate equal to the comparable treasury rate plus 50 basis points. The likelihood of a Fundamental Change under the 2029 Notes occurring was remote unless and until the noteholders agreed to concessions (as they did to enable the pending sale of the business) because the amounts required to satisfy the contractual obligations in connection with a Fundamental Change materially exceeded the Company’s enterprise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the 2029 Notes may convert their 2029 Notes at their option at any time prior to the close of business on the business day immediately preceding February 15, 2029 only under the following circumstances: (1) during any calendar quarter commencing after the calendar quarter ending on September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 as determined by the Company; (2) during the five business day period after any five consecutive trading day period (the “2029 Notes measurement period”) in which the “trading price” (as defined in the indenture governing the 2029 Notes) per $1,000 principal amount of 2029 Notes for each trading day of the 2029 Notes measurement period was less than 98% of the product of the last reported sale price of the Company’s common stock and the product of (x) the quotient of (i) the “conversion amount” (as defined in the Indenture) in respect of $1,000 principal amount of the 2029 Notes on such trading day divided by (ii) 1,000 times (y) the conversion rate for the 2029 Notes on each such trading day; (3) with respect to any 2029 Notes that the Company calls for redemption, at any time prior to the close of business on the scheduled trading day immediately preceding the redemption date; (4) upon the occurrence of specified corporate events; or (5) during the period from August 17, 2026 through September 14, 2026, if the aggregate principal amount of 2026 Notes exceeds $60.0 million on August 16, 2026. On or after February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2029, holders may convert all or any portion of their 2029 Notes at any time prior to the close of business on June 13, 2029, regardless of the foregoing circumstances. The 2029 Notes include certain embedded features requiring bifurcation, which did not have material values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due to management’s estimates of the likelihood of triggering events, but that may have value in the future should those estimates change, with any change in fair value recorded in the Company’s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2029 Notes (including all accrued and unpaid interest) are convertible at the option of the holders at certain times into cash based on a daily conversion value calculated on a proportionate basis for each trading day in a 50 trading day observation period, corresponding to 0.8862 shares of the Company’s common stock per $1,000 principal amount of 2029 Notes. The Company is not required to deliver its common stock upon conversion under any circumstances. The conversion rate for the 2029 Notes is subject to adjustment if certain events occur and contains customary anti-dilution protections. During the three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 conditions allowing holders of the 2029 Notes to convert were not met.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2029 Notes, including the Delayed Draw Notes, are accounted for as a single liability, and the combined carrying amount is $201.7 million as of June 30, 2026, consisting of principal of $229.7 million, net of unamortized issuance costs of $5.3 million and debt discount of $22.6 million. The 2029 Notes were classified as long-term liabilities in the condensed consolidated balance sheets as of June 30, 2026. The remaining term over which the 2029 Notes’ debt issuance costs will be amortized is 3.0 years at an effective interest rate of 19.13% for the 2029 Notes (not including the Delayed Draw Notes) and 13.28% for the Delayed Draw Notes as of June 30, 2026. The 2029 Notes (not including the Delayed Draw Notes) and the Delayed Draw Notes had an effective interest rate of 19.13% and 13.28%, respectively, as of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Unamortized debt issuance costs incurred in connection with securing the Company’s financing arrangements are presented in the condensed consolidated balance sheets as a direct deduction from the carrying amount of the outstanding borrowings, consistent with debt discounts. All deferred financing costs are amortized to interest expense. The net carrying amount of the liability component of the Notes as of June 30, 2026 and December 31, 2025 is as follows:</w:t>
      </w:r>
    </w:p>
    <w:p>
      <w:pPr>
        <w:pStyle w:val="TextBody"/>
        <w:bidi w:val="0"/>
        <w:spacing w:before="0" w:after="0"/>
        <w:ind w:left="0" w:right="0" w:firstLine="720"/>
        <w:jc w:val="both"/>
        <w:rPr/>
      </w:pPr>
      <w:r>
        <w:rPr/>
      </w:r>
    </w:p>
    <w:tbl>
      <w:tblPr>
        <w:tblW w:w="12463" w:type="dxa"/>
        <w:jc w:val="left"/>
        <w:tblInd w:w="0" w:type="dxa"/>
        <w:tblLayout w:type="fixed"/>
        <w:tblCellMar>
          <w:top w:w="28" w:type="dxa"/>
          <w:left w:w="28" w:type="dxa"/>
          <w:bottom w:w="28" w:type="dxa"/>
          <w:right w:w="28" w:type="dxa"/>
        </w:tblCellMar>
      </w:tblPr>
      <w:tblGrid>
        <w:gridCol w:w="424"/>
        <w:gridCol w:w="372"/>
        <w:gridCol w:w="375"/>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Second Lien Notes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Second Lien Notes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2"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carrying value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left"/>
        <w:rPr/>
      </w:pPr>
      <w:r>
        <w:rPr/>
      </w:r>
    </w:p>
    <w:p>
      <w:pPr>
        <w:pStyle w:val="TextBody"/>
        <w:bidi w:val="0"/>
        <w:spacing w:lineRule="auto" w:line="288" w:before="0" w:after="6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Represents $115.0 million of outstanding principal amount of Second Lien Notes, plus the maximum interest of $58.7 million as well as a redemption premium of $8.3 million.</w:t>
      </w:r>
    </w:p>
    <w:p>
      <w:pPr>
        <w:pStyle w:val="TextBody"/>
        <w:bidi w:val="0"/>
        <w:spacing w:before="0" w:after="120"/>
        <w:ind w:left="0" w:right="0" w:firstLine="480"/>
        <w:jc w:val="left"/>
        <w:rPr/>
      </w:pPr>
      <w:r>
        <w:rPr/>
      </w:r>
    </w:p>
    <w:p>
      <w:pPr>
        <w:pStyle w:val="TextBody"/>
        <w:bidi w:val="0"/>
        <w:spacing w:lineRule="auto" w:line="288" w:before="0" w:after="12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interest expense recognized related to the Notes:</w:t>
      </w:r>
    </w:p>
    <w:tbl>
      <w:tblPr>
        <w:tblW w:w="8838" w:type="dxa"/>
        <w:jc w:val="center"/>
        <w:tblInd w:w="0" w:type="dxa"/>
        <w:tblLayout w:type="fixed"/>
        <w:tblCellMar>
          <w:top w:w="28" w:type="dxa"/>
          <w:left w:w="28" w:type="dxa"/>
          <w:bottom w:w="28" w:type="dxa"/>
          <w:right w:w="28" w:type="dxa"/>
        </w:tblCellMar>
      </w:tblPr>
      <w:tblGrid>
        <w:gridCol w:w="1085"/>
        <w:gridCol w:w="954"/>
        <w:gridCol w:w="960"/>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09"/>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Warrants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3, 2024, pursuant to the Exchange and Purchase Agreement, the Company issued to the investor 10-year warrants with a strike price of $11.25 per share, exercisable for 649,782 shares of the Company’s common stock and 10-year warrants with a strike price of $11.25 per share, exercisable with respect to a notional amount of 156,318 shares of the Company’s common stock for cash payments equal to the excess of “fair market value” (as defined therein) per share over the strike price, fully diluted subject to certain adjustments. In August 2025, Warrants with a notional amount of 200,000 shares were settled and a gain of $1.3 million related to the fair value adjustment on settlement date was recognized in Other (expense) income, net in the consolidated statements of operations 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cash-settled warrants will permit the Company, subject to certain conditions (including to the extent that the Company, following payment, would have “available cash” (as defined therein) of less than $100.0 million), to defer payment of the settlement amount at an annualized interest rate of 6.0%, compounded monthly. Warrants outstanding at the 10-year expiration will be exercised automatically (and in the case of the share-settled warrants, will be exercised on a cashless basis) if, immediately prior to the expiration, the fair market value per share is greater than the strike price.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Warrants contain customary anti-dilution protections. The triggers for the anti-dilution adjustments include (a) subdivision, combination or reclassification of the outstanding shares of common stock into a greater or smaller number of shares, (b) certain below market issuances of common stock, (c) certain issuances of common stock at a price that is less than the strike price of the Warrant, (d) certain issuances of a dividend or distribution to all holders of common stock, (e) an above market tender offer or exchange offer by the Company for common stock. Pursuant to the anti-dilution terms of the Warrants, and giving effect to the settlement of Warrants with respect to a notional amount of 200,000 shares, the aggregate notional amount of the Warrants increased to</w:t>
      </w:r>
      <w:r>
        <w:rPr>
          <w:color w:val="000000"/>
          <w:shd w:fill="FFFFFF" w:val="clear"/>
        </w:rPr>
        <w:t xml:space="preserve"> </w:t>
      </w:r>
      <w:r>
        <w:rPr>
          <w:rFonts w:ascii="Times New Roman;serif" w:hAnsi="Times New Roman;serif"/>
          <w:b w:val="false"/>
          <w:color w:val="000000"/>
          <w:sz w:val="20"/>
        </w:rPr>
        <w:t>1,054,039</w:t>
      </w:r>
      <w:r>
        <w:rPr>
          <w:color w:val="000000"/>
          <w:shd w:fill="FFFFFF" w:val="clear"/>
        </w:rPr>
        <w:t xml:space="preserve"> </w:t>
      </w:r>
      <w:r>
        <w:rPr>
          <w:rFonts w:ascii="Times New Roman;serif" w:hAnsi="Times New Roman;serif"/>
          <w:b w:val="false"/>
          <w:color w:val="000000"/>
          <w:sz w:val="20"/>
          <w:shd w:fill="FFFFFF" w:val="clear"/>
        </w:rPr>
        <w:t xml:space="preserve">shares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a “Cash/Public Acquisition” (as defined therein), the Warrants may be automatically exercised, cash settled or expire, depending on the fair market value per share. The Warrants contain a beneficial ownership limitation on the investor’s ownership of the Company’s common stock, on a post-exercise basis (aggregating all securities convertible into or exercisable for the Company’s common stock), of 4.99%, subject to increase upon 61 days’ notice by the investor, but not to exceed 9.99%.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Warrants were classified as current liabilities under ASC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 xml:space="preserve">in the Company’s condensed consolidated balance sheets and recorded at fair value of $5.3 million at the issuance date with subsequent changes in fair value recorded in the Company’s condensed consolidated statements of operations. For the three and six months ended June 30, 2025, a loss of $3.0 million and gain of $5.8 million, respectively, for the change in fair value was recorded in Other income (expense), net, in the Company’s condensed consolidated statements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 proposed Mergers, the Warrants had a fair value of zero, and the remaining balance was eliminated as of June 30, 2026, consistent with the terms of the Amended and Restated Merger Agreement, pursuant to which all outstanding Warrants will be cancelled for no consideration. For the three and six months ended June 30, 2026, a gain of $1.9 million and $3.0 million, respectively, for the change in fair value was recorded in Other income (expense), net, in the Company’s condensed consolidated statements of operations. Independent of the pending Mergers, the Company believes the Warrants would remain of nominal value. The Warrants’ exercise price is substantially above the Company’s current per-share equity value, and the Company’s significant outstanding secured debt ranks senior to common equity, limiting the residual value available to holders of the Company’s common stock, including the Warrants.</w:t>
      </w:r>
    </w:p>
    <w:p>
      <w:pPr>
        <w:pStyle w:val="TextBody"/>
        <w:bidi w:val="0"/>
        <w:spacing w:before="0" w:after="0"/>
        <w:ind w:left="0" w:right="0" w:firstLine="480"/>
        <w:jc w:val="both"/>
        <w:rPr/>
      </w:pPr>
      <w:r>
        <w:rPr/>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Fair Value Measurements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Level 1: Observable inputs that reflect quoted prices (unadjusted) for identical assets or liabilities in active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Unobservable inputs reflecting the Company’s assumptions incorporated in valuation techniques used to determine fair value. These assumptions are required to be consistent with market participant assumptions that are reasonably available.</w:t>
      </w:r>
    </w:p>
    <w:p>
      <w:pPr>
        <w:pStyle w:val="TextBody"/>
        <w:bidi w:val="0"/>
        <w:spacing w:before="0" w:after="0"/>
        <w:ind w:left="0" w:right="0" w:hanging="1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Financial Assets and Liabilities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 of cash, accounts receivable, and accounts payable approximate their fair value due to their short-term nature. The Company’s assets and liabilities that are measured at fair value on a recurring basis, by level, within the fair value hierarchy as of June 30, 2026 and December 31, 2025, are summarized as follows: </w:t>
      </w:r>
    </w:p>
    <w:p>
      <w:pPr>
        <w:pStyle w:val="TextBody"/>
        <w:bidi w:val="0"/>
        <w:spacing w:before="0" w:after="120"/>
        <w:ind w:left="0" w:right="0" w:firstLine="480"/>
        <w:jc w:val="both"/>
        <w:rPr/>
      </w:pPr>
      <w:r>
        <w:rPr/>
      </w:r>
    </w:p>
    <w:tbl>
      <w:tblPr>
        <w:tblW w:w="7890" w:type="dxa"/>
        <w:jc w:val="center"/>
        <w:tblInd w:w="0" w:type="dxa"/>
        <w:tblLayout w:type="fixed"/>
        <w:tblCellMar>
          <w:top w:w="28" w:type="dxa"/>
          <w:left w:w="28" w:type="dxa"/>
          <w:bottom w:w="28" w:type="dxa"/>
          <w:right w:w="28" w:type="dxa"/>
        </w:tblCellMar>
      </w:tblPr>
      <w:tblGrid>
        <w:gridCol w:w="1197"/>
        <w:gridCol w:w="1054"/>
        <w:gridCol w:w="106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8092" w:type="dxa"/>
        <w:jc w:val="center"/>
        <w:tblInd w:w="0" w:type="dxa"/>
        <w:tblLayout w:type="fixed"/>
        <w:tblCellMar>
          <w:top w:w="28" w:type="dxa"/>
          <w:left w:w="28" w:type="dxa"/>
          <w:bottom w:w="28" w:type="dxa"/>
          <w:right w:w="28" w:type="dxa"/>
        </w:tblCellMar>
      </w:tblPr>
      <w:tblGrid>
        <w:gridCol w:w="1197"/>
        <w:gridCol w:w="1054"/>
        <w:gridCol w:w="1063"/>
        <w:gridCol w:w="211"/>
        <w:gridCol w:w="721"/>
        <w:gridCol w:w="109"/>
        <w:gridCol w:w="109"/>
        <w:gridCol w:w="109"/>
        <w:gridCol w:w="109"/>
        <w:gridCol w:w="213"/>
        <w:gridCol w:w="411"/>
        <w:gridCol w:w="110"/>
        <w:gridCol w:w="109"/>
        <w:gridCol w:w="109"/>
        <w:gridCol w:w="109"/>
        <w:gridCol w:w="211"/>
        <w:gridCol w:w="616"/>
        <w:gridCol w:w="109"/>
        <w:gridCol w:w="109"/>
        <w:gridCol w:w="109"/>
        <w:gridCol w:w="109"/>
        <w:gridCol w:w="211"/>
        <w:gridCol w:w="721"/>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Company’s money market funds are measured at fair value on a recurring basis based on quoted market prices in active markets and are classified as Level 1 within the fair value hierarchy. </w:t>
      </w:r>
      <w:r>
        <w:rPr>
          <w:rFonts w:ascii="Times New Roman;serif" w:hAnsi="Times New Roman;serif"/>
          <w:b w:val="false"/>
          <w:color w:val="000000"/>
          <w:sz w:val="20"/>
          <w:shd w:fill="FFFFFF" w:val="clear"/>
        </w:rPr>
        <w:t>The Company’s Warrants liability was measured at fair value on a recurring basis and was classified as Level 3 within the fair value hierarchy.</w:t>
      </w:r>
      <w:r>
        <w:rPr>
          <w:color w:val="000000"/>
        </w:rPr>
        <w:t xml:space="preserve"> </w:t>
      </w:r>
      <w:r>
        <w:rPr>
          <w:rFonts w:ascii="Times New Roman;serif" w:hAnsi="Times New Roman;serif"/>
          <w:b w:val="false"/>
          <w:color w:val="000000"/>
          <w:sz w:val="20"/>
        </w:rPr>
        <w:t xml:space="preserve">Significant changes in unobservable inputs could result in significantly lower or higher fair value measurements.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a nonrecurring basis, the Company uses fair value measures when analyzing asset impairment. Long-lived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w:t>
      </w:r>
      <w:r>
        <w:rPr>
          <w:rFonts w:ascii="Times New Roman;serif" w:hAnsi="Times New Roman;serif"/>
          <w:b w:val="false"/>
          <w:color w:val="000000"/>
          <w:sz w:val="20"/>
          <w:shd w:fill="FFFFFF" w:val="clear"/>
        </w:rPr>
        <w:t>Estimated fair values are Level 3 measures in the fair value hierarchy.</w:t>
      </w:r>
      <w:r>
        <w:rPr>
          <w:color w:val="000000"/>
        </w:rPr>
        <w:t> </w:t>
      </w:r>
    </w:p>
    <w:p>
      <w:pPr>
        <w:pStyle w:val="TextBody"/>
        <w:bidi w:val="0"/>
        <w:spacing w:before="0" w:after="0"/>
        <w:ind w:left="0" w:right="0" w:firstLine="480"/>
        <w:jc w:val="both"/>
        <w:rPr/>
      </w:pPr>
      <w:r>
        <w:rPr/>
      </w:r>
    </w:p>
    <w:p>
      <w:pPr>
        <w:pStyle w:val="TextBody"/>
        <w:bidi w:val="0"/>
        <w:spacing w:before="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outstanding balances of the Notes as of the dates presented are as follows:</w:t>
      </w:r>
    </w:p>
    <w:tbl>
      <w:tblPr>
        <w:tblW w:w="10205" w:type="dxa"/>
        <w:jc w:val="left"/>
        <w:tblInd w:w="0" w:type="dxa"/>
        <w:tblLayout w:type="fixed"/>
        <w:tblCellMar>
          <w:top w:w="28" w:type="dxa"/>
          <w:left w:w="28" w:type="dxa"/>
          <w:bottom w:w="28" w:type="dxa"/>
          <w:right w:w="28" w:type="dxa"/>
        </w:tblCellMar>
      </w:tblPr>
      <w:tblGrid>
        <w:gridCol w:w="658"/>
        <w:gridCol w:w="243"/>
        <w:gridCol w:w="246"/>
        <w:gridCol w:w="330"/>
        <w:gridCol w:w="330"/>
        <w:gridCol w:w="331"/>
        <w:gridCol w:w="109"/>
        <w:gridCol w:w="109"/>
        <w:gridCol w:w="109"/>
        <w:gridCol w:w="211"/>
        <w:gridCol w:w="826"/>
        <w:gridCol w:w="109"/>
        <w:gridCol w:w="109"/>
        <w:gridCol w:w="109"/>
        <w:gridCol w:w="109"/>
        <w:gridCol w:w="211"/>
        <w:gridCol w:w="826"/>
        <w:gridCol w:w="109"/>
        <w:gridCol w:w="109"/>
        <w:gridCol w:w="109"/>
        <w:gridCol w:w="109"/>
        <w:gridCol w:w="278"/>
        <w:gridCol w:w="974"/>
        <w:gridCol w:w="146"/>
        <w:gridCol w:w="109"/>
        <w:gridCol w:w="109"/>
        <w:gridCol w:w="109"/>
        <w:gridCol w:w="325"/>
        <w:gridCol w:w="975"/>
        <w:gridCol w:w="170"/>
        <w:gridCol w:w="109"/>
        <w:gridCol w:w="109"/>
        <w:gridCol w:w="109"/>
        <w:gridCol w:w="212"/>
        <w:gridCol w:w="832"/>
        <w:gridCol w:w="228"/>
      </w:tblGrid>
      <w:tr>
        <w:trPr/>
        <w:tc>
          <w:tcPr>
            <w:tcW w:w="65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9"/>
              </w:rPr>
            </w:pPr>
            <w:r>
              <w:rPr>
                <w:rFonts w:ascii="Times New Roman;serif" w:hAnsi="Times New Roman;serif"/>
                <w:b/>
                <w:color w:val="000000"/>
                <w:sz w:val="19"/>
              </w:rPr>
              <w:t xml:space="preserve">Level of </w:t>
            </w:r>
          </w:p>
          <w:p>
            <w:pPr>
              <w:pStyle w:val="TableContents"/>
              <w:bidi w:val="0"/>
              <w:spacing w:lineRule="auto" w:line="276" w:before="0" w:after="0"/>
              <w:jc w:val="center"/>
              <w:rPr>
                <w:rFonts w:ascii="Times New Roman;serif" w:hAnsi="Times New Roman;serif"/>
                <w:b/>
                <w:color w:val="000000"/>
                <w:sz w:val="19"/>
              </w:rPr>
            </w:pPr>
            <w:r>
              <w:rPr>
                <w:rFonts w:ascii="Times New Roman;serif" w:hAnsi="Times New Roman;serif"/>
                <w:b/>
                <w:color w:val="000000"/>
                <w:sz w:val="19"/>
              </w:rPr>
              <w:t>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Principal </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9"/>
              </w:rPr>
            </w:pPr>
            <w:r>
              <w:rPr>
                <w:rFonts w:ascii="Times New Roman;serif" w:hAnsi="Times New Roman;serif"/>
                <w:b/>
                <w:color w:val="000000"/>
                <w:sz w:val="19"/>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9"/>
              </w:rPr>
            </w:pPr>
            <w:r>
              <w:rPr>
                <w:rFonts w:ascii="Times New Roman;serif" w:hAnsi="Times New Roman;serif"/>
                <w:b/>
                <w:color w:val="000000"/>
                <w:sz w:val="19"/>
              </w:rPr>
              <w:t xml:space="preserve">Net Carrying </w:t>
            </w:r>
          </w:p>
          <w:p>
            <w:pPr>
              <w:pStyle w:val="TableContents"/>
              <w:bidi w:val="0"/>
              <w:spacing w:lineRule="auto" w:line="276" w:before="0" w:after="0"/>
              <w:jc w:val="center"/>
              <w:rPr>
                <w:rFonts w:ascii="Times New Roman;serif" w:hAnsi="Times New Roman;serif"/>
                <w:b/>
                <w:color w:val="000000"/>
                <w:sz w:val="19"/>
              </w:rPr>
            </w:pPr>
            <w:r>
              <w:rPr>
                <w:rFonts w:ascii="Times New Roman;serif" w:hAnsi="Times New Roman;serif"/>
                <w:b/>
                <w:color w:val="000000"/>
                <w:sz w:val="19"/>
              </w:rPr>
              <w:t>Value</w:t>
            </w:r>
          </w:p>
        </w:tc>
      </w:tr>
      <w:tr>
        <w:trPr/>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June 30, 2026</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201,667 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2029 Notes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December 31, 2025</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189,780 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2029 Notes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determined the fair value of the 2026 Notes by using Level 2 inputs based on observable market prices for the instrument and similar instruments. </w:t>
      </w:r>
    </w:p>
    <w:p>
      <w:pPr>
        <w:pStyle w:val="TextBody"/>
        <w:bidi w:val="0"/>
        <w:spacing w:before="0" w:after="60"/>
        <w:ind w:left="0" w:right="0" w:firstLine="48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determined the fair value of the 2029 Notes and Second Lien Notes using the expected transaction proceeds as the proxy for fair value. Management divided the outstanding principal amount by the product of the $7.00 floor multiplied by the SoundHound stock price as of June 30, 2026 to arrive at the fair value per $1,000 of principal amount.</w:t>
      </w:r>
    </w:p>
    <w:p>
      <w:pPr>
        <w:pStyle w:val="TextBody"/>
        <w:bidi w:val="0"/>
        <w:spacing w:before="0" w:after="60"/>
        <w:ind w:left="0" w:right="0" w:firstLine="72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determined the fair value of the 2029 Notes as of December 31, 2025 by using Level 3 inputs, including the volatility of 15.00%, yield of 16.00%, risk-free rate of 3.59% and credit spread of 12.81%. Management determined the fair value of the Second Lien Notes as of December 31, 2025 by using Level 3 inputs, including volatility of 15.00%, yield of 30.00%, risk-free rate of 3.64% and credit spread of 24.60%. A change in those inputs to a different amount might result in a significantly higher or lower fair value measurement.</w:t>
      </w:r>
    </w:p>
    <w:p>
      <w:pPr>
        <w:pStyle w:val="TextBody"/>
        <w:bidi w:val="0"/>
        <w:spacing w:before="0" w:after="60"/>
        <w:ind w:left="0" w:right="0" w:firstLine="72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Warrants</w:t>
      </w:r>
    </w:p>
    <w:p>
      <w:pPr>
        <w:pStyle w:val="TextBody"/>
        <w:bidi w:val="0"/>
        <w:spacing w:before="0" w:after="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issuance, the Company recorded the fair value of the Warrants using the Black-Scholes valuation model and is required to revalue these Warrants at each reporting date with any changes in fair value recorded on the Company’s condensed consolidated statements of operations. The valuation of the Warrants was classified as Level 3 within the fair value hierarchy and is influenced by the fair value of the underlying, or notional amount of, common stock of the Company.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assessed the fair value of the Warrants as $0 due to the implications of the pending Mergers, and the probability of the Warrants being in the money being low as a result of debt obligations being senior to equity holders. According to the agreed-upon terms, upon completion of the Mergers, the Warrants will be cancelled for no consideration, and are therefore deemed to have zero value.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Black-Scholes pricing model assumptions used to record the fair value of the Warrants as of June 30, 2025 is as follows:</w:t>
      </w:r>
    </w:p>
    <w:p>
      <w:pPr>
        <w:pStyle w:val="TextBody"/>
        <w:bidi w:val="0"/>
        <w:spacing w:before="0" w:after="0"/>
        <w:ind w:left="0" w:right="0" w:firstLine="480"/>
        <w:jc w:val="both"/>
        <w:rPr/>
      </w:pPr>
      <w:r>
        <w:rPr/>
      </w:r>
    </w:p>
    <w:tbl>
      <w:tblPr>
        <w:tblW w:w="3067" w:type="dxa"/>
        <w:jc w:val="left"/>
        <w:tblInd w:w="0" w:type="dxa"/>
        <w:tblLayout w:type="fixed"/>
        <w:tblCellMar>
          <w:top w:w="28" w:type="dxa"/>
          <w:left w:w="28" w:type="dxa"/>
          <w:bottom w:w="28" w:type="dxa"/>
          <w:right w:w="28" w:type="dxa"/>
        </w:tblCellMar>
      </w:tblPr>
      <w:tblGrid>
        <w:gridCol w:w="721"/>
        <w:gridCol w:w="633"/>
        <w:gridCol w:w="640"/>
        <w:gridCol w:w="109"/>
        <w:gridCol w:w="109"/>
        <w:gridCol w:w="250"/>
        <w:gridCol w:w="250"/>
        <w:gridCol w:w="355"/>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8.93</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79.00%</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Refer to Note 8 – </w:t>
      </w:r>
      <w:r>
        <w:rPr>
          <w:rFonts w:ascii="Times New Roman;serif" w:hAnsi="Times New Roman;serif"/>
          <w:b w:val="false"/>
          <w:i/>
          <w:color w:val="000000"/>
          <w:sz w:val="20"/>
        </w:rPr>
        <w:t>Senior Notes, Capped Call Transactions and Warrants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in fair value of the Level 3 Warrants as of the dates presented are as follows:</w:t>
      </w:r>
    </w:p>
    <w:p>
      <w:pPr>
        <w:pStyle w:val="TextBody"/>
        <w:bidi w:val="0"/>
        <w:spacing w:before="0" w:after="0"/>
        <w:ind w:left="0" w:right="0" w:firstLine="720"/>
        <w:jc w:val="both"/>
        <w:rPr/>
      </w:pPr>
      <w:r>
        <w:rPr/>
      </w:r>
    </w:p>
    <w:tbl>
      <w:tblPr>
        <w:tblW w:w="5612" w:type="dxa"/>
        <w:jc w:val="center"/>
        <w:tblInd w:w="0" w:type="dxa"/>
        <w:tblLayout w:type="fixed"/>
        <w:tblCellMar>
          <w:top w:w="28" w:type="dxa"/>
          <w:left w:w="28" w:type="dxa"/>
          <w:bottom w:w="28" w:type="dxa"/>
          <w:right w:w="28" w:type="dxa"/>
        </w:tblCellMar>
      </w:tblPr>
      <w:tblGrid>
        <w:gridCol w:w="1102"/>
        <w:gridCol w:w="969"/>
        <w:gridCol w:w="973"/>
        <w:gridCol w:w="211"/>
        <w:gridCol w:w="616"/>
        <w:gridCol w:w="109"/>
        <w:gridCol w:w="109"/>
        <w:gridCol w:w="109"/>
        <w:gridCol w:w="109"/>
        <w:gridCol w:w="253"/>
        <w:gridCol w:w="867"/>
        <w:gridCol w:w="185"/>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Warrants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Commitments and Contingencies</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Benefit Plans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 401(k) defined contribution plan covering all eligible employees. The Company’s 401(k) policy is a Safe Harbor Plan, whereby the Company matches 100% of the first 3% of eligible compensation and 50% of the next 2% of eligible compensation. The match is immediately vested. Salaries and related expenses include $0.3 million and $0.7 million of employer matching contributions for the three and six months ended June 30, 2026, respectively and $0.5 million and $1.2 million of employer matching contributions for the three and six months ended June 30, 2025, respectively.</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letters of credit totaling $0.5 million outstanding as a security deposit for the due performance by the Company of the terms and conditions of a supply contract.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purchase obligations consist of agreements to purchase goods and services entered into in the ordinary c</w:t>
      </w:r>
      <w:r>
        <w:rPr>
          <w:rFonts w:ascii="Times New Roman;serif" w:hAnsi="Times New Roman;serif"/>
          <w:b w:val="false"/>
          <w:color w:val="000000"/>
          <w:sz w:val="20"/>
          <w:shd w:fill="FFFFFF" w:val="clear"/>
        </w:rPr>
        <w:t>ourse of business. The Company has purchase obligation agreements primarily relating to contracts with vendors in connection with Information Technology (“IT”) infrastructure services with remaining terms of</w:t>
      </w:r>
      <w:r>
        <w:rPr>
          <w:color w:val="000000"/>
        </w:rPr>
        <w:t xml:space="preserve"> </w:t>
      </w:r>
      <w:r>
        <w:rPr>
          <w:rFonts w:ascii="Times New Roman;serif" w:hAnsi="Times New Roman;serif"/>
          <w:b w:val="false"/>
          <w:color w:val="000000"/>
          <w:sz w:val="20"/>
          <w:shd w:fill="FFFFFF" w:val="clear"/>
        </w:rPr>
        <w:t>one year</w:t>
      </w:r>
      <w:r>
        <w:rPr>
          <w:color w:val="000000"/>
        </w:rPr>
        <w:t xml:space="preserve"> </w:t>
      </w:r>
      <w:r>
        <w:rPr>
          <w:rFonts w:ascii="Times New Roman;serif" w:hAnsi="Times New Roman;serif"/>
          <w:b w:val="false"/>
          <w:color w:val="000000"/>
          <w:sz w:val="20"/>
        </w:rPr>
        <w:t>or less. In September 2025, the Company entered into a new three-year contract for $76.4 million in purchase commitments over a three-year term. Total purchase commitments remaining as of June 30, 2026 including those under this contract are as follows: $13.2 million for the remainder of 2026, $25.1 million for 2027, and $25.0 million for 2028.</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Indemnifications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agreements whereby its executive officers and directors are indemnified for certain events or occurrences while the officer or director is, or was, serving at the Company’s request in such capacity. The maximum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June 30, 2026 and December 31, 2025.</w:t>
      </w:r>
    </w:p>
    <w:p>
      <w:pPr>
        <w:pStyle w:val="TextBody"/>
        <w:bidi w:val="0"/>
        <w:spacing w:before="0" w:after="0"/>
        <w:ind w:left="0" w:right="0" w:firstLine="48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Note 11. Stockholders</w:t>
      </w:r>
      <w:r>
        <w:rPr>
          <w:color w:val="000000"/>
          <w:shd w:fill="FFFFFF" w:val="clear"/>
        </w:rPr>
        <w:t xml:space="preserve">’ </w:t>
      </w:r>
      <w:r>
        <w:rPr>
          <w:rFonts w:ascii="Times New Roman;serif" w:hAnsi="Times New Roman;serif"/>
          <w:b/>
          <w:color w:val="000000"/>
          <w:sz w:val="20"/>
        </w:rPr>
        <w:t>Deficit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before="0" w:after="0"/>
        <w:ind w:left="0" w:right="0" w:firstLine="48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20,000,000 shares of common stock authorized, 12,520,490 shares issued, and 12,336,086 shares outstanding. The par value for the common stock is $0.001 per share.</w:t>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before="0" w:after="0"/>
        <w:ind w:left="0" w:right="0" w:firstLine="48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0"/>
          <w:shd w:fill="FFFFFF" w:val="clear"/>
        </w:rPr>
        <w:t>The Company’s stock-based compensation generally includes stock options, restricted stock units (“RSUs”), performance-vesting restricted stock units (“PRSUs”), and purchases under the Company’s 2019 Employee Stock Purchase Plan (the “ESPP”).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w:t>
      </w:r>
      <w:r>
        <w:rPr>
          <w:color w:val="000000"/>
        </w:rPr>
        <w:t xml:space="preserve"> </w:t>
      </w:r>
      <w:r>
        <w:rPr>
          <w:rFonts w:ascii="Times New Roman;serif" w:hAnsi="Times New Roman;serif"/>
          <w:b w:val="false"/>
          <w:color w:val="000000"/>
          <w:sz w:val="20"/>
        </w:rPr>
        <w:t xml:space="preserve">on the expectation that performance goals will be achieved at the stated target level. The amount of compensation cost recognized depends on the relative satisfaction of the performance condition based on performance to date.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 Incentive Plans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2019 Stock Incentive Plan became effective on April 11, 2019. The 2019 Stock Incentive Plan, as amended and restated, allows the Company’s employees and directors to participate in the Company’s future performance through grants of stock-based awards of stock options and RSUs at the discretion of the board of directors. The number of shares authorized for issuance under the 2019 Stock Incentive Plan as of</w:t>
      </w:r>
      <w:r>
        <w:rPr>
          <w:color w:val="000000"/>
          <w:shd w:fill="FFFFFF" w:val="clear"/>
        </w:rPr>
        <w:t xml:space="preserve"> </w:t>
      </w:r>
      <w:r>
        <w:rPr>
          <w:rFonts w:ascii="Times New Roman;serif" w:hAnsi="Times New Roman;serif"/>
          <w:b w:val="false"/>
          <w:color w:val="000000"/>
          <w:sz w:val="20"/>
          <w:shd w:fill="FFFFFF" w:val="clear"/>
        </w:rPr>
        <w:t xml:space="preserve">June 30, 2026 was </w:t>
      </w:r>
      <w:r>
        <w:rPr>
          <w:rFonts w:ascii="Times New Roman;serif" w:hAnsi="Times New Roman;serif"/>
          <w:b w:val="false"/>
          <w:color w:val="000000"/>
          <w:sz w:val="20"/>
        </w:rPr>
        <w:t>3,487,182.</w:t>
      </w:r>
      <w:r>
        <w:rPr>
          <w:color w:val="000000"/>
          <w:shd w:fill="FFFFFF" w:val="clear"/>
        </w:rPr>
        <w:t xml:space="preserve"> </w:t>
      </w:r>
      <w:r>
        <w:rPr>
          <w:rFonts w:ascii="Times New Roman;serif" w:hAnsi="Times New Roman;serif"/>
          <w:b w:val="false"/>
          <w:color w:val="000000"/>
          <w:sz w:val="20"/>
          <w:shd w:fill="FFFFFF" w:val="clear"/>
        </w:rPr>
        <w:t xml:space="preserve">Options to acquire common stock granted under the 2019 Stock Incentive Plan have ten-year terms. As of June 30, 2026, 52,949 shares of common stock remained available for issuance (taking into account all stock option exercises and other equity award settlements through June 30, 2026). </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Employee Stock Purchase Plan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number of shares authorized for issuance under the ESPP as of </w:t>
      </w:r>
      <w:r>
        <w:rPr>
          <w:rFonts w:ascii="Times New Roman;serif" w:hAnsi="Times New Roman;serif"/>
          <w:b w:val="false"/>
          <w:color w:val="000000"/>
          <w:sz w:val="20"/>
          <w:shd w:fill="FFFFFF" w:val="clear"/>
        </w:rPr>
        <w:t xml:space="preserve">June 30, 2026 was </w:t>
      </w:r>
      <w:r>
        <w:rPr>
          <w:rFonts w:ascii="Times New Roman;serif" w:hAnsi="Times New Roman;serif"/>
          <w:b w:val="false"/>
          <w:color w:val="000000"/>
          <w:sz w:val="20"/>
        </w:rPr>
        <w:t>300,000</w:t>
      </w:r>
      <w:r>
        <w:rPr>
          <w:color w:val="000000"/>
          <w:shd w:fill="FFFFFF" w:val="clear"/>
        </w:rPr>
        <w:t xml:space="preserve"> </w:t>
      </w:r>
      <w:r>
        <w:rPr>
          <w:rFonts w:ascii="Times New Roman;serif" w:hAnsi="Times New Roman;serif"/>
          <w:b w:val="false"/>
          <w:color w:val="000000"/>
          <w:sz w:val="20"/>
          <w:shd w:fill="FFFFFF" w:val="clear"/>
        </w:rPr>
        <w:t>shares. As of June 30, 2026, there are no shares of common stock available for issuance under the ESPP (taking into account all share purchases through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Inducement Plan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are 1,027,489 shares of common stock authorized and reserved for issuance under the Inducement Plan. As of June 30, 2026, 80,142 shares of common stock remained available for issuance under the Inducement Plan (taking into account all option exercises and other equity award settlements through June 30, 2026).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Option Activity</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Company’s stock option activity and weighted average exercise prices for the six months ended June 30, 2026:</w:t>
      </w:r>
    </w:p>
    <w:tbl>
      <w:tblPr>
        <w:tblW w:w="10205" w:type="dxa"/>
        <w:jc w:val="left"/>
        <w:tblInd w:w="0" w:type="dxa"/>
        <w:tblLayout w:type="fixed"/>
        <w:tblCellMar>
          <w:top w:w="28" w:type="dxa"/>
          <w:left w:w="28" w:type="dxa"/>
          <w:bottom w:w="28" w:type="dxa"/>
          <w:right w:w="28" w:type="dxa"/>
        </w:tblCellMar>
      </w:tblPr>
      <w:tblGrid>
        <w:gridCol w:w="930"/>
        <w:gridCol w:w="818"/>
        <w:gridCol w:w="820"/>
        <w:gridCol w:w="371"/>
        <w:gridCol w:w="371"/>
        <w:gridCol w:w="373"/>
        <w:gridCol w:w="111"/>
        <w:gridCol w:w="111"/>
        <w:gridCol w:w="111"/>
        <w:gridCol w:w="234"/>
        <w:gridCol w:w="800"/>
        <w:gridCol w:w="122"/>
        <w:gridCol w:w="109"/>
        <w:gridCol w:w="109"/>
        <w:gridCol w:w="109"/>
        <w:gridCol w:w="900"/>
        <w:gridCol w:w="900"/>
        <w:gridCol w:w="902"/>
        <w:gridCol w:w="109"/>
        <w:gridCol w:w="109"/>
        <w:gridCol w:w="109"/>
        <w:gridCol w:w="455"/>
        <w:gridCol w:w="879"/>
        <w:gridCol w:w="343"/>
      </w:tblGrid>
      <w:tr>
        <w:trPr/>
        <w:tc>
          <w:tcPr>
            <w:tcW w:w="93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Option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Average Remaining 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Aggregate Intrinsic Value </w:t>
              <w:br/>
              <w:t>(In thousands)</w:t>
            </w:r>
          </w:p>
        </w:tc>
      </w:tr>
      <w:tr>
        <w:trPr/>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Options </w:t>
              <w:br/>
              <w:t>(In thousands)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outstanding at December 31, 2025</w:t>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256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expired</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outstanding at June 30, 2026</w:t>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Options vested and expected to vest </w:t>
            </w:r>
          </w:p>
        </w:tc>
        <w:tc>
          <w:tcPr>
            <w:tcW w:w="7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302.36 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June 30, 2026</w:t>
            </w:r>
          </w:p>
        </w:tc>
        <w:tc>
          <w:tcPr>
            <w:tcW w:w="7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373.58 </w:t>
            </w:r>
          </w:p>
        </w:tc>
        <w:tc>
          <w:tcPr>
            <w:tcW w:w="1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fair value of stock options exercised during the six months ended June 30, 2026 and 2025 was immaterial. As of June 30, 2026, there was $0.3 million of total unrecognized compensation cost related to nonvested share-based compensation arrangements. That cost is expected to be recognized over a weighted average period of approximately 1.2 years.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 and Performance-Vesting Restricted Stock Unit Activity</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following table is a summary of the Company’s RSU and PRSU activity </w:t>
      </w:r>
      <w:r>
        <w:rPr>
          <w:rFonts w:ascii="Times New Roman;serif" w:hAnsi="Times New Roman;serif"/>
          <w:b w:val="false"/>
          <w:color w:val="000000"/>
          <w:sz w:val="20"/>
          <w:shd w:fill="FFFFFF" w:val="clear"/>
        </w:rPr>
        <w:t xml:space="preserve">and weighted average grant date fair value </w:t>
      </w:r>
      <w:r>
        <w:rPr>
          <w:rFonts w:ascii="Times New Roman;serif" w:hAnsi="Times New Roman;serif"/>
          <w:b w:val="false"/>
          <w:color w:val="000000"/>
          <w:sz w:val="20"/>
        </w:rPr>
        <w:t>for the six months ended June 30, 2026:</w:t>
      </w:r>
    </w:p>
    <w:tbl>
      <w:tblPr>
        <w:tblW w:w="10205" w:type="dxa"/>
        <w:jc w:val="center"/>
        <w:tblInd w:w="0" w:type="dxa"/>
        <w:tblLayout w:type="fixed"/>
        <w:tblCellMar>
          <w:top w:w="28" w:type="dxa"/>
          <w:left w:w="28" w:type="dxa"/>
          <w:bottom w:w="28" w:type="dxa"/>
          <w:right w:w="28" w:type="dxa"/>
        </w:tblCellMar>
      </w:tblPr>
      <w:tblGrid>
        <w:gridCol w:w="1248"/>
        <w:gridCol w:w="1097"/>
        <w:gridCol w:w="1101"/>
        <w:gridCol w:w="494"/>
        <w:gridCol w:w="471"/>
        <w:gridCol w:w="473"/>
        <w:gridCol w:w="109"/>
        <w:gridCol w:w="109"/>
        <w:gridCol w:w="109"/>
        <w:gridCol w:w="672"/>
        <w:gridCol w:w="1963"/>
        <w:gridCol w:w="346"/>
        <w:gridCol w:w="109"/>
        <w:gridCol w:w="109"/>
        <w:gridCol w:w="109"/>
        <w:gridCol w:w="361"/>
        <w:gridCol w:w="1056"/>
        <w:gridCol w:w="269"/>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Aggregate Fair Value</w:t>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outstanding at December 31, 2025</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Awarded</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and outstanding at June 30, 2026</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to vest </w:t>
            </w:r>
          </w:p>
        </w:tc>
        <w:tc>
          <w:tcPr>
            <w:tcW w:w="9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3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RSUs granted to employees generally vest over a one to four-year period, or upon achievement of certain performance conditions. As of June 30, 2026, total unrecognized compensation cost, adjusted for estimated forfeitures, related to nonvested RSUs and PRSUs was $3.2 million and the weighted-average remaining vesting period was 0.9 years.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PRSUs granted are generally subject to both a service-based vesting condition and a performance-based vesting condition. PRSUs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 There were no PRSUs granted during the three and six months ended June 30, 2026 and 2025,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Total stock-based compensation costs included in the condensed consolidated statements of operations for the three and six months ended June 30, 2026 and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are as follows: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tbl>
      <w:tblPr>
        <w:tblW w:w="7730" w:type="dxa"/>
        <w:jc w:val="left"/>
        <w:tblInd w:w="0" w:type="dxa"/>
        <w:tblLayout w:type="fixed"/>
        <w:tblCellMar>
          <w:top w:w="28" w:type="dxa"/>
          <w:left w:w="28" w:type="dxa"/>
          <w:bottom w:w="28" w:type="dxa"/>
          <w:right w:w="28" w:type="dxa"/>
        </w:tblCellMar>
      </w:tblPr>
      <w:tblGrid>
        <w:gridCol w:w="852"/>
        <w:gridCol w:w="751"/>
        <w:gridCol w:w="752"/>
        <w:gridCol w:w="251"/>
        <w:gridCol w:w="735"/>
        <w:gridCol w:w="130"/>
        <w:gridCol w:w="130"/>
        <w:gridCol w:w="130"/>
        <w:gridCol w:w="130"/>
        <w:gridCol w:w="251"/>
        <w:gridCol w:w="735"/>
        <w:gridCol w:w="130"/>
        <w:gridCol w:w="109"/>
        <w:gridCol w:w="109"/>
        <w:gridCol w:w="109"/>
        <w:gridCol w:w="213"/>
        <w:gridCol w:w="623"/>
        <w:gridCol w:w="110"/>
        <w:gridCol w:w="110"/>
        <w:gridCol w:w="110"/>
        <w:gridCol w:w="110"/>
        <w:gridCol w:w="213"/>
        <w:gridCol w:w="623"/>
        <w:gridCol w:w="314"/>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 development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12. Restructuring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LivePerson has undertaken several restructuring initiatives to realign the Company’s cost structure with its current business model, a changing competitive environment and changes in the Company’s commercial performance. In September 2025, the Company initiated a new restructuring plan to reduce cash expenditures to align with the Company’s current commercial performance, resulting in a charge of </w:t>
      </w:r>
      <w:r>
        <w:rPr>
          <w:rFonts w:ascii="Times New Roman;serif" w:hAnsi="Times New Roman;serif"/>
          <w:b w:val="false"/>
          <w:color w:val="000000"/>
          <w:sz w:val="20"/>
        </w:rPr>
        <w:t>$11.7 million</w:t>
      </w:r>
      <w:r>
        <w:rPr>
          <w:color w:val="000000"/>
          <w:shd w:fill="FFFFFF" w:val="clear"/>
        </w:rPr>
        <w:t xml:space="preserve"> </w:t>
      </w:r>
      <w:r>
        <w:rPr>
          <w:rFonts w:ascii="Times New Roman;serif" w:hAnsi="Times New Roman;serif"/>
          <w:b w:val="false"/>
          <w:color w:val="000000"/>
          <w:sz w:val="20"/>
          <w:shd w:fill="FFFFFF" w:val="clear"/>
        </w:rPr>
        <w:t>for the year ended December 31, 2025.</w:t>
      </w:r>
      <w:r>
        <w:rPr>
          <w:color w:val="000000"/>
        </w:rPr>
        <w:t xml:space="preserve"> </w:t>
      </w:r>
      <w:r>
        <w:rPr>
          <w:rFonts w:ascii="Times New Roman;serif" w:hAnsi="Times New Roman;serif"/>
          <w:b w:val="false"/>
          <w:color w:val="000000"/>
          <w:sz w:val="20"/>
        </w:rPr>
        <w:t>Restructuring charges and reversals are recorded in restructuring (reversals) costs, net, in the condensed consolidated statements of operations. The 2025 restructuring activities were substantially completed by December 31, 2025.</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the liability for the Company’s restructuring (reversals) costs, net, which is included within Accrued expenses and other current liabilities within the condensed consolidated balance sheets as of June 30, 2026 and December 31, 2025:</w:t>
      </w:r>
    </w:p>
    <w:p>
      <w:pPr>
        <w:pStyle w:val="TextBody"/>
        <w:bidi w:val="0"/>
        <w:spacing w:before="0" w:after="0"/>
        <w:ind w:left="0" w:right="0" w:firstLine="480"/>
        <w:jc w:val="both"/>
        <w:rPr/>
      </w:pPr>
      <w:r>
        <w:rPr/>
      </w:r>
    </w:p>
    <w:tbl>
      <w:tblPr>
        <w:tblW w:w="6752" w:type="dxa"/>
        <w:jc w:val="center"/>
        <w:tblInd w:w="0" w:type="dxa"/>
        <w:tblLayout w:type="fixed"/>
        <w:tblCellMar>
          <w:top w:w="28" w:type="dxa"/>
          <w:left w:w="28" w:type="dxa"/>
          <w:bottom w:w="28" w:type="dxa"/>
          <w:right w:w="28" w:type="dxa"/>
        </w:tblCellMar>
      </w:tblPr>
      <w:tblGrid>
        <w:gridCol w:w="1559"/>
        <w:gridCol w:w="1370"/>
        <w:gridCol w:w="1375"/>
        <w:gridCol w:w="211"/>
        <w:gridCol w:w="616"/>
        <w:gridCol w:w="109"/>
        <w:gridCol w:w="109"/>
        <w:gridCol w:w="109"/>
        <w:gridCol w:w="109"/>
        <w:gridCol w:w="255"/>
        <w:gridCol w:w="744"/>
        <w:gridCol w:w="186"/>
      </w:tblGrid>
      <w:tr>
        <w:trPr/>
        <w:tc>
          <w:tcPr>
            <w:tcW w:w="15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lease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associated (reversals) costs,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restructuring (reversals) costs, net for the three and six months ended June 30, 2026 and 2025:</w:t>
      </w:r>
    </w:p>
    <w:tbl>
      <w:tblPr>
        <w:tblW w:w="8775" w:type="dxa"/>
        <w:jc w:val="left"/>
        <w:tblInd w:w="0" w:type="dxa"/>
        <w:tblLayout w:type="fixed"/>
        <w:tblCellMar>
          <w:top w:w="28" w:type="dxa"/>
          <w:left w:w="28" w:type="dxa"/>
          <w:bottom w:w="28" w:type="dxa"/>
          <w:right w:w="28" w:type="dxa"/>
        </w:tblCellMar>
      </w:tblPr>
      <w:tblGrid>
        <w:gridCol w:w="1560"/>
        <w:gridCol w:w="1368"/>
        <w:gridCol w:w="1377"/>
        <w:gridCol w:w="211"/>
        <w:gridCol w:w="541"/>
        <w:gridCol w:w="109"/>
        <w:gridCol w:w="109"/>
        <w:gridCol w:w="109"/>
        <w:gridCol w:w="109"/>
        <w:gridCol w:w="211"/>
        <w:gridCol w:w="466"/>
        <w:gridCol w:w="109"/>
        <w:gridCol w:w="109"/>
        <w:gridCol w:w="109"/>
        <w:gridCol w:w="109"/>
        <w:gridCol w:w="211"/>
        <w:gridCol w:w="541"/>
        <w:gridCol w:w="109"/>
        <w:gridCol w:w="109"/>
        <w:gridCol w:w="109"/>
        <w:gridCol w:w="109"/>
        <w:gridCol w:w="211"/>
        <w:gridCol w:w="616"/>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lease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associated (reversals) costs,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(reversals)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Legal Matters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Stockholder Litigation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December 2023, a putative stockholder class action entitled Damri v. LivePerson, Inc., No. 1:23-cv-10517, was filed under the federal securities laws against the Company, its former Chief Executive Officer, and its Chief Financial Officer in the United States District Court for the Southern District of New York. The complaint alleges that the Company’s Form 10-Q filings and forecasts for the first, second, and third quarters of fiscal year 2022 were false and misleading in violation of Section 10(b) of the Securities Exchange Act of 1934, based on the Company’s later disclosures and report on Form 10-K on March 16, 2023. In May 2024, the plaintiff filed an amended complaint. The Company moved to dismiss the amended complaint in August 2024, and in March 2025, the court granted the Company’s motion and dismissed the action with prejudice. In April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2025, the plaintiff appealed the decision to the United States Court of Appeals for the Second Circuit and in March 2026, the dismissal was affirmed but the case was remanded to the district court with leave for the plaintiff to try to replead his complaint. A second amended complaint was filed, and the Company renewed its motion to dismiss, which remains pending. A parallel litigation on behalf of stockholders who purchased their shares on the Tel Aviv Stock Exchange, entitled Weissbrod v. LivePerson, Inc., is pending in the Tel Aviv District Court in Israel, but has been stayed pending further developments in the Damri case.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January 2024, a purported derivative action entitled Marti v. LoCascio, No. 1:24-cv-00598, was filed in the United States District Court for the Southern District of New York by a purported stockholder of the Company against the Company’s former Chief Executive Officer, its Chief Financial Officer, members of the current Board of Directors and several former Directors. The Marti litigation claims that the Company itself was harmed by the same acts and omissions underlying the Damri federal securities lawsuit and seeks to recover unspecified losses on behalf of the Company. Between June and September 2024, four other purported derivative actions were filed by purported stockholders of the Company against the Company’s former Chief Executive Officer, its Chief Financial Officer, members of the current Board of Directors and several former Directors. These four purported derivative actions, similar to the Marti litigation, claim that the Company itself was harmed by the same acts and omissions underlying the Damri federal securities lawsuit, and seek to recover unspecified losses on behalf of the Company. The four actions are entitled: (i) Steffens v. Block, No. 1:24-cv-04481, filed in the United States District Court for the Southern District of New York; (ii) Ravi v. LoCascio, Index No. 653498/2024, filed in the Supreme Court of the State of New York, New York County; (iii) Morales v. LoCascio, No. 1:24-cv-05297, filed in the United States District Court for the Southern District of New York; and (iv) Perkins v. LoCascio, Index No. 654992/2024, filed in the Supreme Court of the State of New York, New York County. The Marti, Steffens and Morales cases are stayed, and the Perkins case is in abeyance, pending further developments in the Damri case.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Vector Capital VI, L.P. filed a lawsuit in the Court of Chancery of the State of Delaware against the members of the Company’s board of directors who voted in favor of the Company’s September 2025 Debt Exchange transaction. The action, entitled Vector Capital VI, L.P. v. Miller, C.A. No. 2026-0536, alleges that the September 2025 Debt Exchange constituted a breach of fiduciary duty by the board, was unfairly coercive, frustrated stockholder voting rights and improperly diluted the value of the Company’s common stock. The complaint seeks unspecified damages. The Company, on behalf of the directors, has moved to dismiss the complaint and briefing is ongoing.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2026, two substantially similar lawsuits were filed in the Supreme Court of the State of New York against the Company and its board of directors challenging as alleged negligence and negligent misrepresentation supposedly inadequate disclosures in the proxy statement for the proposed Mergers. Among other things, the complaints allege that additional disclosure is needed about the work performed by the Company’s financial advisors, about potential conflicts of interest by those advisors, and about any potential conflicts of interest that Company insiders may have with respect to the proposed Mergers. Both lawsuits seek an injunction directing the Company to make additional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COVID-Related Matters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has been widely reported, there is heightened scrutiny by the federal government across many programs related to global novel coronavirus disease (“COVID-19”) that were introduced during the COVID-19 pandemic. The Company previously provided products and services related to COVID-19 testing and accompanying software. Those products and services have been the subject of inquiry and review by Medicare, the Department of Justice and the U.S. Food and Drug Administration.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discontinued all products and services related to COVID-19, and has responded to and intends to continue to cooperate with governmental inquiries related to its previous engagement in COVID-19 related product and service offerings.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Legal, Administrative, Governmental and Regulatory Matters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or may be subject to or involved in legal, administrative, governmental and/or regulatory proceedings, inquiries and investigations as well as actual or threatened litigation, claims and/or demands (each an “Action” and collectively “Actions”). These have included and may include (without limitation) Actions brought by or against the Company, its affiliates, subsidiaries, directors and/or officers with respect to intellectual property, contracts, financial, commercial, employment, legal, compliance, privacy, data security, regulatory and/or other matters related to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business, as well as Actions brought against the Company’s customers for which the Company has a contractual indemnification obligation.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Regardless of the outcome, Actions can have an adverse impact on the Company because of defense and/or settlement costs, diversion of management resources, reputational risks and other factors.</w:t>
      </w:r>
    </w:p>
    <w:p>
      <w:pPr>
        <w:pStyle w:val="TextBody"/>
        <w:bidi w:val="0"/>
        <w:spacing w:before="0" w:after="0"/>
        <w:jc w:val="both"/>
        <w:rPr/>
      </w:pPr>
      <w:r>
        <w:rPr/>
      </w:r>
    </w:p>
    <w:p>
      <w:pPr>
        <w:pStyle w:val="TextBody"/>
        <w:bidi w:val="0"/>
        <w:spacing w:lineRule="auto" w:line="288" w:before="0" w:after="0"/>
        <w:ind w:left="0" w:right="0" w:firstLine="480"/>
        <w:jc w:val="both"/>
        <w:rPr>
          <w:rFonts w:ascii="Times New Roman;serif" w:hAnsi="Times New Roman;serif"/>
          <w:b w:val="false"/>
          <w:i/>
          <w:color w:val="000000"/>
          <w:sz w:val="20"/>
        </w:rPr>
      </w:pPr>
      <w:r>
        <w:rPr>
          <w:rFonts w:ascii="Times New Roman;serif" w:hAnsi="Times New Roman;serif"/>
          <w:b w:val="false"/>
          <w:i/>
          <w:color w:val="000000"/>
          <w:sz w:val="20"/>
        </w:rPr>
        <w:t>Accruals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accrues for certain contingencies when it is both probable that a liability has been incurred and the amount of the loss can be reasonably estimated and discloses certain contingencies for which no accrual has been made as appropriate and in compliance with ASC 450, </w:t>
      </w:r>
      <w:r>
        <w:rPr>
          <w:rFonts w:ascii="Times New Roman;serif" w:hAnsi="Times New Roman;serif"/>
          <w:b w:val="false"/>
          <w:i/>
          <w:color w:val="000000"/>
          <w:sz w:val="20"/>
        </w:rPr>
        <w:t>Contingencies</w:t>
      </w:r>
      <w:r>
        <w:rPr>
          <w:rFonts w:ascii="Times New Roman;serif" w:hAnsi="Times New Roman;serif"/>
          <w:b w:val="false"/>
          <w:color w:val="000000"/>
          <w:sz w:val="20"/>
        </w:rPr>
        <w:t>. Significant judgment is required in both the determination of probability and the determination as to whether a loss is reasonably estimable. The accruals or estimates, if any, resulting from the foregoing analysis, are reviewed at least quarterly and adjusted to reflect the impact of negotiations, settlements, rulings, advice of legal counsel and other information and events pertaining to a particular matter.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14. Income Taxes</w:t>
      </w:r>
    </w:p>
    <w:p>
      <w:pPr>
        <w:pStyle w:val="TextBody"/>
        <w:bidi w:val="0"/>
        <w:spacing w:before="0" w:after="0"/>
        <w:ind w:left="0" w:right="0" w:firstLine="48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includes interest accrued on the underpayment of income taxes and certain interest expense and penalties, if any, related to unrecognized tax benefits as a component of the income tax provision. The Company recorded a valuation allowance against its U.S., e-bot7 Germany, and Bulgaria deferred tax assets as it considered its cumulative losses in recent years as a significant piece of negative evidence. Since valuation allowances are evaluated by jurisdiction, the Company believes that the deferred tax assets related to LivePerson Australia Pty. Ltd., Engage Pty. Ltd., LivePerson (UK) Ltd., LivePerson Japan, and LivePerson Ltd. (Israel) are more likely than not to be realized as these jurisdictions have positive cumulative pre-tax book income after adjusting for permanent and one-time items.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(“OBBBA”) was signed into law on July 4, 2025, and makes changes to the deductibility of certain business expenditures including interest expense, research and development expenditures, and property and equipment, and makes changes to elements of U.S. cross-border taxation. The Company implemented the changes enacted under OBBBA. OBBBA impacted the Company’s deferred tax assets as of July 4, 2025, the date of enactment, via the reversal of $32.0 million of deferred tax assets resulting from capitalized research expenses incurred through December 31, 2024. The reversal was reflected in the Company’s annual financial statements as of and for the year ended December 31, 2025.</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Company recorded a tax provision o</w:t>
      </w:r>
      <w:r>
        <w:rPr>
          <w:rFonts w:ascii="Times New Roman;serif" w:hAnsi="Times New Roman;serif"/>
          <w:b w:val="false"/>
          <w:color w:val="000000"/>
          <w:sz w:val="20"/>
        </w:rPr>
        <w:t>f $0.5 million and $0.8 million.</w:t>
      </w:r>
      <w:r>
        <w:rPr>
          <w:color w:val="000000"/>
          <w:shd w:fill="FFFFFF" w:val="clear"/>
        </w:rPr>
        <w:t xml:space="preserve"> </w:t>
      </w:r>
      <w:r>
        <w:rPr>
          <w:rFonts w:ascii="Times New Roman;serif" w:hAnsi="Times New Roman;serif"/>
          <w:b w:val="false"/>
          <w:color w:val="000000"/>
          <w:sz w:val="20"/>
        </w:rPr>
        <w:t xml:space="preserve">This consisted of a tax provision on operating earnings of non-US subsidiaries, a tax expense on UK stock compensation windfall, and interest accrual on unrecognized tax benefits in Israel.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the Company recorded a tax provision o</w:t>
      </w:r>
      <w:r>
        <w:rPr>
          <w:rFonts w:ascii="Times New Roman;serif" w:hAnsi="Times New Roman;serif"/>
          <w:b w:val="false"/>
          <w:color w:val="000000"/>
          <w:sz w:val="20"/>
        </w:rPr>
        <w:t>f $0.4 million and less than $0.1 million.</w:t>
      </w:r>
      <w:r>
        <w:rPr>
          <w:color w:val="000000"/>
          <w:shd w:fill="FFFFFF" w:val="clear"/>
        </w:rPr>
        <w:t xml:space="preserve"> </w:t>
      </w:r>
      <w:r>
        <w:rPr>
          <w:rFonts w:ascii="Times New Roman;serif" w:hAnsi="Times New Roman;serif"/>
          <w:b w:val="false"/>
          <w:color w:val="000000"/>
          <w:sz w:val="20"/>
        </w:rPr>
        <w:t xml:space="preserve">This consisted of a tax provision on operating earnings of non-US subsidiaries, a tax benefit on an increase in tax receivables, and interest accrual on unrecognized tax benefits in Israel.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Company had a valuation allowance on certain deferred tax assets for the year ended December 31, 2025 of $243.2 million. Inherent in the Company’s 2026 annual effective tax rate is an estimated increase in the valuation allowance of $12.4 million</w:t>
      </w:r>
      <w:r>
        <w:rPr>
          <w:rFonts w:ascii="Times New Roman;serif" w:hAnsi="Times New Roman;serif"/>
          <w:b w:val="false"/>
          <w:color w:val="000000"/>
          <w:sz w:val="20"/>
        </w:rPr>
        <w:t>, al</w:t>
      </w:r>
      <w:r>
        <w:rPr>
          <w:rFonts w:ascii="Times New Roman;serif" w:hAnsi="Times New Roman;serif"/>
          <w:b w:val="false"/>
          <w:color w:val="000000"/>
          <w:sz w:val="20"/>
          <w:shd w:fill="FFFFFF" w:val="clear"/>
        </w:rPr>
        <w:t>l of which would be recorded as an expense. During 2025, an increase in the valuation allowance in the amount of $8.6 million was recorded as an expense.</w:t>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before="0" w:after="0"/>
        <w:ind w:left="0" w:right="0" w:firstLine="480"/>
        <w:jc w:val="center"/>
        <w:rPr/>
      </w:pPr>
      <w:r>
        <w:rPr/>
      </w:r>
    </w:p>
    <w:p>
      <w:pPr>
        <w:pStyle w:val="TextBody"/>
        <w:bidi w:val="0"/>
        <w:spacing w:lineRule="auto" w:line="288" w:before="0" w:after="0"/>
        <w:ind w:left="0" w:right="0" w:firstLine="480"/>
        <w:jc w:val="center"/>
        <w:rPr/>
      </w:pPr>
      <w:r>
        <w:rPr>
          <w:rFonts w:ascii="Times New Roman;serif" w:hAnsi="Times New Roman;serif"/>
          <w:b/>
          <w:color w:val="000000"/>
          <w:sz w:val="20"/>
        </w:rPr>
        <w:t>Item 2. Management</w:t>
      </w:r>
      <w:r>
        <w:rPr>
          <w:color w:val="000000"/>
        </w:rPr>
        <w:t>’</w:t>
      </w:r>
      <w:r>
        <w:rPr>
          <w:rFonts w:ascii="Times New Roman;serif" w:hAnsi="Times New Roman;serif"/>
          <w:b/>
          <w:color w:val="000000"/>
          <w:sz w:val="20"/>
        </w:rPr>
        <w:t>s Discussion and Analysis of Financial Condition and Results of Operations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of our financial condition and results of operations in conjunction with the condensed consolidated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Merger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April 21, 2026, LivePerson, SoundHound AI, Inc. (“SoundHound”) and Lightspeed Merger Sub, Inc., an indirect wholly owned subsidiary of SoundHound (“Merger Sub I”) entered into a Merger Agreement (the “Original Merger Agreement”), which was amended and restated on July 2, 2026, by the Amended and Restated Merger Agreement (the “Amended and Restated Merger Agreement”), by and among LivePerson, SoundHound, Merger Sub I and Lightspeed Merger Sub II Inc., an indirect wholly owned subsidiary of SoundHound (“Merger Sub II”), under which, upon the terms and subject to the conditions set forth therein, Merger Sub I will be merged with and into LivePerson (the “First Merger”), with LivePerson surviving the First Merger as an indirect, wholly owned subsidiary of SoundHound and, immediately following the First Merger, Merger Sub II will be merged with and into LivePerson (the “Second Merger,” and together with the First Merger, the “Mergers”), with LivePerson surviving the Second Merger as an indirect, wholly owned subsidiary of SoundHound. See Note 1 – </w:t>
      </w:r>
      <w:r>
        <w:rPr>
          <w:rFonts w:ascii="Times New Roman;serif" w:hAnsi="Times New Roman;serif"/>
          <w:b w:val="false"/>
          <w:i/>
          <w:color w:val="000000"/>
          <w:sz w:val="20"/>
        </w:rPr>
        <w:t>Description of Business and Basis of Presentation</w:t>
      </w:r>
      <w:r>
        <w:rPr>
          <w:color w:val="000000"/>
        </w:rPr>
        <w:t xml:space="preserve"> </w:t>
      </w:r>
      <w:r>
        <w:rPr>
          <w:rFonts w:ascii="Times New Roman;serif" w:hAnsi="Times New Roman;serif"/>
          <w:b w:val="false"/>
          <w:color w:val="000000"/>
          <w:sz w:val="20"/>
        </w:rPr>
        <w:t>under Item 1 of this Quarterly Report on Form 10-Q for additional information about the Amended and Restated Merger Agreement.</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Revenue Retention and Current Trends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rPr>
        <w:t>We continue to observe slower than anticipated renewals and new business bookings, primarily driven by customer uncertainty regarding our financial stability as well as broader macroeconomic and industry factors extending enterprise buying cycles, including for high-value AI solutions. Because we recognize revenue from subscriptions over the term of the customer contract, declines in our business may not be immediately reflected in our operating results, but could negatively impact the Company</w:t>
      </w:r>
      <w:r>
        <w:rPr>
          <w:color w:val="000000"/>
          <w:shd w:fill="FFFFFF" w:val="clear"/>
        </w:rPr>
        <w:t>’</w:t>
      </w:r>
      <w:r>
        <w:rPr>
          <w:rFonts w:ascii="Times New Roman;serif" w:hAnsi="Times New Roman;serif"/>
          <w:b w:val="false"/>
          <w:color w:val="000000"/>
          <w:sz w:val="20"/>
        </w:rPr>
        <w:t>s revenue on a long-term basis.</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are prepared in conformity with accounting principles generally accepted in the United States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We evaluate these estimates on an annual basis. Actual results could differ from those estimates under different assumptions or conditions, and any differences could be material.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Except as described below, there have been no significant changes in our critical accounting policies and estimates during the three and six months ended June 30, 2026, as compared to the critical accounting policies and estimates disclosed in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our Annual Report on Form 10-K for the year ended December 31, 2025, filed with the SEC on March 16,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interim goodwill impairment test performed as of June 30, 2026, we determined the fair value of our reporting unit using a direct, market-based approach, rather than the income and market approaches used in our annual test as of October 1, 2025 and interim test on December 31, 2025, which required significant judgment regarding forecasted future revenues, EBITDA, discount rates, and selected marketplace multiples of comparable public companies. The approach used as of June 30, 2026 estimates fair value on a total invested capital basis using (i) the potential settlement value of the outstanding 2026 Notes, (ii) the market capitalization of LivePerson common stock, which has an implied discount from the Original Merger Agreement purchase price (subject to the $7.00 - $12.00 per share collar), and (iii) the fair value of LivePerson’s outstanding debt based on the purchase price in the Original Merger Agreement (subject to the collar), adjusted based on the closing price of SoundHound’s Common Stock as of June 30, 2026, as described further in Note 5. We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approach to be the most reliable indicator of fair value given the existence of the Original Merger Agreement negotiated with an unaffiliated third party, which we believe provides more direct evidence of fair value than internally developed cash flow forecasts and selected market multiples. This change reflects the evidence available as of the current measurement date and does not represent a change in the Company’s goodwill impairment testing methodology. However, it reduces the degree of internally developed judgment involved in the estimate relative to our prior tests, while introducing dependency on factors outside our control, including the trading prices of LivePerson and SoundHound common stock, the timing and consummation of the Mergers, and the terms of the Original Merger Agreement and Notes Restructuring Agreement, including the $7.00–$12.00 per share collar. Because the fair value of our reporting unit as of June 30, 2026 approximated its carrying value after giving effect to the impairment charge described in Note 5, future declines in LivePerson’s or SoundHound’s stock price, adverse changes to or termination of the Amended and Restated Merger Agreement or Notes Restructuring Agreement, or increases in the carrying value of our reporting unit’s net assets could result in additional goodwill impairment charges, which could be material to our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See Note 1 – </w:t>
      </w:r>
      <w:r>
        <w:rPr>
          <w:rFonts w:ascii="Times New Roman;serif" w:hAnsi="Times New Roman;serif"/>
          <w:b w:val="false"/>
          <w:i/>
          <w:color w:val="000000"/>
          <w:sz w:val="20"/>
        </w:rPr>
        <w:t>Description of Business and Basis of Presentation</w:t>
      </w:r>
      <w:r>
        <w:rPr>
          <w:color w:val="000000"/>
        </w:rPr>
        <w:t xml:space="preserve"> </w:t>
      </w:r>
      <w:r>
        <w:rPr>
          <w:rFonts w:ascii="Times New Roman;serif" w:hAnsi="Times New Roman;serif"/>
          <w:b w:val="false"/>
          <w:color w:val="000000"/>
          <w:sz w:val="20"/>
        </w:rPr>
        <w:t>under Item 1 of this Quarterly Report on Form 10-Q for additional information about recent accounting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8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enable brands to leverage the Conversational Cloud’s sophisticated intelligence engine to connect with consumers through an integrated suite of mobile and online business messaging technologies. Our platform enables businesses to have conversations with millions of consumers as personally as they would with one consumer.</w:t>
      </w:r>
    </w:p>
    <w:p>
      <w:pPr>
        <w:pStyle w:val="TextBody"/>
        <w:bidi w:val="0"/>
        <w:spacing w:before="0" w:after="0"/>
        <w:ind w:left="0" w:right="0" w:firstLine="720"/>
        <w:jc w:val="both"/>
        <w:rPr/>
      </w:pPr>
      <w:r>
        <w:rPr/>
      </w:r>
    </w:p>
    <w:p>
      <w:pPr>
        <w:pStyle w:val="TextBody"/>
        <w:bidi w:val="0"/>
        <w:spacing w:lineRule="auto" w:line="288"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Comparison of the Three and Six Months Ended June 30, 2026 and June 30, 2025</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and as a percentage of our revenues for those periods. The period-to-period comparison of financial results is not necessarily indicative of future results.    </w: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w:t>
      </w:r>
    </w:p>
    <w:p>
      <w:pPr>
        <w:pStyle w:val="TextBody"/>
        <w:bidi w:val="0"/>
        <w:spacing w:before="0" w:after="0"/>
        <w:ind w:left="0" w:right="0" w:firstLine="480"/>
        <w:jc w:val="left"/>
        <w:rPr/>
      </w:pPr>
      <w:r>
        <w:rPr/>
      </w:r>
    </w:p>
    <w:tbl>
      <w:tblPr>
        <w:tblW w:w="11538" w:type="dxa"/>
        <w:jc w:val="center"/>
        <w:tblInd w:w="0" w:type="dxa"/>
        <w:tblLayout w:type="fixed"/>
        <w:tblCellMar>
          <w:top w:w="28" w:type="dxa"/>
          <w:left w:w="28" w:type="dxa"/>
          <w:bottom w:w="28" w:type="dxa"/>
          <w:right w:w="28" w:type="dxa"/>
        </w:tblCellMar>
      </w:tblPr>
      <w:tblGrid>
        <w:gridCol w:w="304"/>
        <w:gridCol w:w="268"/>
        <w:gridCol w:w="26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20"/>
        <w:gridCol w:w="220"/>
        <w:gridCol w:w="551"/>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211"/>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222222"/>
          <w:sz w:val="20"/>
        </w:rPr>
        <w:t xml:space="preserve">Revenue </w:t>
      </w:r>
      <w:r>
        <w:rPr>
          <w:rFonts w:ascii="Times New Roman;serif" w:hAnsi="Times New Roman;serif"/>
          <w:b w:val="false"/>
          <w:color w:val="000000"/>
          <w:sz w:val="20"/>
        </w:rPr>
        <w:t>decrease</w:t>
      </w:r>
      <w:r>
        <w:rPr>
          <w:rFonts w:ascii="Times New Roman;serif" w:hAnsi="Times New Roman;serif"/>
          <w:b w:val="false"/>
          <w:color w:val="222222"/>
          <w:sz w:val="20"/>
        </w:rPr>
        <w:t>d by </w:t>
      </w:r>
      <w:r>
        <w:rPr>
          <w:rFonts w:ascii="Times New Roman;serif" w:hAnsi="Times New Roman;serif"/>
          <w:b w:val="false"/>
          <w:color w:val="000000"/>
          <w:sz w:val="20"/>
        </w:rPr>
        <w:t>12%</w:t>
      </w:r>
      <w:r>
        <w:rPr>
          <w:color w:val="222222"/>
        </w:rPr>
        <w:t> </w:t>
      </w:r>
      <w:r>
        <w:rPr>
          <w:rFonts w:ascii="Times New Roman;serif" w:hAnsi="Times New Roman;serif"/>
          <w:b w:val="false"/>
          <w:color w:val="222222"/>
          <w:sz w:val="20"/>
        </w:rPr>
        <w:t>to </w:t>
      </w:r>
      <w:r>
        <w:rPr>
          <w:rFonts w:ascii="Times New Roman;serif" w:hAnsi="Times New Roman;serif"/>
          <w:b w:val="false"/>
          <w:color w:val="000000"/>
          <w:sz w:val="20"/>
        </w:rPr>
        <w:t>$52.5 million</w:t>
      </w:r>
      <w:r>
        <w:rPr>
          <w:color w:val="222222"/>
        </w:rPr>
        <w:t> </w:t>
      </w:r>
      <w:r>
        <w:rPr>
          <w:rFonts w:ascii="Times New Roman;serif" w:hAnsi="Times New Roman;serif"/>
          <w:b w:val="false"/>
          <w:color w:val="222222"/>
          <w:sz w:val="20"/>
        </w:rPr>
        <w:t xml:space="preserve">and by </w:t>
      </w:r>
      <w:r>
        <w:rPr>
          <w:rFonts w:ascii="Times New Roman;serif" w:hAnsi="Times New Roman;serif"/>
          <w:b w:val="false"/>
          <w:color w:val="000000"/>
          <w:sz w:val="20"/>
        </w:rPr>
        <w:t xml:space="preserve">12% to $109.5 million </w:t>
      </w:r>
      <w:r>
        <w:rPr>
          <w:rFonts w:ascii="Times New Roman;serif" w:hAnsi="Times New Roman;serif"/>
          <w:b w:val="false"/>
          <w:color w:val="222222"/>
          <w:sz w:val="20"/>
        </w:rPr>
        <w:t xml:space="preserve">for the three and six months ended </w:t>
      </w:r>
      <w:r>
        <w:rPr>
          <w:rFonts w:ascii="Times New Roman;serif" w:hAnsi="Times New Roman;serif"/>
          <w:b w:val="false"/>
          <w:color w:val="000000"/>
          <w:sz w:val="20"/>
        </w:rPr>
        <w:t>June 30, 2026, respectively,</w:t>
      </w:r>
      <w:r>
        <w:rPr>
          <w:color w:val="222222"/>
        </w:rPr>
        <w:t xml:space="preserve"> </w:t>
      </w:r>
      <w:r>
        <w:rPr>
          <w:rFonts w:ascii="Times New Roman;serif" w:hAnsi="Times New Roman;serif"/>
          <w:b w:val="false"/>
          <w:color w:val="222222"/>
          <w:sz w:val="20"/>
        </w:rPr>
        <w:t>from </w:t>
      </w:r>
      <w:r>
        <w:rPr>
          <w:rFonts w:ascii="Times New Roman;serif" w:hAnsi="Times New Roman;serif"/>
          <w:b w:val="false"/>
          <w:color w:val="000000"/>
          <w:sz w:val="20"/>
        </w:rPr>
        <w:t xml:space="preserve">$59.6 million and $124.3 million </w:t>
      </w:r>
      <w:r>
        <w:rPr>
          <w:rFonts w:ascii="Times New Roman;serif" w:hAnsi="Times New Roman;serif"/>
          <w:b w:val="false"/>
          <w:color w:val="222222"/>
          <w:sz w:val="20"/>
        </w:rPr>
        <w:t>for the comparable periods in </w:t>
      </w:r>
      <w:r>
        <w:rPr>
          <w:rFonts w:ascii="Times New Roman;serif" w:hAnsi="Times New Roman;serif"/>
          <w:b w:val="false"/>
          <w:color w:val="000000"/>
          <w:sz w:val="20"/>
        </w:rPr>
        <w:t>2025</w:t>
      </w:r>
      <w:r>
        <w:rPr>
          <w:rFonts w:ascii="Times New Roman;serif" w:hAnsi="Times New Roman;serif"/>
          <w:b w:val="false"/>
          <w:color w:val="222222"/>
          <w:sz w:val="20"/>
        </w:rPr>
        <w:t xml:space="preserve">. This decrease in revenue is due to a decrease in hosted services of </w:t>
      </w:r>
      <w:r>
        <w:rPr>
          <w:rFonts w:ascii="Times New Roman;serif" w:hAnsi="Times New Roman;serif"/>
          <w:b w:val="false"/>
          <w:color w:val="000000"/>
          <w:sz w:val="20"/>
        </w:rPr>
        <w:t xml:space="preserve">$4.7 million </w:t>
      </w:r>
      <w:r>
        <w:rPr>
          <w:rFonts w:ascii="Times New Roman;serif" w:hAnsi="Times New Roman;serif"/>
          <w:b w:val="false"/>
          <w:color w:val="222222"/>
          <w:sz w:val="20"/>
        </w:rPr>
        <w:t xml:space="preserve">and </w:t>
      </w:r>
      <w:r>
        <w:rPr>
          <w:rFonts w:ascii="Times New Roman;serif" w:hAnsi="Times New Roman;serif"/>
          <w:b w:val="false"/>
          <w:color w:val="000000"/>
          <w:sz w:val="20"/>
        </w:rPr>
        <w:t>$10.5 million</w:t>
      </w:r>
      <w:r>
        <w:rPr>
          <w:color w:val="222222"/>
        </w:rPr>
        <w:t xml:space="preserve"> </w:t>
      </w:r>
      <w:r>
        <w:rPr>
          <w:rFonts w:ascii="Times New Roman;serif" w:hAnsi="Times New Roman;serif"/>
          <w:b w:val="false"/>
          <w:color w:val="000000"/>
          <w:sz w:val="20"/>
        </w:rPr>
        <w:t xml:space="preserve">primarily driven by customer cancellations and downsells </w:t>
      </w:r>
      <w:r>
        <w:rPr>
          <w:rFonts w:ascii="Times New Roman;serif" w:hAnsi="Times New Roman;serif"/>
          <w:b w:val="false"/>
          <w:color w:val="222222"/>
          <w:sz w:val="20"/>
        </w:rPr>
        <w:t xml:space="preserve">and a decrease in professional services of </w:t>
      </w:r>
      <w:r>
        <w:rPr>
          <w:rFonts w:ascii="Times New Roman;serif" w:hAnsi="Times New Roman;serif"/>
          <w:b w:val="false"/>
          <w:color w:val="000000"/>
          <w:sz w:val="20"/>
        </w:rPr>
        <w:t xml:space="preserve">$2.4 million </w:t>
      </w:r>
      <w:r>
        <w:rPr>
          <w:rFonts w:ascii="Times New Roman;serif" w:hAnsi="Times New Roman;serif"/>
          <w:b w:val="false"/>
          <w:color w:val="222222"/>
          <w:sz w:val="20"/>
        </w:rPr>
        <w:t xml:space="preserve">and </w:t>
      </w:r>
      <w:r>
        <w:rPr>
          <w:rFonts w:ascii="Times New Roman;serif" w:hAnsi="Times New Roman;serif"/>
          <w:b w:val="false"/>
          <w:color w:val="000000"/>
          <w:sz w:val="20"/>
        </w:rPr>
        <w:t>$4.4 million</w:t>
      </w:r>
      <w:r>
        <w:rPr>
          <w:color w:val="222222"/>
        </w:rPr>
        <w:t xml:space="preserve"> </w:t>
      </w:r>
      <w:r>
        <w:rPr>
          <w:rFonts w:ascii="Times New Roman;serif" w:hAnsi="Times New Roman;serif"/>
          <w:b w:val="false"/>
          <w:color w:val="222222"/>
          <w:sz w:val="20"/>
        </w:rPr>
        <w:t xml:space="preserve">for the three and six months ended </w:t>
      </w:r>
      <w:r>
        <w:rPr>
          <w:rFonts w:ascii="Times New Roman;serif" w:hAnsi="Times New Roman;serif"/>
          <w:b w:val="false"/>
          <w:color w:val="000000"/>
          <w:sz w:val="20"/>
        </w:rPr>
        <w:t>June 30, 2026, respectively</w:t>
      </w:r>
      <w:r>
        <w:rPr>
          <w:rFonts w:ascii="Times New Roman;serif" w:hAnsi="Times New Roman;serif"/>
          <w:b w:val="false"/>
          <w:color w:val="222222"/>
          <w:sz w:val="20"/>
        </w:rPr>
        <w:t xml:space="preserve">. </w:t>
      </w:r>
    </w:p>
    <w:p>
      <w:pPr>
        <w:pStyle w:val="TextBody"/>
        <w:bidi w:val="0"/>
        <w:spacing w:before="0" w:after="0"/>
        <w:ind w:left="0" w:right="0" w:firstLine="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Revenue (exclusive of depreciation and amortization shown separately below)</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pStyle w:val="TextBody"/>
        <w:bidi w:val="0"/>
        <w:spacing w:before="0" w:after="0"/>
        <w:ind w:left="0" w:right="0" w:firstLine="720"/>
        <w:jc w:val="both"/>
        <w:rPr/>
      </w:pPr>
      <w:r>
        <w:rPr/>
      </w:r>
    </w:p>
    <w:tbl>
      <w:tblPr>
        <w:tblW w:w="10896" w:type="dxa"/>
        <w:jc w:val="center"/>
        <w:tblInd w:w="0" w:type="dxa"/>
        <w:tblLayout w:type="fixed"/>
        <w:tblCellMar>
          <w:top w:w="28" w:type="dxa"/>
          <w:left w:w="28" w:type="dxa"/>
          <w:bottom w:w="28" w:type="dxa"/>
          <w:right w:w="28" w:type="dxa"/>
        </w:tblCellMar>
      </w:tblPr>
      <w:tblGrid>
        <w:gridCol w:w="504"/>
        <w:gridCol w:w="257"/>
        <w:gridCol w:w="245"/>
        <w:gridCol w:w="243"/>
        <w:gridCol w:w="223"/>
        <w:gridCol w:w="483"/>
        <w:gridCol w:w="109"/>
        <w:gridCol w:w="109"/>
        <w:gridCol w:w="109"/>
        <w:gridCol w:w="211"/>
        <w:gridCol w:w="193"/>
        <w:gridCol w:w="483"/>
        <w:gridCol w:w="109"/>
        <w:gridCol w:w="109"/>
        <w:gridCol w:w="109"/>
        <w:gridCol w:w="211"/>
        <w:gridCol w:w="631"/>
        <w:gridCol w:w="109"/>
        <w:gridCol w:w="109"/>
        <w:gridCol w:w="109"/>
        <w:gridCol w:w="109"/>
        <w:gridCol w:w="220"/>
        <w:gridCol w:w="220"/>
        <w:gridCol w:w="551"/>
        <w:gridCol w:w="109"/>
        <w:gridCol w:w="109"/>
        <w:gridCol w:w="109"/>
        <w:gridCol w:w="243"/>
        <w:gridCol w:w="223"/>
        <w:gridCol w:w="483"/>
        <w:gridCol w:w="109"/>
        <w:gridCol w:w="109"/>
        <w:gridCol w:w="109"/>
        <w:gridCol w:w="211"/>
        <w:gridCol w:w="193"/>
        <w:gridCol w:w="483"/>
        <w:gridCol w:w="109"/>
        <w:gridCol w:w="109"/>
        <w:gridCol w:w="109"/>
        <w:gridCol w:w="211"/>
        <w:gridCol w:w="631"/>
        <w:gridCol w:w="109"/>
        <w:gridCol w:w="109"/>
        <w:gridCol w:w="109"/>
        <w:gridCol w:w="109"/>
        <w:gridCol w:w="211"/>
        <w:gridCol w:w="211"/>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 decreased by 12% to $15.8 million for the three months ended June 30, 2026 from $18.0 million for the comparable period in 2025. This decrease in expense is primarily attributable to a decrease in software and hosting expenses of $1.4 million, a decrease in business services and outsourced expenses of $0.6 million, and a decrease in salary, stock-based compensation and employee-related expenses of $0.3 million due to restructuring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Cost of revenue decreased</w:t>
      </w:r>
      <w:r>
        <w:rPr>
          <w:color w:val="222222"/>
        </w:rPr>
        <w:t xml:space="preserve"> </w:t>
      </w:r>
      <w:r>
        <w:rPr>
          <w:rFonts w:ascii="Times New Roman;serif" w:hAnsi="Times New Roman;serif"/>
          <w:b w:val="false"/>
          <w:color w:val="222222"/>
          <w:sz w:val="20"/>
        </w:rPr>
        <w:t xml:space="preserve">by </w:t>
      </w:r>
      <w:r>
        <w:rPr>
          <w:rFonts w:ascii="Times New Roman;serif" w:hAnsi="Times New Roman;serif"/>
          <w:b w:val="false"/>
          <w:color w:val="000000"/>
          <w:sz w:val="20"/>
        </w:rPr>
        <w:t>14% to $31.3 million for the six months ended June 30, 2026 from $36.3 million for the comparable period in 2025. This decrease in expense is primarily attributable to a decrease in software and hosting expenses of $2.6 million, a decrease in business services and outsourced expenses of $1.7 million, and a decrease in salary, stock-based compensation and employee-related expenses of $0.7 million due to restructuring activities.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Sales and Marketing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of compensation and related expenses for sales and marketing personnel, as well as advertising, marketing events, public relations, trade show exhibit expenses and allocated occupancy costs and related overhead. </w:t>
      </w:r>
    </w:p>
    <w:p>
      <w:pPr>
        <w:pStyle w:val="TextBody"/>
        <w:bidi w:val="0"/>
        <w:spacing w:before="0" w:after="0"/>
        <w:ind w:left="0" w:right="0" w:firstLine="720"/>
        <w:jc w:val="both"/>
        <w:rPr/>
      </w:pPr>
      <w:r>
        <w:rPr/>
      </w:r>
    </w:p>
    <w:tbl>
      <w:tblPr>
        <w:tblW w:w="10939" w:type="dxa"/>
        <w:jc w:val="center"/>
        <w:tblInd w:w="0" w:type="dxa"/>
        <w:tblLayout w:type="fixed"/>
        <w:tblCellMar>
          <w:top w:w="28" w:type="dxa"/>
          <w:left w:w="28" w:type="dxa"/>
          <w:bottom w:w="28" w:type="dxa"/>
          <w:right w:w="28" w:type="dxa"/>
        </w:tblCellMar>
      </w:tblPr>
      <w:tblGrid>
        <w:gridCol w:w="402"/>
        <w:gridCol w:w="301"/>
        <w:gridCol w:w="303"/>
        <w:gridCol w:w="243"/>
        <w:gridCol w:w="223"/>
        <w:gridCol w:w="483"/>
        <w:gridCol w:w="109"/>
        <w:gridCol w:w="109"/>
        <w:gridCol w:w="109"/>
        <w:gridCol w:w="211"/>
        <w:gridCol w:w="193"/>
        <w:gridCol w:w="483"/>
        <w:gridCol w:w="109"/>
        <w:gridCol w:w="109"/>
        <w:gridCol w:w="109"/>
        <w:gridCol w:w="211"/>
        <w:gridCol w:w="631"/>
        <w:gridCol w:w="109"/>
        <w:gridCol w:w="109"/>
        <w:gridCol w:w="109"/>
        <w:gridCol w:w="109"/>
        <w:gridCol w:w="220"/>
        <w:gridCol w:w="220"/>
        <w:gridCol w:w="551"/>
        <w:gridCol w:w="109"/>
        <w:gridCol w:w="109"/>
        <w:gridCol w:w="109"/>
        <w:gridCol w:w="211"/>
        <w:gridCol w:w="193"/>
        <w:gridCol w:w="483"/>
        <w:gridCol w:w="109"/>
        <w:gridCol w:w="109"/>
        <w:gridCol w:w="109"/>
        <w:gridCol w:w="211"/>
        <w:gridCol w:w="193"/>
        <w:gridCol w:w="483"/>
        <w:gridCol w:w="109"/>
        <w:gridCol w:w="109"/>
        <w:gridCol w:w="109"/>
        <w:gridCol w:w="211"/>
        <w:gridCol w:w="736"/>
        <w:gridCol w:w="109"/>
        <w:gridCol w:w="109"/>
        <w:gridCol w:w="109"/>
        <w:gridCol w:w="109"/>
        <w:gridCol w:w="211"/>
        <w:gridCol w:w="211"/>
        <w:gridCol w:w="614"/>
      </w:tblGrid>
      <w:tr>
        <w:trPr/>
        <w:tc>
          <w:tcPr>
            <w:tcW w:w="40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31% to $13.8 million for the three months ended June 30, 2026 from $19.9 million for the comparable period in 2025. This decrease was primarily attributable to a decrease in salary, stock-based compensation expense and employee-related expenses of $6.1 million due to restructuring activities, and a decrease in software and hosting expenses of $0.5 million, partially offset by an increase in business services and outsourced expenses of $0.4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37% to $27.5 million for the six months ended June 30, 2026 from $43.4 million for the comparable period in 2025. This decrease was primarily attributable to a decrease in salary, stock-based compensation expense and employee-related expenses of $13.8 million due to restructuring activities, a decrease in marketing expenses of $1.0 million, a decrease in software and hosting expenses of $0.9 million, and a decrease in business services and outsourced expenses of $0.3 million.</w:t>
      </w:r>
    </w:p>
    <w:p>
      <w:pPr>
        <w:pStyle w:val="TextBody"/>
        <w:bidi w:val="0"/>
        <w:spacing w:before="0" w:after="0"/>
        <w:ind w:left="0" w:right="0" w:firstLine="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general and administrative expenses consist of compensation and related expenses for executive, accounting, legal, human resources and administrative personnel, professional fees and other general corporate expenses. </w:t>
      </w:r>
    </w:p>
    <w:p>
      <w:pPr>
        <w:pStyle w:val="TextBody"/>
        <w:bidi w:val="0"/>
        <w:spacing w:before="0" w:after="0"/>
        <w:ind w:left="0" w:right="0" w:firstLine="720"/>
        <w:jc w:val="both"/>
        <w:rPr/>
      </w:pPr>
      <w:r>
        <w:rPr/>
      </w:r>
    </w:p>
    <w:tbl>
      <w:tblPr>
        <w:tblW w:w="11312" w:type="dxa"/>
        <w:jc w:val="center"/>
        <w:tblInd w:w="0" w:type="dxa"/>
        <w:tblLayout w:type="fixed"/>
        <w:tblCellMar>
          <w:top w:w="28" w:type="dxa"/>
          <w:left w:w="28" w:type="dxa"/>
          <w:bottom w:w="28" w:type="dxa"/>
          <w:right w:w="28" w:type="dxa"/>
        </w:tblCellMar>
      </w:tblPr>
      <w:tblGrid>
        <w:gridCol w:w="468"/>
        <w:gridCol w:w="411"/>
        <w:gridCol w:w="412"/>
        <w:gridCol w:w="211"/>
        <w:gridCol w:w="193"/>
        <w:gridCol w:w="483"/>
        <w:gridCol w:w="109"/>
        <w:gridCol w:w="109"/>
        <w:gridCol w:w="109"/>
        <w:gridCol w:w="262"/>
        <w:gridCol w:w="204"/>
        <w:gridCol w:w="408"/>
        <w:gridCol w:w="109"/>
        <w:gridCol w:w="109"/>
        <w:gridCol w:w="109"/>
        <w:gridCol w:w="211"/>
        <w:gridCol w:w="721"/>
        <w:gridCol w:w="109"/>
        <w:gridCol w:w="109"/>
        <w:gridCol w:w="109"/>
        <w:gridCol w:w="109"/>
        <w:gridCol w:w="233"/>
        <w:gridCol w:w="233"/>
        <w:gridCol w:w="551"/>
        <w:gridCol w:w="109"/>
        <w:gridCol w:w="109"/>
        <w:gridCol w:w="109"/>
        <w:gridCol w:w="211"/>
        <w:gridCol w:w="193"/>
        <w:gridCol w:w="483"/>
        <w:gridCol w:w="109"/>
        <w:gridCol w:w="109"/>
        <w:gridCol w:w="109"/>
        <w:gridCol w:w="243"/>
        <w:gridCol w:w="223"/>
        <w:gridCol w:w="483"/>
        <w:gridCol w:w="109"/>
        <w:gridCol w:w="109"/>
        <w:gridCol w:w="109"/>
        <w:gridCol w:w="211"/>
        <w:gridCol w:w="721"/>
        <w:gridCol w:w="109"/>
        <w:gridCol w:w="109"/>
        <w:gridCol w:w="109"/>
        <w:gridCol w:w="109"/>
        <w:gridCol w:w="211"/>
        <w:gridCol w:w="211"/>
        <w:gridCol w:w="61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General and administrative expenses increased by 202% to $24.0 million for the three months ended June 30, 2026 from $7.9 million </w:t>
      </w:r>
      <w:r>
        <w:rPr>
          <w:rFonts w:ascii="Times New Roman;serif" w:hAnsi="Times New Roman;serif"/>
          <w:b w:val="false"/>
          <w:color w:val="000000"/>
          <w:sz w:val="20"/>
          <w:shd w:fill="FFFFFF" w:val="clear"/>
        </w:rPr>
        <w:t>for the comparable p</w:t>
      </w:r>
      <w:r>
        <w:rPr>
          <w:rFonts w:ascii="Times New Roman;serif" w:hAnsi="Times New Roman;serif"/>
          <w:b w:val="false"/>
          <w:color w:val="000000"/>
          <w:sz w:val="20"/>
        </w:rPr>
        <w:t>eriod in 2025. This is primarily attributable to merger-related costs of $13.4 million, an increase in other legal and consulting costs of $2.6 million, and an increase in bad debt expense of $2.2 million, partially offset by a decrease in salary, stock-based compensation expense and employee-related expenses of $2.2 million due to restructuring activities.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46% to $36.1 million for the six months ended June 30, 2026 from $24.7 million for the comparable period in 2025. This is primarily attributable to merger-related costs of $15.0 million and an increase in bad debt expense of $2.2 million, partially offset by a decrease in salary, stock-based compensation expense and employee-related expenses of $3.9 million due to restructuring activities and a decrease in other legal and consulting costs of $1.9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Product Development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expenses consist of compensation and related expenses for product development personnel as well as allocated occupancy costs and related overhead and outsourced labor and expenses for testing new versions of our software. </w:t>
      </w:r>
    </w:p>
    <w:p>
      <w:pPr>
        <w:pStyle w:val="TextBody"/>
        <w:bidi w:val="0"/>
        <w:spacing w:before="0" w:after="0"/>
        <w:ind w:left="0" w:right="0" w:firstLine="720"/>
        <w:jc w:val="both"/>
        <w:rPr/>
      </w:pPr>
      <w:r>
        <w:rPr/>
      </w:r>
    </w:p>
    <w:tbl>
      <w:tblPr>
        <w:tblW w:w="11200" w:type="dxa"/>
        <w:jc w:val="left"/>
        <w:tblInd w:w="0" w:type="dxa"/>
        <w:tblLayout w:type="fixed"/>
        <w:tblCellMar>
          <w:top w:w="28" w:type="dxa"/>
          <w:left w:w="28" w:type="dxa"/>
          <w:bottom w:w="28" w:type="dxa"/>
          <w:right w:w="28" w:type="dxa"/>
        </w:tblCellMar>
      </w:tblPr>
      <w:tblGrid>
        <w:gridCol w:w="430"/>
        <w:gridCol w:w="377"/>
        <w:gridCol w:w="379"/>
        <w:gridCol w:w="243"/>
        <w:gridCol w:w="223"/>
        <w:gridCol w:w="483"/>
        <w:gridCol w:w="109"/>
        <w:gridCol w:w="109"/>
        <w:gridCol w:w="109"/>
        <w:gridCol w:w="243"/>
        <w:gridCol w:w="223"/>
        <w:gridCol w:w="483"/>
        <w:gridCol w:w="109"/>
        <w:gridCol w:w="109"/>
        <w:gridCol w:w="109"/>
        <w:gridCol w:w="211"/>
        <w:gridCol w:w="631"/>
        <w:gridCol w:w="109"/>
        <w:gridCol w:w="109"/>
        <w:gridCol w:w="109"/>
        <w:gridCol w:w="109"/>
        <w:gridCol w:w="220"/>
        <w:gridCol w:w="220"/>
        <w:gridCol w:w="551"/>
        <w:gridCol w:w="109"/>
        <w:gridCol w:w="109"/>
        <w:gridCol w:w="109"/>
        <w:gridCol w:w="243"/>
        <w:gridCol w:w="223"/>
        <w:gridCol w:w="483"/>
        <w:gridCol w:w="109"/>
        <w:gridCol w:w="109"/>
        <w:gridCol w:w="109"/>
        <w:gridCol w:w="243"/>
        <w:gridCol w:w="223"/>
        <w:gridCol w:w="483"/>
        <w:gridCol w:w="109"/>
        <w:gridCol w:w="109"/>
        <w:gridCol w:w="109"/>
        <w:gridCol w:w="211"/>
        <w:gridCol w:w="631"/>
        <w:gridCol w:w="109"/>
        <w:gridCol w:w="109"/>
        <w:gridCol w:w="109"/>
        <w:gridCol w:w="109"/>
        <w:gridCol w:w="211"/>
        <w:gridCol w:w="211"/>
        <w:gridCol w:w="61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Product development costs decreased by 25% to $10.4 million for the three months ended June 30, 2026 from $13.8 million for</w:t>
      </w:r>
      <w:r>
        <w:rPr>
          <w:color w:val="000000"/>
          <w:shd w:fill="FFFFFF" w:val="clear"/>
        </w:rPr>
        <w:t xml:space="preserve"> </w:t>
      </w:r>
      <w:r>
        <w:rPr>
          <w:rFonts w:ascii="Times New Roman;serif" w:hAnsi="Times New Roman;serif"/>
          <w:b w:val="false"/>
          <w:color w:val="000000"/>
          <w:sz w:val="20"/>
          <w:shd w:fill="FFFFFF" w:val="clear"/>
        </w:rPr>
        <w:t xml:space="preserve">the comparable period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This decrease is primarily related to </w:t>
      </w:r>
      <w:r>
        <w:rPr>
          <w:rFonts w:ascii="Times New Roman;serif" w:hAnsi="Times New Roman;serif"/>
          <w:b w:val="false"/>
          <w:color w:val="000000"/>
          <w:sz w:val="20"/>
        </w:rPr>
        <w:t xml:space="preserve">a decrease in salary, stock-based compensation expense and employee-related expenses of $3.9 million due to restructuring activities, partially offset by an increase in software and hosting expenses of $0.4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Product development costs decreased by 24% to $22.6 million for the six months ended June 30, 2026 from $29.9 million for the comparable period in 2025. </w:t>
      </w:r>
      <w:r>
        <w:rPr>
          <w:rFonts w:ascii="Times New Roman;serif" w:hAnsi="Times New Roman;serif"/>
          <w:b w:val="false"/>
          <w:color w:val="000000"/>
          <w:sz w:val="20"/>
          <w:shd w:fill="FFFFFF" w:val="clear"/>
        </w:rPr>
        <w:t xml:space="preserve">This decrease is primarily related to </w:t>
      </w:r>
      <w:r>
        <w:rPr>
          <w:rFonts w:ascii="Times New Roman;serif" w:hAnsi="Times New Roman;serif"/>
          <w:b w:val="false"/>
          <w:color w:val="000000"/>
          <w:sz w:val="20"/>
        </w:rPr>
        <w:t>a decrease in salary, stock-based compensation expense and employee-related expenses of $7.6 million due to restructuring activities, partially offset by an increase in software and hosting expense of $0.5 million.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continued to make investments in public cloud migration, and in the Conversational Cloud. While innovation remains a core component of our strategy, we are operating in a competitive environment characterized by aggressive investment in artificial intelligence and other technological innovation by competitors with significant resources and investment capital. For the three and six months ended June 30, 2026, $2.4 million and $4.8 million was capitalized, respectively, compared to $3.0 million and $6.3 million, respectively, for the comparable periods in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w:t>
      </w:r>
    </w:p>
    <w:p>
      <w:pPr>
        <w:pStyle w:val="TextBody"/>
        <w:bidi w:val="0"/>
        <w:spacing w:before="0" w:after="0"/>
        <w:jc w:val="both"/>
        <w:rPr/>
      </w:pPr>
      <w:r>
        <w:rPr/>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depreciation and amortization expense relates to depreciation and amortization of our property and equipment and to amortization of our intangible assets and finance leases. </w:t>
      </w:r>
    </w:p>
    <w:tbl>
      <w:tblPr>
        <w:tblW w:w="11331" w:type="dxa"/>
        <w:jc w:val="center"/>
        <w:tblInd w:w="0" w:type="dxa"/>
        <w:tblLayout w:type="fixed"/>
        <w:tblCellMar>
          <w:top w:w="28" w:type="dxa"/>
          <w:left w:w="28" w:type="dxa"/>
          <w:bottom w:w="28" w:type="dxa"/>
          <w:right w:w="28" w:type="dxa"/>
        </w:tblCellMar>
      </w:tblPr>
      <w:tblGrid>
        <w:gridCol w:w="424"/>
        <w:gridCol w:w="373"/>
        <w:gridCol w:w="374"/>
        <w:gridCol w:w="211"/>
        <w:gridCol w:w="163"/>
        <w:gridCol w:w="408"/>
        <w:gridCol w:w="109"/>
        <w:gridCol w:w="109"/>
        <w:gridCol w:w="109"/>
        <w:gridCol w:w="211"/>
        <w:gridCol w:w="163"/>
        <w:gridCol w:w="408"/>
        <w:gridCol w:w="109"/>
        <w:gridCol w:w="109"/>
        <w:gridCol w:w="109"/>
        <w:gridCol w:w="237"/>
        <w:gridCol w:w="541"/>
        <w:gridCol w:w="123"/>
        <w:gridCol w:w="109"/>
        <w:gridCol w:w="109"/>
        <w:gridCol w:w="109"/>
        <w:gridCol w:w="220"/>
        <w:gridCol w:w="220"/>
        <w:gridCol w:w="551"/>
        <w:gridCol w:w="109"/>
        <w:gridCol w:w="109"/>
        <w:gridCol w:w="109"/>
        <w:gridCol w:w="211"/>
        <w:gridCol w:w="193"/>
        <w:gridCol w:w="483"/>
        <w:gridCol w:w="109"/>
        <w:gridCol w:w="109"/>
        <w:gridCol w:w="109"/>
        <w:gridCol w:w="211"/>
        <w:gridCol w:w="193"/>
        <w:gridCol w:w="483"/>
        <w:gridCol w:w="109"/>
        <w:gridCol w:w="109"/>
        <w:gridCol w:w="109"/>
        <w:gridCol w:w="211"/>
        <w:gridCol w:w="631"/>
        <w:gridCol w:w="109"/>
        <w:gridCol w:w="109"/>
        <w:gridCol w:w="109"/>
        <w:gridCol w:w="109"/>
        <w:gridCol w:w="220"/>
        <w:gridCol w:w="220"/>
        <w:gridCol w:w="551"/>
        <w:gridCol w:w="109"/>
        <w:gridCol w:w="109"/>
        <w:gridCol w:w="109"/>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Total depreciation and amortization expense decreased by 10% to $5.2 million for the three months ended June 30, 2026 from $5.8 million for the comparable period in 2025. </w:t>
      </w:r>
      <w:r>
        <w:rPr>
          <w:rFonts w:ascii="Times New Roman;serif" w:hAnsi="Times New Roman;serif"/>
          <w:b w:val="false"/>
          <w:color w:val="000000"/>
          <w:sz w:val="20"/>
          <w:shd w:fill="FFFFFF" w:val="clear"/>
        </w:rPr>
        <w:t>There were no impairments of property and equipment in 2025 and for the first six months of 2026, but we recorded a non-cash impairment charge of $2.1 million related to patents in the fourth quarter of 2025 as a result of our annual impairment test, thus reducing our amortizable asset balance.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 decreased by 11% to $10.3 million for the six months ended June 30, 2026 from $11.6 million for the comparable period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Impairment of Goodwill</w:t>
      </w:r>
    </w:p>
    <w:p>
      <w:pPr>
        <w:pStyle w:val="TextBody"/>
        <w:bidi w:val="0"/>
        <w:spacing w:before="0" w:after="0"/>
        <w:ind w:left="0" w:right="0" w:firstLine="480"/>
        <w:jc w:val="both"/>
        <w:rPr/>
      </w:pPr>
      <w:r>
        <w:rPr/>
      </w:r>
    </w:p>
    <w:tbl>
      <w:tblPr>
        <w:tblW w:w="11625" w:type="dxa"/>
        <w:jc w:val="left"/>
        <w:tblInd w:w="0" w:type="dxa"/>
        <w:tblLayout w:type="fixed"/>
        <w:tblCellMar>
          <w:top w:w="28" w:type="dxa"/>
          <w:left w:w="28" w:type="dxa"/>
          <w:bottom w:w="28" w:type="dxa"/>
          <w:right w:w="28" w:type="dxa"/>
        </w:tblCellMar>
      </w:tblPr>
      <w:tblGrid>
        <w:gridCol w:w="381"/>
        <w:gridCol w:w="334"/>
        <w:gridCol w:w="336"/>
        <w:gridCol w:w="211"/>
        <w:gridCol w:w="193"/>
        <w:gridCol w:w="483"/>
        <w:gridCol w:w="109"/>
        <w:gridCol w:w="109"/>
        <w:gridCol w:w="109"/>
        <w:gridCol w:w="267"/>
        <w:gridCol w:w="139"/>
        <w:gridCol w:w="271"/>
        <w:gridCol w:w="109"/>
        <w:gridCol w:w="109"/>
        <w:gridCol w:w="109"/>
        <w:gridCol w:w="443"/>
        <w:gridCol w:w="336"/>
        <w:gridCol w:w="340"/>
        <w:gridCol w:w="109"/>
        <w:gridCol w:w="109"/>
        <w:gridCol w:w="109"/>
        <w:gridCol w:w="220"/>
        <w:gridCol w:w="220"/>
        <w:gridCol w:w="551"/>
        <w:gridCol w:w="109"/>
        <w:gridCol w:w="109"/>
        <w:gridCol w:w="109"/>
        <w:gridCol w:w="211"/>
        <w:gridCol w:w="721"/>
        <w:gridCol w:w="271"/>
        <w:gridCol w:w="109"/>
        <w:gridCol w:w="109"/>
        <w:gridCol w:w="109"/>
        <w:gridCol w:w="267"/>
        <w:gridCol w:w="139"/>
        <w:gridCol w:w="271"/>
        <w:gridCol w:w="109"/>
        <w:gridCol w:w="109"/>
        <w:gridCol w:w="109"/>
        <w:gridCol w:w="211"/>
        <w:gridCol w:w="721"/>
        <w:gridCol w:w="109"/>
        <w:gridCol w:w="109"/>
        <w:gridCol w:w="109"/>
        <w:gridCol w:w="109"/>
        <w:gridCol w:w="220"/>
        <w:gridCol w:w="220"/>
        <w:gridCol w:w="551"/>
        <w:gridCol w:w="109"/>
        <w:gridCol w:w="109"/>
        <w:gridCol w:w="109"/>
        <w:gridCol w:w="109"/>
        <w:gridCol w:w="109"/>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impairment charge during the three and six months ended June 30, 2026 was a result of several triggering events including the execution of the Original Merger Agreement and Notes Restructuring Agreement in April 2026, and a decline in both LivePerson and SoundHound common stock prices. See Note 5 – </w:t>
      </w:r>
      <w:r>
        <w:rPr>
          <w:rFonts w:ascii="Times New Roman;serif" w:hAnsi="Times New Roman;serif"/>
          <w:b w:val="false"/>
          <w:i/>
          <w:color w:val="000000"/>
          <w:sz w:val="20"/>
        </w:rPr>
        <w:t>Goodwill and Intangible Assets, Net</w:t>
      </w:r>
      <w:r>
        <w:rPr>
          <w:color w:val="000000"/>
        </w:rPr>
        <w:t xml:space="preserve"> </w:t>
      </w:r>
      <w:r>
        <w:rPr>
          <w:rFonts w:ascii="Times New Roman;serif" w:hAnsi="Times New Roman;serif"/>
          <w:b w:val="false"/>
          <w:color w:val="000000"/>
          <w:sz w:val="20"/>
        </w:rPr>
        <w:t xml:space="preserve">under Item 1 of this Quarterly Report on Form 10-Q for additional information about the circumstances surrounding the goodwill impairment charge. There were no goodwill impairment charges for the three months ended March 31, 2026 and the three and six months ended June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(Reversals) Costs, Net</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restructuring initiatives to realign our cost structure with our current business model, in which we have flattened the organization to align to more efficient sales and service support. While the Company’s restructuring efforts are ongoing, the 2025 restructuring activities were substantially completed by December 31, 2025.</w:t>
      </w:r>
    </w:p>
    <w:tbl>
      <w:tblPr>
        <w:tblW w:w="10983" w:type="dxa"/>
        <w:jc w:val="center"/>
        <w:tblInd w:w="0" w:type="dxa"/>
        <w:tblLayout w:type="fixed"/>
        <w:tblCellMar>
          <w:top w:w="28" w:type="dxa"/>
          <w:left w:w="28" w:type="dxa"/>
          <w:bottom w:w="28" w:type="dxa"/>
          <w:right w:w="28" w:type="dxa"/>
        </w:tblCellMar>
      </w:tblPr>
      <w:tblGrid>
        <w:gridCol w:w="446"/>
        <w:gridCol w:w="392"/>
        <w:gridCol w:w="393"/>
        <w:gridCol w:w="211"/>
        <w:gridCol w:w="137"/>
        <w:gridCol w:w="344"/>
        <w:gridCol w:w="109"/>
        <w:gridCol w:w="109"/>
        <w:gridCol w:w="109"/>
        <w:gridCol w:w="211"/>
        <w:gridCol w:w="120"/>
        <w:gridCol w:w="301"/>
        <w:gridCol w:w="109"/>
        <w:gridCol w:w="109"/>
        <w:gridCol w:w="109"/>
        <w:gridCol w:w="211"/>
        <w:gridCol w:w="631"/>
        <w:gridCol w:w="109"/>
        <w:gridCol w:w="109"/>
        <w:gridCol w:w="109"/>
        <w:gridCol w:w="109"/>
        <w:gridCol w:w="240"/>
        <w:gridCol w:w="241"/>
        <w:gridCol w:w="551"/>
        <w:gridCol w:w="109"/>
        <w:gridCol w:w="109"/>
        <w:gridCol w:w="109"/>
        <w:gridCol w:w="211"/>
        <w:gridCol w:w="137"/>
        <w:gridCol w:w="344"/>
        <w:gridCol w:w="109"/>
        <w:gridCol w:w="109"/>
        <w:gridCol w:w="109"/>
        <w:gridCol w:w="211"/>
        <w:gridCol w:w="163"/>
        <w:gridCol w:w="408"/>
        <w:gridCol w:w="109"/>
        <w:gridCol w:w="109"/>
        <w:gridCol w:w="109"/>
        <w:gridCol w:w="211"/>
        <w:gridCol w:w="631"/>
        <w:gridCol w:w="109"/>
        <w:gridCol w:w="109"/>
        <w:gridCol w:w="109"/>
        <w:gridCol w:w="109"/>
        <w:gridCol w:w="240"/>
        <w:gridCol w:w="241"/>
        <w:gridCol w:w="551"/>
        <w:gridCol w:w="109"/>
        <w:gridCol w:w="109"/>
        <w:gridCol w:w="109"/>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(reversals) costs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net reversals in the three and six months ended June 30, 2026 were related to settlement of lease contracts of $0.5 million, with the remainder related to severance and other associated (reversals) costs,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costs in the three and six months ended June 30, 2025 were related to severance and other associated costs for the 2025 restructuring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Total Other Expense, net</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represents interest expense from our senior notes, and amortization of debt issuance costs and debt discount. Interest income represents interest earned from cash deposits. Other income (expense), net consists primarily of fair value adjustments for our Warrants and foreign currency gains and losses. </w:t>
      </w:r>
    </w:p>
    <w:p>
      <w:pPr>
        <w:pStyle w:val="TextBody"/>
        <w:bidi w:val="0"/>
        <w:spacing w:before="0" w:after="0"/>
        <w:ind w:left="0" w:right="0" w:firstLine="720"/>
        <w:jc w:val="both"/>
        <w:rPr/>
      </w:pPr>
      <w:r>
        <w:rPr/>
      </w:r>
    </w:p>
    <w:tbl>
      <w:tblPr>
        <w:tblW w:w="12053" w:type="dxa"/>
        <w:jc w:val="center"/>
        <w:tblInd w:w="0" w:type="dxa"/>
        <w:tblLayout w:type="fixed"/>
        <w:tblCellMar>
          <w:top w:w="28" w:type="dxa"/>
          <w:left w:w="28" w:type="dxa"/>
          <w:bottom w:w="28" w:type="dxa"/>
          <w:right w:w="28" w:type="dxa"/>
        </w:tblCellMar>
      </w:tblPr>
      <w:tblGrid>
        <w:gridCol w:w="516"/>
        <w:gridCol w:w="390"/>
        <w:gridCol w:w="250"/>
        <w:gridCol w:w="211"/>
        <w:gridCol w:w="631"/>
        <w:gridCol w:w="109"/>
        <w:gridCol w:w="109"/>
        <w:gridCol w:w="109"/>
        <w:gridCol w:w="109"/>
        <w:gridCol w:w="211"/>
        <w:gridCol w:w="631"/>
        <w:gridCol w:w="109"/>
        <w:gridCol w:w="109"/>
        <w:gridCol w:w="109"/>
        <w:gridCol w:w="109"/>
        <w:gridCol w:w="211"/>
        <w:gridCol w:w="616"/>
        <w:gridCol w:w="109"/>
        <w:gridCol w:w="109"/>
        <w:gridCol w:w="109"/>
        <w:gridCol w:w="109"/>
        <w:gridCol w:w="233"/>
        <w:gridCol w:w="233"/>
        <w:gridCol w:w="551"/>
        <w:gridCol w:w="109"/>
        <w:gridCol w:w="109"/>
        <w:gridCol w:w="109"/>
        <w:gridCol w:w="211"/>
        <w:gridCol w:w="736"/>
        <w:gridCol w:w="109"/>
        <w:gridCol w:w="109"/>
        <w:gridCol w:w="109"/>
        <w:gridCol w:w="109"/>
        <w:gridCol w:w="211"/>
        <w:gridCol w:w="736"/>
        <w:gridCol w:w="109"/>
        <w:gridCol w:w="109"/>
        <w:gridCol w:w="109"/>
        <w:gridCol w:w="109"/>
        <w:gridCol w:w="211"/>
        <w:gridCol w:w="631"/>
        <w:gridCol w:w="109"/>
        <w:gridCol w:w="109"/>
        <w:gridCol w:w="109"/>
        <w:gridCol w:w="109"/>
        <w:gridCol w:w="220"/>
        <w:gridCol w:w="220"/>
        <w:gridCol w:w="551"/>
        <w:gridCol w:w="109"/>
        <w:gridCol w:w="109"/>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troubled debt restructuring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other expense, net improved by 51% to $4.4 million for the three months ended June 30, 2026 from $8.9 million for the comparable period in 2025. This improvement was primarily due to a $1.9 million gain on the fair value adjustment of the Warrants compared to a $3.0 million loss during the second quarter of fiscal 2025, and the $2.2 million gain on troubled debt restructuring related to the repurchase of a portion of the 2026 Notes in April 2026. These improvements were partially offset by lower interest income earned on a lower cash balance.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other expense, net increased by 74% to $11.2 million for the six months ended June 30, 2026 from $6.4 million for the comparable period in 2025. This was primarily due to a $3.0 million gain on the fair value adjustment of the Warrants in 2026 compared to a $5.8 million gain in 2025, higher interest expense due to the terms of the troubled debt restructuring in September 2025, and lower interest income earned on a lower cash balance. These were partially offset by the $2.2 million gain on troubled debt restructuring related to the repurchase of a portion of the 2026 Notes in April 2026.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ind w:left="0" w:right="0" w:firstLine="480"/>
        <w:jc w:val="both"/>
        <w:rPr/>
      </w:pPr>
      <w:r>
        <w:rPr/>
      </w:r>
    </w:p>
    <w:tbl>
      <w:tblPr>
        <w:tblW w:w="10888" w:type="dxa"/>
        <w:jc w:val="center"/>
        <w:tblInd w:w="0" w:type="dxa"/>
        <w:tblLayout w:type="fixed"/>
        <w:tblCellMar>
          <w:top w:w="28" w:type="dxa"/>
          <w:left w:w="28" w:type="dxa"/>
          <w:bottom w:w="28" w:type="dxa"/>
          <w:right w:w="28" w:type="dxa"/>
        </w:tblCellMar>
      </w:tblPr>
      <w:tblGrid>
        <w:gridCol w:w="326"/>
        <w:gridCol w:w="287"/>
        <w:gridCol w:w="288"/>
        <w:gridCol w:w="211"/>
        <w:gridCol w:w="466"/>
        <w:gridCol w:w="109"/>
        <w:gridCol w:w="109"/>
        <w:gridCol w:w="109"/>
        <w:gridCol w:w="109"/>
        <w:gridCol w:w="211"/>
        <w:gridCol w:w="466"/>
        <w:gridCol w:w="109"/>
        <w:gridCol w:w="109"/>
        <w:gridCol w:w="109"/>
        <w:gridCol w:w="109"/>
        <w:gridCol w:w="279"/>
        <w:gridCol w:w="477"/>
        <w:gridCol w:w="145"/>
        <w:gridCol w:w="109"/>
        <w:gridCol w:w="109"/>
        <w:gridCol w:w="109"/>
        <w:gridCol w:w="220"/>
        <w:gridCol w:w="220"/>
        <w:gridCol w:w="551"/>
        <w:gridCol w:w="109"/>
        <w:gridCol w:w="109"/>
        <w:gridCol w:w="109"/>
        <w:gridCol w:w="211"/>
        <w:gridCol w:w="466"/>
        <w:gridCol w:w="109"/>
        <w:gridCol w:w="109"/>
        <w:gridCol w:w="109"/>
        <w:gridCol w:w="109"/>
        <w:gridCol w:w="211"/>
        <w:gridCol w:w="361"/>
        <w:gridCol w:w="109"/>
        <w:gridCol w:w="109"/>
        <w:gridCol w:w="109"/>
        <w:gridCol w:w="109"/>
        <w:gridCol w:w="241"/>
        <w:gridCol w:w="534"/>
        <w:gridCol w:w="126"/>
        <w:gridCol w:w="109"/>
        <w:gridCol w:w="109"/>
        <w:gridCol w:w="109"/>
        <w:gridCol w:w="308"/>
        <w:gridCol w:w="308"/>
        <w:gridCol w:w="551"/>
        <w:gridCol w:w="109"/>
        <w:gridCol w:w="109"/>
        <w:gridCol w:w="109"/>
        <w:gridCol w:w="109"/>
        <w:gridCol w:w="109"/>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Provision for income taxes was $0.5 million and $0.8 million for the three and six months ended June 30, 2026, respectively, compared to $0.4 million and less than $0.1 million for the comparable periods in 2025. </w:t>
      </w:r>
      <w:r>
        <w:rPr>
          <w:rFonts w:ascii="Times New Roman;serif" w:hAnsi="Times New Roman;serif"/>
          <w:b w:val="false"/>
          <w:color w:val="000000"/>
          <w:sz w:val="20"/>
          <w:shd w:fill="FFFFFF" w:val="clear"/>
        </w:rPr>
        <w:t>Our consolidated effective tax rate was impacted by the statutory income tax rates applicable to each of the jurisdictions in which we operate, valuation allowance recorded against losses generated in the U.S. and Germany, UK stock compensation windfall, and changes to unrecognized tax benefits in Israel. The overall tax provision recorded represents tax on non-U.S. earnings in the various jurisdictions in which we operate and the provision for U.S. state and local impacts. The total tax expense associated with non-U.S. jurisdictions is relatively consistent between periods.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Company’s cash flows for the six months ended June 30, 2026 and 2025:</w:t>
      </w:r>
    </w:p>
    <w:p>
      <w:pPr>
        <w:pStyle w:val="TextBody"/>
        <w:bidi w:val="0"/>
        <w:spacing w:before="0" w:after="0"/>
        <w:ind w:left="0" w:right="0" w:firstLine="480"/>
        <w:jc w:val="both"/>
        <w:rPr/>
      </w:pPr>
      <w:r>
        <w:rPr/>
      </w:r>
    </w:p>
    <w:tbl>
      <w:tblPr>
        <w:tblW w:w="7403" w:type="dxa"/>
        <w:jc w:val="center"/>
        <w:tblInd w:w="0" w:type="dxa"/>
        <w:tblLayout w:type="fixed"/>
        <w:tblCellMar>
          <w:top w:w="28" w:type="dxa"/>
          <w:left w:w="28" w:type="dxa"/>
          <w:bottom w:w="28" w:type="dxa"/>
          <w:right w:w="28" w:type="dxa"/>
        </w:tblCellMar>
      </w:tblPr>
      <w:tblGrid>
        <w:gridCol w:w="1766"/>
        <w:gridCol w:w="1552"/>
        <w:gridCol w:w="1556"/>
        <w:gridCol w:w="211"/>
        <w:gridCol w:w="721"/>
        <w:gridCol w:w="109"/>
        <w:gridCol w:w="109"/>
        <w:gridCol w:w="109"/>
        <w:gridCol w:w="109"/>
        <w:gridCol w:w="211"/>
        <w:gridCol w:w="796"/>
        <w:gridCol w:w="154"/>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 thousands)</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Consolidated Statements of Cash Flows Data: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June 30, 2026, we had approximatel</w:t>
      </w:r>
      <w:r>
        <w:rPr>
          <w:rFonts w:ascii="Times New Roman;serif" w:hAnsi="Times New Roman;serif"/>
          <w:b w:val="false"/>
          <w:color w:val="000000"/>
          <w:sz w:val="20"/>
          <w:shd w:fill="FFFFFF" w:val="clear"/>
        </w:rPr>
        <w:t xml:space="preserve">y $96.7 million </w:t>
      </w:r>
      <w:r>
        <w:rPr>
          <w:rFonts w:ascii="Times New Roman;serif" w:hAnsi="Times New Roman;serif"/>
          <w:b w:val="false"/>
          <w:color w:val="000000"/>
          <w:sz w:val="20"/>
        </w:rPr>
        <w:t xml:space="preserve">in cash and cash equivalents, an increase of $1.7 million from December 31, 2025. The increase is primarily attributable to favorable working capital management during the six months ended June 30, 2026. </w:t>
      </w:r>
    </w:p>
    <w:p>
      <w:pPr>
        <w:pStyle w:val="TextBody"/>
        <w:bidi w:val="0"/>
        <w:spacing w:before="0" w:after="0"/>
        <w:ind w:left="0" w:right="0" w:firstLine="720"/>
        <w:jc w:val="both"/>
        <w:rPr/>
      </w:pPr>
      <w:r>
        <w:rPr/>
      </w:r>
    </w:p>
    <w:p>
      <w:pPr>
        <w:pStyle w:val="TextBody"/>
        <w:bidi w:val="0"/>
        <w:spacing w:lineRule="auto" w:line="256"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$10.8 million for the six months ended June 30, 2026. Our net loss of $81.4 million includes the effect of the goodwill impairment of $51.8 million, non-cash expenses of depreciation and amortization of $10.3 million, interest expense of $8.2 million, stock-based compensation of $4.6 million, amortization of debt issuance costs and accretion of debt discount of $4.2 million, and allowance for credit losses of $2.1 million, partially offset by a gain from the change in the fair value of our Warrants of $3.0 million and a gain on troubled debt restructuring of $2.2 million. Net cash provided by operating activities was further driven by an increase in accounts payable, accrued expenses and other current liabilities of $11.4 million, a decrease in accounts receivable of $7.3 million, and a decrease in contract acquisition costs of $5.8 million, partially offset by a decrease in deferred revenue of $7.5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Net cash used in operating activities was $14.8 million for the six months ended June 30, 2025. Our net loss of $29.8 million includes the effect of non-cash expenses of depreciation and amortization of $11.6 million, stock-based compensation of $9.0 million, interest expense of $7.7 million, and amortization of debt issuance costs and accretion of debt discount of $3.7 million, partially offset by a gain from the change in the fair value of our Warrants of $5.8 million. Net cash used in operating activities was further driven by an increase in prepaid expenses and other current assets of $25.3 million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a decrease in deferred revenue of $2.1 million, partially offset by a decrease in accounts receivable of $5.7 million, a decrease in contract acquisition costs of $4.2 million, and an increase in accounts payable, accrued expenses and other current liabilities of $6.4 million.</w:t>
      </w:r>
    </w:p>
    <w:p>
      <w:pPr>
        <w:pStyle w:val="TextBody"/>
        <w:bidi w:val="0"/>
        <w:spacing w:before="0" w:after="0"/>
        <w:ind w:left="0" w:right="0" w:firstLine="720"/>
        <w:jc w:val="both"/>
        <w:rPr/>
      </w:pPr>
      <w:r>
        <w:rPr/>
      </w:r>
    </w:p>
    <w:p>
      <w:pPr>
        <w:pStyle w:val="TextBody"/>
        <w:bidi w:val="0"/>
        <w:spacing w:lineRule="auto" w:line="256"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was $5.6 million for the six months ended June 30, 2026, and was primarily driven by purchases of property and equipment and capitalization of internal-use software development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Net cash used in investing activities was $7.9 million for the six months ended June 30, 2025, and was primarily driven by purchases of property and equipment and capitalization of internal-use software development costs. </w:t>
      </w:r>
      <w:r>
        <w:rPr>
          <w:color w:val="000000"/>
        </w:rPr>
        <w:t> </w:t>
      </w:r>
    </w:p>
    <w:p>
      <w:pPr>
        <w:pStyle w:val="TextBody"/>
        <w:bidi w:val="0"/>
        <w:spacing w:before="0" w:after="0"/>
        <w:ind w:left="0" w:right="0" w:firstLine="720"/>
        <w:jc w:val="both"/>
        <w:rPr/>
      </w:pPr>
      <w:r>
        <w:rPr/>
      </w:r>
    </w:p>
    <w:p>
      <w:pPr>
        <w:pStyle w:val="TextBody"/>
        <w:bidi w:val="0"/>
        <w:spacing w:lineRule="auto" w:line="256"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Net cash used in financing activities was </w:t>
      </w:r>
      <w:r>
        <w:rPr>
          <w:rFonts w:ascii="Times New Roman;serif" w:hAnsi="Times New Roman;serif"/>
          <w:b w:val="false"/>
          <w:color w:val="000000"/>
          <w:sz w:val="20"/>
          <w:shd w:fill="FFFFFF" w:val="clear"/>
        </w:rPr>
        <w:t>$2.8 million</w:t>
      </w:r>
      <w:r>
        <w:rPr>
          <w:color w:val="000000"/>
        </w:rPr>
        <w:t xml:space="preserve"> </w:t>
      </w:r>
      <w:r>
        <w:rPr>
          <w:rFonts w:ascii="Times New Roman;serif" w:hAnsi="Times New Roman;serif"/>
          <w:b w:val="false"/>
          <w:color w:val="000000"/>
          <w:sz w:val="20"/>
        </w:rPr>
        <w:t xml:space="preserve">for the six months ended June 30, 2026, and was primarily driven by the repurchase of a portion of our 2026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Net cash provided by financing activities was </w:t>
      </w:r>
      <w:r>
        <w:rPr>
          <w:rFonts w:ascii="Times New Roman;serif" w:hAnsi="Times New Roman;serif"/>
          <w:b w:val="false"/>
          <w:color w:val="000000"/>
          <w:sz w:val="20"/>
          <w:shd w:fill="FFFFFF" w:val="clear"/>
        </w:rPr>
        <w:t>$0.4 million</w:t>
      </w:r>
      <w:r>
        <w:rPr>
          <w:color w:val="000000"/>
        </w:rPr>
        <w:t xml:space="preserve"> </w:t>
      </w:r>
      <w:r>
        <w:rPr>
          <w:rFonts w:ascii="Times New Roman;serif" w:hAnsi="Times New Roman;serif"/>
          <w:b w:val="false"/>
          <w:color w:val="000000"/>
          <w:sz w:val="20"/>
        </w:rPr>
        <w:t>for the six months ended June 30, 2025, and was primarily driven by proceeds from the issuance of common stock under our ESPP.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significant expenses to develop our technology and services, to hire employees in our customer service and sales and marketing departments, and for the amortization of purchased intangible assets, as well as acquisition costs and non-cash compensation costs. Historically, we have incurred net losses and negative cash flows for various quarterly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and annual periods since our inception, including during numerous quarters and annual periods in the past several years.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we had an accumulated deficit of </w:t>
      </w:r>
      <w:r>
        <w:rPr>
          <w:rFonts w:ascii="Times New Roman;serif" w:hAnsi="Times New Roman;serif"/>
          <w:b w:val="false"/>
          <w:color w:val="000000"/>
          <w:sz w:val="20"/>
          <w:shd w:fill="FFFFFF" w:val="clear"/>
        </w:rPr>
        <w:t>$1,139.9 million</w:t>
      </w:r>
      <w:r>
        <w:rPr>
          <w:rFonts w:ascii="Times New Roman;serif" w:hAnsi="Times New Roman;serif"/>
          <w:b w:val="false"/>
          <w:color w:val="000000"/>
          <w:sz w:val="20"/>
        </w:rPr>
        <w: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principal sources of liquidity are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w:t>
      </w:r>
      <w:r>
        <w:rPr>
          <w:rFonts w:ascii="Times New Roman;serif" w:hAnsi="Times New Roman;serif"/>
          <w:b w:val="false"/>
          <w:color w:val="000000"/>
          <w:sz w:val="20"/>
          <w:shd w:fill="FFFFFF" w:val="clear"/>
        </w:rPr>
        <w:t>ng. W</w:t>
      </w:r>
      <w:r>
        <w:rPr>
          <w:rFonts w:ascii="Times New Roman;serif" w:hAnsi="Times New Roman;serif"/>
          <w:b w:val="false"/>
          <w:color w:val="000000"/>
          <w:sz w:val="20"/>
        </w:rPr>
        <w:t>e cannot assure you that additional funding will be available on favorable terms, when needed, if at all. If we are unable to obtain any necessary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indenture governing the 2029 Notes includes a financial covenant that requires the Company to maintain a minimum cash balance of $60.0 million (excluding the proceeds of the 2029 Notes) at all times. Proceeds of the 2029 Notes may be used only to (i) pay interest, or cash settle, the 2029 Notes, (ii) cash settle the Warrants, (iii) exchange, repurchase, redeem, replace or otherwise refinance 2026 Notes (or refund or replenish cash of the Company or any of its subsidiaries used to do so), or (iv) pay or reimburse certain fees, costs and expenses related to the foregoing and the other transactions contemplated by the Exchange and Purchase Agreement as amended or otherwise modified from time to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Upon conversion or exercise, the 2029 Notes and cash-settled warrants would be settled for cash. In addition, the 2026 Notes, the 2029 Notes and the Second Lien Notes are subject to repurchase at the option of holders if the Company undergoes a “Fundamental Change” (as defined in the indentures governing the 2026 Notes, the 2029 Notes and the Second Lien Notes, as applicable), and the 2026 Notes, the 2029 Notes and the Second Lien Notes are subject to events of default customary for notes issued in connection with similar transactions, which could result in the acceleration of amounts owed. See Note 8 – </w:t>
      </w:r>
      <w:r>
        <w:rPr>
          <w:rFonts w:ascii="Times New Roman;serif" w:hAnsi="Times New Roman;serif"/>
          <w:b w:val="false"/>
          <w:i/>
          <w:color w:val="000000"/>
          <w:sz w:val="20"/>
        </w:rPr>
        <w:t>Senior Notes, Capped Call Transactions and Warrants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from time to time, subject to board authorization and any applicable restrictions under contracts to which it may be or become a party, depending upon market conditions and the Company’s financing needs, use available funds to refinance or repurchase its outstanding debt or equity securities in privately negotiated or open market transactions, by tender offer or otherwise, in compliance with applicable laws, rules and regulations, at prices and on terms the Company deems appropriate (which, in the case of debt securities, may be below par) and subject to the Company’s cash requirements for other purposes and other factors management deems relevant.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engage in off-balance sheet financing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Risks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actively monitor the movement of the U.S. dollar against the Israeli new shekel,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into these types of arrangements.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Collection Risks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accounts receivable are subject, in the normal course of business, to collection risks. We regularly assess these risks and have established policies and business practices to protect against the adverse effects of collection risks. During the six months ended June 30, 2026, our allowance for credit losses increased by $1.6 million to $6.0 million. During the six months ended June 30, 2025, our allowance for credit losses decreased by $2.5 million to $6.1 million. A large proportion of our receivables are due from larger corporate customers that typically have longer payment cycles. We base our allowance for credit losses on specifically identified credit risks of customers, historical trends and other information that we believe to be reasonable. Receivables are written off and charged against the applicable recorded allowance when we have exhausted collection efforts without success. We adjust our allowance for credit losses when accounts previously reserved have been collected.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allowance for credit losses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credit losses based on the creditworthiness of the debtor, the age and status of outstanding receivables, the current business environment and our historical collection experience adjusted for current expectations for the customer or industry.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investments consist of cash and cash equivalents. Therefore, changes in market interest rates do not affect in any material respect the value of the investments as recorded by us.</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Inflation Risk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Controls and Procedures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management, including the Chief Executive Officer and Chief Financial Officer, evaluated the effectiveness of our “disclosure controls and procedures,” as that term is defined in Rule 13a-15(e) promulgated under the Securities Exchange Act of 1934, as amended (the “Exchange Act”), as of June 30, 2026. </w:t>
      </w:r>
      <w:r>
        <w:rPr>
          <w:rFonts w:ascii="Times New Roman;serif" w:hAnsi="Times New Roman;serif"/>
          <w:b w:val="false"/>
          <w:color w:val="000000"/>
          <w:sz w:val="20"/>
          <w:shd w:fill="FFFFFF" w:val="clear"/>
        </w:rPr>
        <w:t>Disclosure controls and procedures ensure that the information we are required to disclose in the reports that we file or submit under the Exchange Act is recorded, processed and summarized within the time periods specified in the Securities and Exchange Commission’s rules and forms, and ensure that such information is accumulated and communicated to our management, including the Chief Executive Officer and Chief Financial Officer, as appropriate to allow timely decisions regarding required disclosure.</w:t>
      </w:r>
      <w:r>
        <w:rPr>
          <w:color w:val="1D1C1D"/>
          <w:shd w:fill="FFFFFF" w:val="clear"/>
        </w:rPr>
        <w:t xml:space="preserve"> </w:t>
      </w:r>
      <w:r>
        <w:rPr>
          <w:rFonts w:ascii="Times New Roman;serif" w:hAnsi="Times New Roman;serif"/>
          <w:b w:val="false"/>
          <w:color w:val="1D1C1D"/>
          <w:sz w:val="20"/>
          <w:shd w:fill="FFFFFF" w:val="clear"/>
        </w:rPr>
        <w:t xml:space="preserve">Based on that evaluation, the Chief Executive Officer and Chief Financial Officer concluded that our disclosure controls and procedures were effective as of </w:t>
      </w:r>
      <w:r>
        <w:rPr>
          <w:rFonts w:ascii="Times New Roman;serif" w:hAnsi="Times New Roman;serif"/>
          <w:b w:val="false"/>
          <w:color w:val="000000"/>
          <w:sz w:val="20"/>
        </w:rPr>
        <w:t>June 30, 2026.</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Limitations of the Effectiveness of Internal Control</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during the quarter ended June 30, 2026 identified in connection with the evaluation thereof by our management, including the Chief Executive Officer and Chief Financial Officer, that have materially affected, or are reasonably likely to materially affect, the Company’s internal control over financial reporting.</w:t>
      </w:r>
    </w:p>
    <w:p>
      <w:pPr>
        <w:pStyle w:val="TextBody"/>
        <w:bidi w:val="0"/>
        <w:spacing w:before="0" w:after="0"/>
        <w:ind w:left="0" w:right="0" w:firstLine="48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The information called for by this Item is incorporated herein by reference to </w:t>
      </w:r>
      <w:r>
        <w:rPr>
          <w:rFonts w:ascii="Times New Roman;serif" w:hAnsi="Times New Roman;serif"/>
          <w:b w:val="false"/>
          <w:color w:val="000000"/>
          <w:sz w:val="20"/>
        </w:rPr>
        <w:t>Note 13</w:t>
      </w:r>
      <w:r>
        <w:rPr>
          <w:color w:val="000000"/>
          <w:shd w:fill="FFFFFF" w:val="clear"/>
        </w:rPr>
        <w:t xml:space="preserve"> – </w:t>
      </w:r>
      <w:r>
        <w:rPr>
          <w:rFonts w:ascii="Times New Roman;serif" w:hAnsi="Times New Roman;serif"/>
          <w:b w:val="false"/>
          <w:i/>
          <w:color w:val="000000"/>
          <w:sz w:val="20"/>
          <w:shd w:fill="FFFFFF" w:val="clear"/>
        </w:rPr>
        <w:t>Legal Matters</w:t>
      </w:r>
      <w:r>
        <w:rPr>
          <w:rFonts w:ascii="Times New Roman;serif" w:hAnsi="Times New Roman;serif"/>
          <w:b w:val="false"/>
          <w:color w:val="000000"/>
          <w:sz w:val="20"/>
          <w:shd w:fill="FFFFFF" w:val="clear"/>
        </w:rPr>
        <w:t>, in the Notes to the Unaudited Condensed Consolidated Financial Statements.</w:t>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and financial results are subject to various risks and uncertainties, including those described in Part I, Item 1A. “Risk Factors” in our Annual Report on Form 10-K for the year ended December 31, 2025, filed on March 16, 2026, which could adversely affect our business, financial condition, results of operations, cash flows, and the trading price of our common stock. Other than as set forth below, there have been no material changes to the risk factors described in our most recent Annual Report on Form 10-K.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the Pending Merger with SoundHound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Mergers may not be completed, and the Amended and Restated Merger Agreement may be terminated in accordance with its terms. Failure to complete the Mergers could negatively impact the price of shares of LivePerson Common Stock, as well as LivePerson’s respective future businesses and financial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Mergers are subject to a number of conditions that must be satisfied, including the approval by LivePerson stockholders of the merger proposal, or, to the extent permitted by applicable law, waived, in each case prior to the completion of the Mergers. These conditions to the completion of the Mergers, some of which are beyond the control of SoundHound and LivePerson, may not be satisfied or waived in a timely manner or at all, and, accordingly, the Mergers may be delayed or may not be completed.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if the First Merger is not completed by October 21, 2026, or, in certain instances, on or before December 5, 2026, either SoundHound or LivePerson may choose not to proceed with the Mergers by terminating the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Restated Merger Agreement, and the parties can mutually decide to terminate the Amended and Restated Merger Agreement at any time, before or after LivePerson stockholder approval. Further, either SoundHound or LivePerson may elect to terminate the Amended and Restated Merger Agreement in certain other circumstances.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transactions contemplated by the Amended and Restated Merger Agreement are not completed for any reason, LivePerson’s ongoing business, financial condition and financial results may be adversely affected. Without realizing any of the benefits of having completed the transactions, LivePerson will be subject to a number of risks, including the following:</w:t>
      </w:r>
    </w:p>
    <w:p>
      <w:pPr>
        <w:pStyle w:val="TextBody"/>
        <w:bidi w:val="0"/>
        <w:spacing w:before="0" w:after="0"/>
        <w:ind w:left="0" w:right="0" w:firstLine="480"/>
        <w:jc w:val="both"/>
        <w:rPr/>
      </w:pPr>
      <w:r>
        <w:rPr/>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LivePerson may be required to pay its costs relating to the transactions, which are substantial, such as legal, accounting, financial advisory and printing fees, whether or not the transactions are completed;</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LivePerson may owe a termination fee of $5 million, plus SoundHound transaction expenses, as further described below;</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time and resources committed by LivePerson’s management to matters relating to the transactions could otherwise have been devoted to pursuing other beneficial opportunities;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LivePerson may experience negative reactions from financial markets, including negative impacts on the prices of its common stock, including to the extent that the current market price reflects a market assumption that the transactions will be completed;</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LivePerson may experience negative reactions from employees, customers or vendors;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since the Amended and Restated Merger Agreement restricts the conduct of LivePerson’s business prior to completion of the Mergers, LivePerson may not have been able to take certain actions during the pendency of the Mergers that would have benefited it as an independent company and the opportunity to take such actions may no longer be available.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Amended and Restated Merger Agreement is terminated and the LivePerson board of directors seeks another merger or business combination, LivePerson may not be able to find a party willing to offer equivalent or more attractive consideration than the consideration SoundHound has agreed to provide in the Mergers, or that such other merger or business combination is completed. If the Amended and Restated Merger Agreement is terminated under specified circumstances, LivePerson may be required to pay SoundHound a termination fee of $5 million, plus an additional amount equal to SoundHound’s documented expenses incurred prior to and including the date of the termination of the Amended and Restated Merger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LivePerson stockholders that receive SoundHound Common Stock in the First Merger will not receive cash consideration (other than cash in lieu of fractional shares of SoundHound Common Stock) with which to pay any tax liability resulting from the First Merger.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receipt of SoundHound Common Stock and any cash in lieu of fractional shares of SoundHound Common Stock by LivePerson stockholders entitled to receive the Per Share Merger Consideration in exchange for LivePerson Common Stock in the First Merger is intended to be treated as a taxable transaction for U.S. federal income tax purposes. The amount of gain or loss, if any, recognized by such LivePerson stockholders will vary depending on such LivePerson stockholders’ particular situation, including the fair market value of the SoundHound Common Stock and the amount of any cash in lieu of fractional shares of SoundHound Common Stock received by such LivePerson stockholder in the First Merger, and the adjusted tax basis of the LivePerson Common Stock exchanged by such LivePerson stockholder in the First Merger. LivePerson stockholders that receive SoundHound Common Stock in the First Merger will not receive any cash consideration (other than any cash received in lieu of fractional shares of SoundHound Common Stock) with which to pay any tax liability resulting from the First Merger.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LivePerson will be subject to business uncertainties while the Mergers are pending, which could adversely affect their business.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Uncertainty about the effect of the Mergers on employees, industry contacts and business partners may have an adverse effect on LivePerson. These uncertainties may impair LivePerson’s ability to attract, retain and motivate key personnel until the Mergers are completed and for a period of time thereafter and could cause industry contacts, business partners and others that deal with LivePerson to seek to change their existing business relationships with LivePerson. Employee retention at LivePerson may be particularly challenging during the pendency of the Mergers, as employees may experience uncertainty about their roles with SoundHound following the Mergers. In addition, the Amended and Restated Merger Agreement restricts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LivePerson from entering into certain corporate transactions and taking other specified actions without the consent of SoundHound. These restrictions may prevent LivePerson from pursuing attractive business opportunities that may arise prior to the completion of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SoundHound and LivePerson will incur significant transaction and merger-related costs in connection with the Mergers, which may be in excess of those anticipated by SoundHound or LivePerson.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SoundHound and LivePerson has incurred and expects to continue to incur a number of non-recurring costs associated with negotiating and completing the Mergers and combining the operations of the two companies. These fees and costs have been, and will continue to be, substantial. The substantial majority of non-recurring expenses will consist of transaction costs related to the Mergers and include, among others, employee retention costs, fees paid to financial, legal and accounting advisors, severance and benefit costs, and filing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SoundHound and LivePerson will also incur transaction fees and costs related to the integration of the companies, which may be substantial. Moreover, each company may incur additional unanticipated expenses in connection with the Mergers and the integration, including costs associated with any stockholder litigation related to the Mergers. Although SoundHound and LivePerson each expect that the elimination of duplicative costs, as well as the realization of other efficiencies related to the integration of the businesses, should allow SoundHound and LivePerson to offset integration-related costs over time, this net benefit may not be achieved in the near term, or at all. For additional information, see the risk factor entitled “The integration of LivePerson and SoundHound may not be as successful as anticipated, and SoundHound may not achieve the intended benefits or do so within the intended timeframe”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costs described above, as well as other unanticipated costs and expenses, could have a material adverse effect on the financial condition and operating results of the combined company following the completion of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Amended and Restated Merger Agreement limits LivePerson’s ability to pursue alternatives to the Mergers, which may discourage certain other companies from making favorable alternative transaction proposals and, in specified circumstances, could require LivePerson to pay SoundHound a termination fee.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and Restated Merger Agreement contains provisions that may discourage a third party from submitting a competing proposal to LivePerson that might result in greater value to LivePerson stockholders than the Mergers or, in the event that a third party competing proposal is made, a third party may propose to pay a lower per share price to acquire LivePerson than it might otherwise have proposed to pay. These provisions include a general prohibition on LivePerson soliciting or, subject to certain exceptions relating to the exercise of fiduciary duties by the LivePerson board of directors, entering into discussions with any third party regarding any acquisition proposal. Furthermore, there are only limited exceptions to the requirement under the Amended and Restated Merger Agreement that the LivePerson board of directors not withdraw or modify the LivePerson board of directors recommendation. Although the LivePerson board of directors is permitted to effect a recommendation change, after complying with certain procedures set forth in the Amended and Restated Merger Agreement, in response to certain superior proposals or certain intervening events (if the LivePerson board of directors determines in good faith, after having taken into account the advice of outside legal counsel, that a failure to do so would be inconsistent with its fiduciary duties under applicable law), such recommendation change would entitle SoundHound to terminate the Amended and Restated Merger Agreement and receive a cash termination fee in the amount of $5 million, plus an additional amount equal to SoundHound’s documented transaction expenses incurred prior to and including the date of the termination of the Amended and Restated Merger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integration of LivePerson into SoundHound may not be as successful as anticipated, and SoundHound may not achieve the intended benefits or do so within the intended timeframe.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Mergers involve numerous operational, strategic, financial, accounting, legal, tax and other risks, potential liabilities associated with the acquired businesses, and uncertainties related to design, operation and integration of LivePerson’s internal control over financial reporting. Difficulties in integrating LivePerson into SoundHound may result in LivePerson performing differently than expected, operational challenges, or the failure to realize anticipated expense-related efficiencies. Potential difficulties that may be encountered in the integration process include, among others:</w:t>
      </w:r>
    </w:p>
    <w:p>
      <w:pPr>
        <w:pStyle w:val="TextBody"/>
        <w:bidi w:val="0"/>
        <w:spacing w:before="0" w:after="0"/>
        <w:ind w:left="0" w:right="0" w:firstLine="720"/>
        <w:jc w:val="both"/>
        <w:rPr/>
      </w:pPr>
      <w:r>
        <w:rPr/>
      </w:r>
    </w:p>
    <w:p>
      <w:pPr>
        <w:pStyle w:val="TextBody"/>
        <w:bidi w:val="0"/>
        <w:spacing w:lineRule="auto" w:line="288" w:before="0" w:after="60"/>
        <w:ind w:left="0" w:right="0" w:hanging="450"/>
        <w:jc w:val="both"/>
        <w:rPr/>
      </w:pPr>
      <w:r>
        <w:rPr>
          <w:color w:val="000000"/>
        </w:rPr>
        <w:t>•</w:t>
      </w:r>
      <w:r>
        <w:rPr>
          <w:rFonts w:ascii="Times New Roman;serif" w:hAnsi="Times New Roman;serif"/>
          <w:b w:val="false"/>
          <w:color w:val="000000"/>
          <w:sz w:val="20"/>
        </w:rPr>
        <w:t>the inability to successfully integrate the businesses of LivePerson into SoundHound in a manner that permits SoundHound to achieve the full revenue and cost savings anticipated from the Mergers;</w:t>
      </w:r>
    </w:p>
    <w:p>
      <w:pPr>
        <w:pStyle w:val="TextBody"/>
        <w:bidi w:val="0"/>
        <w:spacing w:lineRule="auto" w:line="288" w:before="0" w:after="60"/>
        <w:ind w:left="0" w:right="0" w:hanging="450"/>
        <w:jc w:val="both"/>
        <w:rPr/>
      </w:pPr>
      <w:r>
        <w:rPr>
          <w:color w:val="000000"/>
        </w:rPr>
        <w:t>•</w:t>
      </w:r>
      <w:r>
        <w:rPr>
          <w:rFonts w:ascii="Times New Roman;serif" w:hAnsi="Times New Roman;serif"/>
          <w:b w:val="false"/>
          <w:color w:val="000000"/>
          <w:sz w:val="20"/>
        </w:rPr>
        <w:t>complexities associated with managing the larger, more complex, integrated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60"/>
        <w:ind w:left="0" w:right="0" w:hanging="450"/>
        <w:jc w:val="both"/>
        <w:rPr/>
      </w:pPr>
      <w:r>
        <w:rPr>
          <w:color w:val="000000"/>
        </w:rPr>
        <w:t>•</w:t>
      </w:r>
      <w:r>
        <w:rPr>
          <w:rFonts w:ascii="Times New Roman;serif" w:hAnsi="Times New Roman;serif"/>
          <w:b w:val="false"/>
          <w:color w:val="000000"/>
          <w:sz w:val="20"/>
        </w:rPr>
        <w:t>integrating personnel from the two companies and the loss of key employees;</w:t>
      </w:r>
    </w:p>
    <w:p>
      <w:pPr>
        <w:pStyle w:val="TextBody"/>
        <w:bidi w:val="0"/>
        <w:spacing w:lineRule="auto" w:line="288" w:before="0" w:after="60"/>
        <w:ind w:left="0" w:right="0" w:hanging="450"/>
        <w:jc w:val="both"/>
        <w:rPr/>
      </w:pPr>
      <w:r>
        <w:rPr>
          <w:color w:val="000000"/>
        </w:rPr>
        <w:t>•</w:t>
      </w:r>
      <w:r>
        <w:rPr>
          <w:rFonts w:ascii="Times New Roman;serif" w:hAnsi="Times New Roman;serif"/>
          <w:b w:val="false"/>
          <w:color w:val="000000"/>
          <w:sz w:val="20"/>
        </w:rPr>
        <w:t>potential unknown liabilities and unforeseen expenses, delays or regulatory conditions associated with the Mergers;</w:t>
      </w:r>
    </w:p>
    <w:p>
      <w:pPr>
        <w:pStyle w:val="TextBody"/>
        <w:bidi w:val="0"/>
        <w:spacing w:lineRule="auto" w:line="288" w:before="0" w:after="60"/>
        <w:ind w:left="0" w:right="0" w:hanging="450"/>
        <w:jc w:val="both"/>
        <w:rPr/>
      </w:pPr>
      <w:r>
        <w:rPr>
          <w:color w:val="000000"/>
        </w:rPr>
        <w:t>•</w:t>
      </w:r>
      <w:r>
        <w:rPr>
          <w:rFonts w:ascii="Times New Roman;serif" w:hAnsi="Times New Roman;serif"/>
          <w:b w:val="false"/>
          <w:color w:val="000000"/>
          <w:sz w:val="20"/>
        </w:rPr>
        <w:t>integrating relationships with industry contacts and business partners;</w:t>
      </w:r>
    </w:p>
    <w:p>
      <w:pPr>
        <w:pStyle w:val="TextBody"/>
        <w:bidi w:val="0"/>
        <w:spacing w:lineRule="auto" w:line="288" w:before="0" w:after="60"/>
        <w:ind w:left="0" w:right="0" w:hanging="450"/>
        <w:jc w:val="both"/>
        <w:rPr/>
      </w:pPr>
      <w:r>
        <w:rPr>
          <w:color w:val="000000"/>
        </w:rPr>
        <w:t>•</w:t>
      </w:r>
      <w:r>
        <w:rPr>
          <w:rFonts w:ascii="Times New Roman;serif" w:hAnsi="Times New Roman;serif"/>
          <w:b w:val="false"/>
          <w:color w:val="000000"/>
          <w:sz w:val="20"/>
        </w:rPr>
        <w:t>performance shortfalls as a result of the diversion of management’s attention caused by completing the Mergers and integrating LivePerson’s operations into SoundHound; and</w:t>
      </w:r>
    </w:p>
    <w:p>
      <w:pPr>
        <w:pStyle w:val="TextBody"/>
        <w:bidi w:val="0"/>
        <w:spacing w:lineRule="auto" w:line="288" w:before="0" w:after="60"/>
        <w:ind w:left="0" w:right="0" w:hanging="450"/>
        <w:jc w:val="both"/>
        <w:rPr/>
      </w:pPr>
      <w:r>
        <w:rPr>
          <w:color w:val="000000"/>
        </w:rPr>
        <w:t>•</w:t>
      </w:r>
      <w:r>
        <w:rPr>
          <w:rFonts w:ascii="Times New Roman;serif" w:hAnsi="Times New Roman;serif"/>
          <w:b w:val="false"/>
          <w:color w:val="000000"/>
          <w:sz w:val="20"/>
        </w:rPr>
        <w:t>the disruption of, or the loss of momentum in, ongoing business or inconsistencies in standards, controls, procedures and policies.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success of the Mergers will depend, in part, on SoundHound’s ability to realize the anticipated benefits from combining SoundHound’s and LivePerson’s businesses. The anticipated benefits of the Mergers may not be realized fully or at all, may take longer to realize than expected, or could have other adverse effects that SoundHound does not currently foresee.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Because the value ascribed to the SoundHound Common Stock, the Aggregate Consideration Amount and the Closing TASE Cash Merger Consideration will be subject to adjustment and because the market price of SoundHound Common Stock will fluctuate, LivePerson stockholders cannot be certain of the precise value of the Per Share Merger Consideration they may receive in the First Merger or the Per Share Cash Merger Consideration they may receive in the Second Merger, as applicable.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First Merger is completed, at the First Effective Time, each issued and outstanding eligible share of LivePerson Common Stock (other than (i) shares held by LivePerson as treasury shares, (ii) shares held by any subsidiary of LivePerson, (iii) shares held by SoundHound or any subsidiary of SoundHound (such shares described in the foregoing clauses (i) through (iii), “Cancelled LivePerson Shares”) or (iv) TASE Shares) will be converted into the right to receive the Per Share Merger Consideration. The Per Share Merger Consideration is calculated by dividing the Closing Merger Consideration by the total number of shares of LivePerson Common Stock that are issued and outstanding, or that are issuable upon the conversion, exercise or settlement in full of other rights to acquire LivePerson Common Stock, immediately prior to the First Effective Time (other than Cancelled LivePerson Shares and the TASE Shares). The Closing Merger Consideration, being the aggregate amount of consideration payable by SoundHound to holders of LivePerson Common Stock (other than Cancelled LivePerson Shares and TASE Shares) in connection with the First Merger, will be a number of shares of SoundHound Common Stock equal to the quotient of (a) the Aggregate Consideration Amount, divided by (b) the SoundHound Closing Stock Price. The Aggregate Consideration Amount refers to an amount equal to (I) $42,784,532.64, minus (II) the LivePerson Shortfall Cash, plus (III) the aggregate dollar amount of the exercise prices of all In-the-Money Options (other than Assumed Options). LivePerson Shortfall Cash refers to an amount equal to (x) $74,000,000, minus (y) the aggregate principal amount of the 2026 Notes repurchased by LivePerson between April 1, 2026 and the closing date, minus (z) the cash and cash equivalents on LivePerson’s balance sheet as of 12:01 a.m. Pacific Time on the closing date (net of certain LivePerson transaction expenses) (as estimated in accordance with the Amended and Restated Merger Agreement); provided that, if a negative number results from such calculation, LivePerson Shortfall Cash will be $0. The SoundHound Closing Stock Price is subject to a collar and will be the volume-weighted average sales price per share of SoundHound Common Stock on the Nasdaq for each of the ten consecutive trading days ending on (and including) the trading day that is three (3) trading days prior to the Closing Date (the “SoundHound Closing VWAP Stock Price”); provided that it will be no greater than $12.00 and no less than $7.00.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Second Merger is completed, at the Second Effective Time, each issued and outstanding eligible TASE Share (other than any Dissenting Shares) will be converted into the right to receive the Per Share Cash Merger Consideration. The Per Share Cash Merger Consideration is calculated by dividing the Closing TASE Cash Merger Consideration by the Fully Diluted TASE Common Number. The Closing TASE Cash Merger Consideration will be equal to the Closing Merger Consideration, multiplied by the SoundHound Closing VWAP Stock Price, multiplied further by the Closing TASE Merger Consideration Percentage, which will be a figure equal to the total number of TASE Shares issued and outstanding immediately prior to the Second Effective Time, divided by the Fully Diluted Common Number. If the Closing TASE Cash Merger Consideration is greater than $7.5 million, then the Closing TASE Cash Merger Consideration will be deemed to equal $7.5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the Mergers are completed, there will be a time lapse between each of the date of the proxy statement/prospectus for the special meeting at which LivePerson stockholders vote to approve the merger proposal, the date of the special meeting and the date on which LivePerson stockholders entitled to receive the Per Share Merger Consideration or the Per Share Cash Merger Consideration, as applicable, actually receive the Per Share Merger Consideration or the Per Share Cash Merger Consideration, as applicable. The market value of shares of SoundHound Common Stock will fluctuate, possibly materially, during and after these periods as a result of a variety of factors, including general market and economic conditions,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SoundHound’s businesses, operations and prospects, and regulatory considerations. Such factors are difficult to predict and, in many cases, may be beyond the control of SoundHound and LivePerson. Furthermore, LivePerson’s cash balance will fluctuate over the interim period. The actual value of any Per Share Merger Consideration or Per Share Cash Merger Consideration, as applicable, received by LivePerson stockholders at the completion of the Mergers will depend in part on the market value of the shares of SoundHound Common Stock and the cash and cash equivalents on LivePerson’s balance sheet at that time and, in the case of the Per Share Cash Merger Consideration, the total number of TASE Shares issued and outstanding at that time. Additionally, if the market value of the SoundHound shares exceeds $12.00 or is less than $7.00 at the relevant measurement time before Closing, the SoundHound Closing Stock Price used to determine the number of shares of SoundHound Common Stock the LivePerson stockholders will be entitled to receive in the First Merger will be adjusted. Consequently, at the time LivePerson stockholders decide whether to approve the merger proposal, they will not know the actual market value of the Per Share Merger Consideration or the Per Share Cash Merger Consideration, as applicable, they will receive when the Mergers are completed. For additional information about the merger consideration, please see Note 1 to the Condensed Consolidated Financial Statements contained in this Quarterly Report on Form 10-Q.</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LivePerson stockholders who receive the Per Share Merger Consideration will have a reduced ownership and voting interest in the combined company after the First Merger compared to their current ownership in LivePerson and will exercise less influence over the combined company’s management, and LivePerson stockholders who receive the Per Share Cash Merger Consideration as a result of the Second Merger will not have any ownership or voting interest in the combined company after the Second Merger.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Currently, LivePerson stockholders have the right to vote in the election of the LivePerson board of directors and the power to approve or reject any matters requiring stockholder approval under Delaware law and the LivePerson organizational documents. Upon completion of the First Merger, each LivePerson stockholder who receives shares of SoundHound Common Stock in the First Merger will become a stockholder of SoundHound with a percentage ownership of SoundHound that is smaller than such LivePerson stockholder’s current percentage ownership of LivePerson. Based on the number of issued and outstanding shares of SoundHound Common Stock and LivePerson Common Stock and LivePerson Options as of July 6, 2026, and assuming there is no cash adjustment to the Aggregate Consideration Amount and the Closing Merger Consideration is approximately 3.0 million to 5.1 million shares of SoundHound Common Stock, after the First Merger LivePerson stockholders who receive the Per Share Merger Consideration are expected to become owners of approximately 1.5% to 0.9% of the outstanding shares of SoundHound Common Stock. Even if all former LivePerson stockholders voted together on all matters presented to SoundHound stockholders from time to time, the former LivePerson stockholders would exercise significantly less influence over the management and policies of SoundHound after the Mergers than they now have on the management and policies of LivePerson.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SoundHound and LivePerson may be targets of securities class action and derivative lawsuits that could result in substantial costs and may delay or prevent the Mergers from being completed.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SoundHound’s and LivePerson’s respective liquidity and financial condition. Any such lawsuit could also seek, among other things, injunctive relief or other equitable relief, including a request to rescind parts of the Amended and Restated Merger Agreement already implemented or to otherwise enjoin the parties from consummating the Mergers. If a plaintiff is successful in obtaining an injunction prohibiting completion of the Mergers, then that injunction may delay or prevent the Mergers from being completed, which may adversely affect SoundHound’s and LivePerson’s respective business, financial position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One of the conditions to the closing of the Mergers is that no injunction, order or award by any court or governmental entity having jurisdiction over any party has been entered and continues to be in effect and no law has been adopted or is effective, in either case, that prohibits or makes illegal the consummation of the Mergers. Consequently, if a lawsuit is filed and a plaintiff is successful in obtaining an injunction prohibiting consummation of the Mergers, then that injunction may delay or prevent the Mergers from being completed within the expected timeframe or at all, which may adversely affect SoundHound’s and LivePerson’s respective business, financial position,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before="0" w:after="0"/>
        <w:ind w:left="0" w:right="0" w:firstLine="48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There were no unregistered sales of equity securities by the issuer during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of Equity Securities by the Issuer</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There were no repurchases of equity securities by the issuer during</w:t>
      </w:r>
      <w:r>
        <w:rPr>
          <w:color w:val="000000"/>
        </w:rPr>
        <w:t xml:space="preserve"> </w:t>
      </w:r>
      <w:r>
        <w:rPr>
          <w:rFonts w:ascii="Times New Roman;serif" w:hAnsi="Times New Roman;serif"/>
          <w:b w:val="false"/>
          <w:color w:val="000000"/>
          <w:sz w:val="20"/>
        </w:rPr>
        <w:t>the three months ended June 30, 2026.</w:t>
      </w:r>
    </w:p>
    <w:p>
      <w:pPr>
        <w:pStyle w:val="TextBody"/>
        <w:bidi w:val="0"/>
        <w:spacing w:before="0" w:after="12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During the three months ended June 30, 2026, no director or executive officer of the Company adopted or terminated a “Rule 10b5-1 trading arrangement” or “non-Rule 10b5-1 trading arrangement,” as each term is defined in Item 408(a) of Regulations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6. EXHIBITS </w:t>
      </w:r>
    </w:p>
    <w:tbl>
      <w:tblPr>
        <w:tblW w:w="10205" w:type="dxa"/>
        <w:jc w:val="left"/>
        <w:tblInd w:w="0" w:type="dxa"/>
        <w:tblLayout w:type="fixed"/>
        <w:tblCellMar>
          <w:top w:w="28" w:type="dxa"/>
          <w:left w:w="28" w:type="dxa"/>
          <w:bottom w:w="28" w:type="dxa"/>
          <w:right w:w="28" w:type="dxa"/>
        </w:tblCellMar>
      </w:tblPr>
      <w:tblGrid>
        <w:gridCol w:w="228"/>
        <w:gridCol w:w="173"/>
        <w:gridCol w:w="177"/>
        <w:gridCol w:w="109"/>
        <w:gridCol w:w="109"/>
        <w:gridCol w:w="109"/>
        <w:gridCol w:w="2806"/>
        <w:gridCol w:w="2683"/>
        <w:gridCol w:w="3811"/>
      </w:tblGrid>
      <w:tr>
        <w:trPr/>
        <w:tc>
          <w:tcPr>
            <w:tcW w:w="22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0" w:type="dxa"/>
            <w:gridSpan w:val="3"/>
            <w:tcBorders/>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18"/>
                  <w:u w:val="single"/>
                </w:rPr>
                <w:t>Merger Agreement, dated as of April 21, 2026, by and among SoundHound AI, Inc., Lightspeed Merger Sub Inc. and LivePerson, Inc. (incorporated by reference to Exhibit 2.1 to Current Report on Form 8-K filed by SoundHound AI, Inc. on April 21, 2026)</w:t>
              </w:r>
            </w:hyperlink>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Amended and Restated Merger Agreement, dated as of July 2, 2026, by and among SoundHound AI, Inc., Lightspeed Merger Sub Inc., Lightspeed Merger Sub II Inc., and LivePerson, Inc. (incorporated by reference to Exhibit 2.1 to LivePerson’s Current Report on Form 8-K filed on July 2, 2026)</w:t>
              </w:r>
            </w:hyperlink>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Fourth Amended and Restated By-Laws of LivePerson, Inc., as amended (incorporated by reference to Exhibit 3.1 to LivePerson’s Annual Report on Form 10-K/A filed on April 30, 2026)</w:t>
              </w:r>
            </w:hyperlink>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
              <w:r>
                <w:rPr>
                  <w:rStyle w:val="InternetLink"/>
                  <w:rFonts w:ascii="Times New Roman;serif" w:hAnsi="Times New Roman;serif"/>
                  <w:b w:val="false"/>
                  <w:color w:val="0000FF"/>
                  <w:sz w:val="18"/>
                  <w:u w:val="single"/>
                </w:rPr>
                <w:t>Notes Restructuring Agreement, dated as of April 21, 2026, by and among SoundHound AI, Inc., LivePerson, Inc. and each holder of LivePerson’s First Lien Convertible Senior Notes due 2029 and Second Lien Senior Subordinated Secured Notes due 2029 (incorporated by reference to Exhibit 10.1 to LivePerson’s Current Report on Form 8-K filed on April 21, 2026)</w:t>
              </w:r>
            </w:hyperlink>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q22026ex311-ceocertificati.htm">
              <w:r>
                <w:rPr>
                  <w:rStyle w:val="InternetLink"/>
                  <w:rFonts w:ascii="Times New Roman;serif" w:hAnsi="Times New Roman;serif"/>
                  <w:b w:val="false"/>
                  <w:color w:val="0000FF"/>
                  <w:sz w:val="18"/>
                  <w:u w:val="single"/>
                </w:rPr>
                <w:t>Certification by principal executive officer pursuant to Exchange Act Rule 13a-14(a) and 15d-14(a), as adopted pursuant to Section 302 of the Sarbanes-Oxley Act of 2002</w:t>
              </w:r>
            </w:hyperlink>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q22026ex312-cfocertificati.htm">
              <w:r>
                <w:rPr>
                  <w:rStyle w:val="InternetLink"/>
                  <w:rFonts w:ascii="Times New Roman;serif" w:hAnsi="Times New Roman;serif"/>
                  <w:b w:val="false"/>
                  <w:color w:val="0000FF"/>
                  <w:sz w:val="18"/>
                  <w:u w:val="single"/>
                </w:rPr>
                <w:t>Certification by principal financial officer pursuant to Exchange Act Rule 13a-14(a) and 15d-14(a), as adopted pursuant to Section 302 of the Sarbanes-Oxley Act of 2002</w:t>
              </w:r>
            </w:hyperlink>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q22026ex321-ceocertificati.htm">
              <w:r>
                <w:rPr>
                  <w:rStyle w:val="InternetLink"/>
                  <w:rFonts w:ascii="Times New Roman;serif" w:hAnsi="Times New Roman;serif"/>
                  <w:b w:val="false"/>
                  <w:color w:val="0000FF"/>
                  <w:sz w:val="18"/>
                  <w:u w:val="single"/>
                </w:rPr>
                <w:t>Certification by Chief Executive Officer pursuant to 18 U.S.C. Section 1350, as adopted pursuant to Section 906 of the Sarbanes-Oxley Act of 2002</w:t>
              </w:r>
            </w:hyperlink>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q22026ex322-cfocertificati.htm">
              <w:r>
                <w:rPr>
                  <w:rStyle w:val="InternetLink"/>
                  <w:rFonts w:ascii="Times New Roman;serif" w:hAnsi="Times New Roman;serif"/>
                  <w:b w:val="false"/>
                  <w:color w:val="0000FF"/>
                  <w:sz w:val="18"/>
                  <w:u w:val="single"/>
                </w:rPr>
                <w:t>Certification by Chief Financial Officer pursuant to 18 U.S.C. Section 1350, as adopted pursuant to Section 906 of the Sarbanes-Oxley Act of 2002</w:t>
              </w:r>
            </w:hyperlink>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20"/>
        <w:ind w:left="0" w:right="0" w:firstLine="720"/>
        <w:jc w:val="both"/>
        <w:rPr/>
      </w:pPr>
      <w:r>
        <w:rPr/>
      </w:r>
    </w:p>
    <w:tbl>
      <w:tblPr>
        <w:tblW w:w="6380" w:type="dxa"/>
        <w:jc w:val="left"/>
        <w:tblInd w:w="0" w:type="dxa"/>
        <w:tblLayout w:type="fixed"/>
        <w:tblCellMar>
          <w:top w:w="28" w:type="dxa"/>
          <w:left w:w="28" w:type="dxa"/>
          <w:bottom w:w="28" w:type="dxa"/>
          <w:right w:w="28" w:type="dxa"/>
        </w:tblCellMar>
      </w:tblPr>
      <w:tblGrid>
        <w:gridCol w:w="179"/>
        <w:gridCol w:w="157"/>
        <w:gridCol w:w="159"/>
        <w:gridCol w:w="404"/>
        <w:gridCol w:w="404"/>
        <w:gridCol w:w="406"/>
        <w:gridCol w:w="282"/>
        <w:gridCol w:w="282"/>
        <w:gridCol w:w="282"/>
        <w:gridCol w:w="1117"/>
        <w:gridCol w:w="1117"/>
        <w:gridCol w:w="1591"/>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LIVEPERSON, INC.</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(Registrant)</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7, 2026</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JOHN SABINO</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Sabino</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t>
            </w:r>
            <w:r>
              <w:rPr>
                <w:rFonts w:ascii="Times New Roman;serif" w:hAnsi="Times New Roman;serif"/>
                <w:b w:val="false"/>
                <w:i/>
                <w:color w:val="000000"/>
                <w:sz w:val="18"/>
              </w:rPr>
              <w:t>Principal Executive Officer</w:t>
            </w:r>
            <w:r>
              <w:rPr>
                <w:rFonts w:ascii="Times New Roman;serif" w:hAnsi="Times New Roman;serif"/>
                <w:b w:val="false"/>
                <w:color w:val="000000"/>
                <w:sz w:val="18"/>
              </w:rPr>
              <w:t>)</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7, 2026</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JOHN COLLINS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John Collins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Chief Operating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t>
            </w:r>
            <w:r>
              <w:rPr>
                <w:rFonts w:ascii="Times New Roman;serif" w:hAnsi="Times New Roman;serif"/>
                <w:b w:val="false"/>
                <w:i/>
                <w:color w:val="000000"/>
                <w:sz w:val="18"/>
              </w:rPr>
              <w:t>Principal Financial Officer</w:t>
            </w: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before="0" w:after="120"/>
        <w:ind w:left="0" w:right="0" w:firstLine="4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31.1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ind w:left="0" w:right="0" w:firstLine="4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John Sabino, certify that: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LivePerson, Inc.;</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tbl>
      <w:tblPr>
        <w:tblW w:w="5007"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208"/>
        <w:gridCol w:w="208"/>
        <w:gridCol w:w="213"/>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31.2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John Collins, certify that: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LivePerson, Inc.;</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tbl>
      <w:tblPr>
        <w:tblW w:w="9148"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208"/>
        <w:gridCol w:w="208"/>
        <w:gridCol w:w="213"/>
        <w:gridCol w:w="1937"/>
        <w:gridCol w:w="1937"/>
        <w:gridCol w:w="27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 (Principal Financial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32.1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120" w:after="100"/>
        <w:jc w:val="both"/>
        <w:rPr/>
      </w:pPr>
      <w:r>
        <w:rPr/>
      </w:r>
    </w:p>
    <w:p>
      <w:pPr>
        <w:pStyle w:val="TextBody"/>
        <w:bidi w:val="0"/>
        <w:spacing w:before="120" w:after="100"/>
        <w:jc w:val="both"/>
        <w:rPr/>
      </w:pPr>
      <w:r>
        <w:rPr/>
      </w:r>
    </w:p>
    <w:p>
      <w:pPr>
        <w:pStyle w:val="TextBody"/>
        <w:bidi w:val="0"/>
        <w:spacing w:lineRule="auto" w:line="288" w:before="120" w:after="100"/>
        <w:jc w:val="both"/>
        <w:rPr>
          <w:rFonts w:ascii="Times New Roman;serif" w:hAnsi="Times New Roman;serif"/>
          <w:b w:val="false"/>
          <w:color w:val="000000"/>
          <w:sz w:val="20"/>
        </w:rPr>
      </w:pPr>
      <w:r>
        <w:rPr>
          <w:rFonts w:ascii="Times New Roman;serif" w:hAnsi="Times New Roman;serif"/>
          <w:b w:val="false"/>
          <w:color w:val="000000"/>
          <w:sz w:val="20"/>
        </w:rPr>
        <w:t>I, John Sabino, Chief Executive Officer of LivePerson, Inc. (the “Company”), certify, pursuant to 18 U.S.C. Section 1350, as adopted pursuant to Section 906 of the Sarbanes-Oxley Act of 2002, that: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of the Company on Form 10-Q for the period ended June 30, 2026, as filed with the Securities and Exchange Commission (the “Report”), fully complies with the requirements of Section 13(a) or 15(d) of the Securities Exchange Act of 1934;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00" w:after="100"/>
        <w:jc w:val="both"/>
        <w:rPr/>
      </w:pPr>
      <w:r>
        <w:rPr/>
      </w:r>
    </w:p>
    <w:tbl>
      <w:tblPr>
        <w:tblW w:w="6972"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208"/>
        <w:gridCol w:w="208"/>
        <w:gridCol w:w="213"/>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bl>
    <w:p>
      <w:pPr>
        <w:pStyle w:val="TextBody"/>
        <w:bidi w:val="0"/>
        <w:spacing w:before="100" w:after="100"/>
        <w:jc w:val="both"/>
        <w:rPr/>
      </w:pPr>
      <w:r>
        <w:rPr/>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32.2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120" w:after="100"/>
        <w:jc w:val="both"/>
        <w:rPr/>
      </w:pPr>
      <w:r>
        <w:rPr/>
      </w:r>
    </w:p>
    <w:p>
      <w:pPr>
        <w:pStyle w:val="TextBody"/>
        <w:bidi w:val="0"/>
        <w:spacing w:lineRule="auto" w:line="288" w:before="120" w:after="100"/>
        <w:jc w:val="both"/>
        <w:rPr>
          <w:rFonts w:ascii="Times New Roman;serif" w:hAnsi="Times New Roman;serif"/>
          <w:b w:val="false"/>
          <w:color w:val="000000"/>
          <w:sz w:val="20"/>
        </w:rPr>
      </w:pPr>
      <w:r>
        <w:rPr>
          <w:rFonts w:ascii="Times New Roman;serif" w:hAnsi="Times New Roman;serif"/>
          <w:b w:val="false"/>
          <w:color w:val="000000"/>
          <w:sz w:val="20"/>
        </w:rPr>
        <w:t>I, John Collins, Chief Financial Officer and Chief Operating Officer of LivePerson, Inc. (the “Company”), certify, pursuant to 18 U.S.C. Section 1350, as adopted pursuant to Section 906 of the Sarbanes-Oxley Act of 2002, that: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of the Company on Form 10-Q for the period ended June 30, 2026, as filed with the Securities and Exchange Commission (the “Report”), fully complies with the requirements of Section 13(a) or 15(d) of the Securities Exchange Act of 1934;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00" w:after="100"/>
        <w:jc w:val="both"/>
        <w:rPr/>
      </w:pPr>
      <w:r>
        <w:rPr/>
      </w:r>
    </w:p>
    <w:p>
      <w:pPr>
        <w:pStyle w:val="TextBody"/>
        <w:bidi w:val="0"/>
        <w:spacing w:before="100" w:after="100"/>
        <w:jc w:val="both"/>
        <w:rPr/>
      </w:pPr>
      <w:r>
        <w:rPr/>
      </w:r>
    </w:p>
    <w:tbl>
      <w:tblPr>
        <w:tblW w:w="9148"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208"/>
        <w:gridCol w:w="208"/>
        <w:gridCol w:w="213"/>
        <w:gridCol w:w="1937"/>
        <w:gridCol w:w="1937"/>
        <w:gridCol w:w="27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 (Principal Financial Officer)</w:t>
            </w:r>
          </w:p>
        </w:tc>
      </w:tr>
    </w:tbl>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0856/000121390026045991/ea028711701ex2-1.htm" TargetMode="External"/><Relationship Id="rId3" Type="http://schemas.openxmlformats.org/officeDocument/2006/relationships/hyperlink" Target="https://www.sec.gov/Archives/edgar/data/1102993/000119312526294943/d319553dex21.htm" TargetMode="External"/><Relationship Id="rId4" Type="http://schemas.openxmlformats.org/officeDocument/2006/relationships/hyperlink" Target="https://www.sec.gov/Archives/edgar/data/1102993/000119312526167270/d148603dex31.htm" TargetMode="External"/><Relationship Id="rId5" Type="http://schemas.openxmlformats.org/officeDocument/2006/relationships/hyperlink" Target="https://www.sec.gov/Archives/edgar/data/1102993/000119312526167270/d148603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31511</Words>
  <Characters>172979</Characters>
  <CharactersWithSpaces>202731</CharactersWithSpaces>
  <Paragraphs>2795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