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688" w:right="279" w:bottom="1440" w:gutter="0" w:footer="0" w:header="0"/>
          <w:type w:val="continuous"/>
        </w:sectPr>
      </w:pPr>
    </w:p>
    <w:p>
      <w:pPr>
        <w:spacing w:after="0" w:line="134"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July 27, 2015, 57,163,021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900" w:type="dxa"/>
            <w:vAlign w:val="bottom"/>
            <w:gridSpan w:val="4"/>
          </w:tcPr>
          <w:p>
            <w:pPr>
              <w:ind w:left="22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48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48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900" w:type="dxa"/>
            <w:vAlign w:val="bottom"/>
            <w:gridSpan w:val="4"/>
            <w:shd w:val="clear" w:color="auto" w:fill="CCFFCC"/>
          </w:tcPr>
          <w:p>
            <w:pPr>
              <w:jc w:val="right"/>
              <w:ind w:right="10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June 30, 2015 and December 31,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7"/>
              </w:rPr>
              <w:t>Condensed Consolidated Statements of Operations for the Three and Six Months Ended June 30, 2015 and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89"/>
              </w:rPr>
              <w:t>Condensed Consolidated Statements of Comprehensive Loss for the Three and Six Months Ended June 30, 2015 and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2015 and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324"/>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480" w:type="dxa"/>
            <w:vAlign w:val="bottom"/>
            <w:shd w:val="clear" w:color="auto" w:fill="CCFFCC"/>
          </w:tcPr>
          <w:p>
            <w:pPr>
              <w:spacing w:after="0"/>
              <w:rPr>
                <w:sz w:val="21"/>
                <w:szCs w:val="21"/>
                <w:color w:val="auto"/>
              </w:rPr>
            </w:pPr>
          </w:p>
        </w:tc>
        <w:tc>
          <w:tcPr>
            <w:tcW w:w="900" w:type="dxa"/>
            <w:vAlign w:val="bottom"/>
            <w:gridSpan w:val="4"/>
            <w:shd w:val="clear" w:color="auto" w:fill="CCFFCC"/>
          </w:tcPr>
          <w:p>
            <w:pPr>
              <w:jc w:val="right"/>
              <w:ind w:right="100"/>
              <w:spacing w:after="0" w:line="202" w:lineRule="exact"/>
              <w:rPr>
                <w:sz w:val="20"/>
                <w:szCs w:val="20"/>
                <w:color w:val="auto"/>
              </w:rPr>
            </w:pPr>
            <w:r>
              <w:rPr>
                <w:rFonts w:ascii="Arial" w:cs="Arial" w:eastAsia="Arial" w:hAnsi="Arial"/>
                <w:sz w:val="18"/>
                <w:szCs w:val="18"/>
                <w:color w:val="0000FF"/>
              </w:rPr>
              <w:t>37</w:t>
            </w:r>
          </w:p>
        </w:tc>
      </w:tr>
      <w:tr>
        <w:trPr>
          <w:trHeight w:val="459"/>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37,039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49,372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 for foreign exchange forward contracts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5,464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4"/>
              </w:rPr>
              <w:t>Accounts receivable, net of allowance for doubtful accounts of $2,009 and $1,275 as of June 30, 2015 and December 31,</w:t>
            </w: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2014, respectively</w:t>
            </w:r>
          </w:p>
        </w:tc>
        <w:tc>
          <w:tcPr>
            <w:tcW w:w="30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32,257</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31,382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14,632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10,374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assets, net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1,805</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2,575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91,197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93,703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22,921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19,583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28,762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32,620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80,358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80,848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12,647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10,762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2,317</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2,301</w:t>
            </w:r>
          </w:p>
        </w:tc>
      </w:tr>
      <w:tr>
        <w:trPr>
          <w:trHeight w:val="284"/>
        </w:trPr>
        <w:tc>
          <w:tcPr>
            <w:tcW w:w="834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238,202</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239,817</w:t>
            </w:r>
          </w:p>
        </w:tc>
      </w:tr>
      <w:tr>
        <w:trPr>
          <w:trHeight w:val="311"/>
        </w:trPr>
        <w:tc>
          <w:tcPr>
            <w:tcW w:w="834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11,385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8,985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32,509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37,772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12,345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11,992</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56,239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58,749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731</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56,978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59,480</w:t>
            </w:r>
          </w:p>
        </w:tc>
      </w:tr>
      <w:tr>
        <w:trPr>
          <w:trHeight w:val="318"/>
        </w:trPr>
        <w:tc>
          <w:tcPr>
            <w:tcW w:w="8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Commitments and contingencies (See Note 10)</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 (See Note 11):</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Common stock</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281,273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274,046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Treasury stock</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(92,627)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(1,138)</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181,224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180,337</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238,202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239,817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6"/>
                <w:szCs w:val="16"/>
                <w:color w:val="auto"/>
              </w:rPr>
            </w:pPr>
          </w:p>
        </w:tc>
        <w:tc>
          <w:tcPr>
            <w:tcW w:w="178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2"/>
              </w:rPr>
              <w:t>Six Months Ended</w:t>
            </w:r>
          </w:p>
        </w:tc>
        <w:tc>
          <w:tcPr>
            <w:tcW w:w="900" w:type="dxa"/>
            <w:vAlign w:val="bottom"/>
          </w:tcPr>
          <w:p>
            <w:pPr>
              <w:spacing w:after="0"/>
              <w:rPr>
                <w:sz w:val="16"/>
                <w:szCs w:val="16"/>
                <w:color w:val="auto"/>
              </w:rPr>
            </w:pPr>
          </w:p>
        </w:tc>
      </w:tr>
      <w:tr>
        <w:trPr>
          <w:trHeight w:val="276"/>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623"/>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5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96"/>
              </w:rPr>
              <w:t>2014</w:t>
            </w:r>
          </w:p>
        </w:tc>
      </w:tr>
      <w:tr>
        <w:trPr>
          <w:trHeight w:val="256"/>
        </w:trPr>
        <w:tc>
          <w:tcPr>
            <w:tcW w:w="55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59,334</w:t>
            </w:r>
          </w:p>
        </w:tc>
        <w:tc>
          <w:tcPr>
            <w:tcW w:w="12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51,087</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119,104</w:t>
            </w:r>
          </w:p>
        </w:tc>
        <w:tc>
          <w:tcPr>
            <w:tcW w:w="100" w:type="dxa"/>
            <w:vAlign w:val="bottom"/>
            <w:tcBorders>
              <w:bottom w:val="single" w:sz="8" w:color="CCFFCC"/>
            </w:tcBorders>
            <w:shd w:val="clear" w:color="auto" w:fill="CCFFCC"/>
          </w:tcPr>
          <w:p>
            <w:pPr>
              <w:spacing w:after="0"/>
              <w:rPr>
                <w:sz w:val="22"/>
                <w:szCs w:val="22"/>
                <w:color w:val="auto"/>
              </w:rPr>
            </w:pPr>
          </w:p>
        </w:tc>
        <w:tc>
          <w:tcPr>
            <w:tcW w:w="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98,915</w:t>
            </w:r>
          </w:p>
        </w:tc>
      </w:tr>
      <w:tr>
        <w:trPr>
          <w:trHeight w:val="250"/>
        </w:trPr>
        <w:tc>
          <w:tcPr>
            <w:tcW w:w="55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70"/>
        </w:trPr>
        <w:tc>
          <w:tcPr>
            <w:tcW w:w="55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320" w:type="dxa"/>
            <w:vAlign w:val="bottom"/>
            <w:shd w:val="clear" w:color="auto" w:fill="CCFFCC"/>
          </w:tcPr>
          <w:p>
            <w:pPr>
              <w:spacing w:after="0"/>
              <w:rPr>
                <w:sz w:val="23"/>
                <w:szCs w:val="23"/>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17,887</w:t>
            </w:r>
          </w:p>
        </w:tc>
        <w:tc>
          <w:tcPr>
            <w:tcW w:w="12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13,161</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34,141</w:t>
            </w:r>
          </w:p>
        </w:tc>
        <w:tc>
          <w:tcPr>
            <w:tcW w:w="10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24,896</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24,382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20,077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48,676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38,472</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10,471</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9,788</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20,636</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19,286</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10,109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9,336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19,909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18,287</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3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396</w:t>
            </w:r>
          </w:p>
        </w:tc>
      </w:tr>
      <w:tr>
        <w:trPr>
          <w:trHeight w:val="33"/>
        </w:trPr>
        <w:tc>
          <w:tcPr>
            <w:tcW w:w="55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67,015</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52,568</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128,840</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101,337</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(7,681)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(9,736)</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(2,422)</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FFCC"/>
            </w:tcBorders>
            <w:shd w:val="clear" w:color="auto" w:fill="CCFFCC"/>
          </w:tcPr>
          <w:p>
            <w:pPr>
              <w:spacing w:after="0"/>
              <w:rPr>
                <w:sz w:val="23"/>
                <w:szCs w:val="23"/>
                <w:color w:val="auto"/>
              </w:rPr>
            </w:pPr>
          </w:p>
        </w:tc>
        <w:tc>
          <w:tcPr>
            <w:tcW w:w="5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Loss before benefit from income taxes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(7,452)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(9,738)</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(2,460)</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Benefit from income taxes</w:t>
            </w:r>
          </w:p>
        </w:tc>
        <w:tc>
          <w:tcPr>
            <w:tcW w:w="32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(2,098)</w:t>
            </w:r>
          </w:p>
        </w:tc>
        <w:tc>
          <w:tcPr>
            <w:tcW w:w="1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Borders>
              <w:bottom w:val="single" w:sz="8" w:color="CCFFCC"/>
            </w:tcBorders>
            <w:shd w:val="clear" w:color="auto" w:fill="CCFFCC"/>
          </w:tcPr>
          <w:p>
            <w:pPr>
              <w:spacing w:after="0"/>
              <w:rPr>
                <w:sz w:val="23"/>
                <w:szCs w:val="23"/>
                <w:color w:val="auto"/>
              </w:rPr>
            </w:pPr>
          </w:p>
        </w:tc>
        <w:tc>
          <w:tcPr>
            <w:tcW w:w="5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(454)</w:t>
            </w:r>
          </w:p>
        </w:tc>
      </w:tr>
      <w:tr>
        <w:trPr>
          <w:trHeight w:val="284"/>
        </w:trPr>
        <w:tc>
          <w:tcPr>
            <w:tcW w:w="55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(5,354)</w:t>
            </w:r>
          </w:p>
        </w:tc>
        <w:tc>
          <w:tcPr>
            <w:tcW w:w="120" w:type="dxa"/>
            <w:vAlign w:val="bottom"/>
            <w:tcBorders>
              <w:bottom w:val="single" w:sz="8" w:color="CCFFCC"/>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FFCC"/>
            </w:tcBorders>
          </w:tcPr>
          <w:p>
            <w:pPr>
              <w:spacing w:after="0"/>
              <w:rPr>
                <w:sz w:val="24"/>
                <w:szCs w:val="24"/>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(2,006)</w:t>
            </w:r>
          </w:p>
        </w:tc>
      </w:tr>
      <w:tr>
        <w:trPr>
          <w:trHeight w:val="284"/>
        </w:trPr>
        <w:tc>
          <w:tcPr>
            <w:tcW w:w="55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FFCC"/>
          </w:tcPr>
          <w:p>
            <w:pPr>
              <w:jc w:val="right"/>
              <w:ind w:right="3"/>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(0.04)</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55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FFCC"/>
            </w:tcBorders>
          </w:tcPr>
          <w:p>
            <w:pPr>
              <w:spacing w:after="0"/>
              <w:rPr>
                <w:sz w:val="24"/>
                <w:szCs w:val="2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84"/>
        </w:trPr>
        <w:tc>
          <w:tcPr>
            <w:tcW w:w="55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56,491,989</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rPr>
              <w:t>54,189,722</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56,392,240</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w w:val="97"/>
              </w:rPr>
              <w:t>54,766,811</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55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56,491,989</w:t>
            </w:r>
          </w:p>
        </w:tc>
        <w:tc>
          <w:tcPr>
            <w:tcW w:w="12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54,189,722</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56,392,240</w:t>
            </w:r>
          </w:p>
        </w:tc>
        <w:tc>
          <w:tcPr>
            <w:tcW w:w="100" w:type="dxa"/>
            <w:vAlign w:val="bottom"/>
            <w:tcBorders>
              <w:bottom w:val="single" w:sz="8" w:color="CCFFCC"/>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7"/>
              </w:rPr>
              <w:t>54,766,811</w:t>
            </w:r>
          </w:p>
        </w:tc>
      </w:tr>
      <w:tr>
        <w:trPr>
          <w:trHeight w:val="284"/>
        </w:trPr>
        <w:tc>
          <w:tcPr>
            <w:tcW w:w="55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r>
      <w:tr>
        <w:trPr>
          <w:trHeight w:val="297"/>
        </w:trPr>
        <w:tc>
          <w:tcPr>
            <w:tcW w:w="5500" w:type="dxa"/>
            <w:vAlign w:val="bottom"/>
            <w:tcBorders>
              <w:bottom w:val="single" w:sz="8" w:color="auto"/>
            </w:tcBorders>
          </w:tcPr>
          <w:p>
            <w:pPr>
              <w:spacing w:after="0"/>
              <w:rPr>
                <w:sz w:val="24"/>
                <w:szCs w:val="24"/>
                <w:color w:val="auto"/>
              </w:rPr>
            </w:pPr>
          </w:p>
        </w:tc>
        <w:tc>
          <w:tcPr>
            <w:tcW w:w="320" w:type="dxa"/>
            <w:vAlign w:val="bottom"/>
            <w:tcBorders>
              <w:bottom w:val="single" w:sz="8" w:color="CCFFCC"/>
            </w:tcBorders>
          </w:tcPr>
          <w:p>
            <w:pPr>
              <w:spacing w:after="0"/>
              <w:rPr>
                <w:sz w:val="24"/>
                <w:szCs w:val="24"/>
                <w:color w:val="auto"/>
              </w:rPr>
            </w:pPr>
          </w:p>
        </w:tc>
        <w:tc>
          <w:tcPr>
            <w:tcW w:w="108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280" w:type="dxa"/>
            <w:vAlign w:val="bottom"/>
            <w:tcBorders>
              <w:bottom w:val="single" w:sz="8" w:color="CCFFCC"/>
            </w:tcBorders>
          </w:tcPr>
          <w:p>
            <w:pPr>
              <w:spacing w:after="0"/>
              <w:rPr>
                <w:sz w:val="24"/>
                <w:szCs w:val="24"/>
                <w:color w:val="auto"/>
              </w:rPr>
            </w:pPr>
          </w:p>
        </w:tc>
        <w:tc>
          <w:tcPr>
            <w:tcW w:w="98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CCFFCC"/>
            </w:tcBorders>
          </w:tcPr>
          <w:p>
            <w:pPr>
              <w:spacing w:after="0"/>
              <w:rPr>
                <w:sz w:val="24"/>
                <w:szCs w:val="24"/>
                <w:color w:val="auto"/>
              </w:rPr>
            </w:pPr>
          </w:p>
        </w:tc>
        <w:tc>
          <w:tcPr>
            <w:tcW w:w="112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56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r>
      <w:tr>
        <w:trPr>
          <w:trHeight w:val="250"/>
        </w:trPr>
        <w:tc>
          <w:tcPr>
            <w:tcW w:w="55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32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844</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923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1,737</w:t>
            </w: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1,712</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1,892</w:t>
            </w:r>
          </w:p>
        </w:tc>
        <w:tc>
          <w:tcPr>
            <w:tcW w:w="10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1,611</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5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32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2,323</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
              <w:spacing w:after="0"/>
              <w:rPr>
                <w:sz w:val="20"/>
                <w:szCs w:val="20"/>
                <w:color w:val="auto"/>
              </w:rPr>
            </w:pPr>
            <w:r>
              <w:rPr>
                <w:rFonts w:ascii="Arial" w:cs="Arial" w:eastAsia="Arial" w:hAnsi="Arial"/>
                <w:sz w:val="14"/>
                <w:szCs w:val="14"/>
                <w:color w:val="auto"/>
              </w:rPr>
              <w:t>1,646</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4,225</w:t>
            </w:r>
          </w:p>
        </w:tc>
        <w:tc>
          <w:tcPr>
            <w:tcW w:w="10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1"/>
              <w:spacing w:after="0"/>
              <w:rPr>
                <w:sz w:val="20"/>
                <w:szCs w:val="20"/>
                <w:color w:val="auto"/>
              </w:rPr>
            </w:pPr>
            <w:r>
              <w:rPr>
                <w:rFonts w:ascii="Arial" w:cs="Arial" w:eastAsia="Arial" w:hAnsi="Arial"/>
                <w:sz w:val="14"/>
                <w:szCs w:val="14"/>
                <w:color w:val="auto"/>
              </w:rPr>
              <w:t>3,044</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1"/>
              <w:spacing w:after="0"/>
              <w:rPr>
                <w:sz w:val="20"/>
                <w:szCs w:val="20"/>
                <w:color w:val="auto"/>
              </w:rPr>
            </w:pPr>
            <w:r>
              <w:rPr>
                <w:rFonts w:ascii="Arial" w:cs="Arial" w:eastAsia="Arial" w:hAnsi="Arial"/>
                <w:sz w:val="14"/>
                <w:szCs w:val="14"/>
                <w:color w:val="auto"/>
              </w:rPr>
              <w:t>408</w:t>
            </w: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4"/>
                <w:szCs w:val="14"/>
                <w:color w:val="auto"/>
              </w:rPr>
              <w:t>414</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1"/>
              <w:spacing w:after="0"/>
              <w:rPr>
                <w:sz w:val="20"/>
                <w:szCs w:val="20"/>
                <w:color w:val="auto"/>
              </w:rPr>
            </w:pPr>
            <w:r>
              <w:rPr>
                <w:rFonts w:ascii="Arial" w:cs="Arial" w:eastAsia="Arial" w:hAnsi="Arial"/>
                <w:sz w:val="14"/>
                <w:szCs w:val="14"/>
                <w:color w:val="auto"/>
              </w:rPr>
              <w:t>349</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5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32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58"/>
        </w:trPr>
        <w:tc>
          <w:tcPr>
            <w:tcW w:w="55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1"/>
              <w:spacing w:after="0"/>
              <w:rPr>
                <w:sz w:val="20"/>
                <w:szCs w:val="20"/>
                <w:color w:val="auto"/>
              </w:rPr>
            </w:pPr>
            <w:r>
              <w:rPr>
                <w:rFonts w:ascii="Arial" w:cs="Arial" w:eastAsia="Arial" w:hAnsi="Arial"/>
                <w:sz w:val="14"/>
                <w:szCs w:val="14"/>
                <w:color w:val="auto"/>
              </w:rPr>
              <w:t>1,737</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FFCC"/>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(5,354)</w:t>
            </w:r>
          </w:p>
        </w:tc>
        <w:tc>
          <w:tcPr>
            <w:tcW w:w="12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(2,006)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438</w:t>
            </w:r>
          </w:p>
        </w:tc>
      </w:tr>
      <w:tr>
        <w:trPr>
          <w:trHeight w:val="33"/>
        </w:trPr>
        <w:tc>
          <w:tcPr>
            <w:tcW w:w="51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FFCC"/>
          </w:tcPr>
          <w:p>
            <w:pPr>
              <w:jc w:val="right"/>
              <w:ind w:right="3"/>
              <w:spacing w:after="0"/>
              <w:rPr>
                <w:sz w:val="20"/>
                <w:szCs w:val="20"/>
                <w:color w:val="auto"/>
              </w:rPr>
            </w:pPr>
            <w:r>
              <w:rPr>
                <w:rFonts w:ascii="Arial" w:cs="Arial" w:eastAsia="Arial" w:hAnsi="Arial"/>
                <w:sz w:val="16"/>
                <w:szCs w:val="16"/>
                <w:color w:val="auto"/>
              </w:rPr>
              <w:t>(3,294)</w:t>
            </w:r>
          </w:p>
        </w:tc>
        <w:tc>
          <w:tcPr>
            <w:tcW w:w="12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(6,341)</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(1,568)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119"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(7,412)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(2,006)</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5,906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5,904</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5,660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4,215</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4,169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2,133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Deferred income taxes and other non-cash tax items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(658)</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979</w:t>
            </w:r>
          </w:p>
        </w:tc>
      </w:tr>
      <w:tr>
        <w:trPr>
          <w:trHeight w:val="303"/>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(1,913)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(5,230)</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(2,902)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(4,599)</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394</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1,817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(1,700)</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(5,516)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(287)</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(1,926)</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(365)</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provided by (used in)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(3,146)</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(8,442)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(4,322)</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(5,464)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Investment in technology licenses</w:t>
            </w:r>
          </w:p>
        </w:tc>
        <w:tc>
          <w:tcPr>
            <w:tcW w:w="92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(3,174)</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w w:val="91"/>
              </w:rPr>
              <w:t>(14,056)</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(9,948)</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Excess tax benefit from the exercise of employee stock options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3,105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3,922</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(12,163)</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(8,241)</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663</w:t>
            </w:r>
          </w:p>
        </w:tc>
      </w:tr>
      <w:tr>
        <w:trPr>
          <w:trHeight w:val="256"/>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1"/>
              </w:rPr>
              <w:t>(12,333)</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(20,672)</w:t>
            </w:r>
          </w:p>
        </w:tc>
      </w:tr>
      <w:tr>
        <w:trPr>
          <w:trHeight w:val="264"/>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49,372</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91,906</w:t>
            </w:r>
          </w:p>
        </w:tc>
      </w:tr>
      <w:tr>
        <w:trPr>
          <w:trHeight w:val="243"/>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37,039</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71,234</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1,122</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1,843</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580</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407</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Contingent earn-out in connection with acquisitions recorded in accrued expenses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1,810</w:t>
            </w:r>
          </w:p>
        </w:tc>
      </w:tr>
      <w:tr>
        <w:trPr>
          <w:trHeight w:val="21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Acquisition costs recorded in accrued expenses</w:t>
            </w:r>
          </w:p>
        </w:tc>
        <w:tc>
          <w:tcPr>
            <w:tcW w:w="920" w:type="dxa"/>
            <w:vAlign w:val="bottom"/>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250</w:t>
            </w:r>
          </w:p>
        </w:tc>
      </w:tr>
      <w:tr>
        <w:trPr>
          <w:trHeight w:val="20"/>
        </w:trPr>
        <w:tc>
          <w:tcPr>
            <w:tcW w:w="83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732"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offices in Amsterdam, Atlanta, Berlin, London, Mannheim, Melbourne, Milan, Ra'anana, Reading (UK), San Francisco and Tokyo.</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online engagement solutions offering a cloud-based platform which enables businesses to proactively connect with consumers through chat, voice and content delivery, across multiple channels and screens, including websites, social media, tablets and mobile devices. The Company’s engagements are driven by insights derived from a broad set of consumer and business data, including historical, behavioral, operational, and third party data. Each engagement is based on proprietary analytics and a real-time understanding of consumer needs and business objectives. The Company’s products, coupled with its domain knowledge and industry expertise, have been proven to maximize the effectiveness of the online channel — by increasing sales, as well as consumer satisfaction and loyalty ratings for its customers, while also enabling its customers to reduce consumer service costs.</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LivePerson monitors and analyzes valuable online consumer behavioral data on behalf of its customers. Spanning the breadth of an online visitor session, starting from an initial keyword search through actions on their customer’s website, and even into a shopping cart and an executed sale, this data enables the Company to develop unique insights into consumer behavior during specific transactions within a customer’s user base.</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June 30, 2015 and for the three and six months ended June 30, 2015 and 2014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June 30, 2015, and the consolidated results of operations, comprehensive loss and cash flows for the interim periods ended June 30, 2015 and 2014.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2014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2014, included in the Company’s Annual Report on Form 10-K filed with the SEC on March 12,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On February 18, 2015, the Financial Accounting Standards Board (“FASB”) issued Accounting Standards Update (“ASU”) 2015-02,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Amendments to the Consolidation Analysis </w:t>
      </w:r>
      <w:r>
        <w:rPr>
          <w:rFonts w:ascii="Arial" w:cs="Arial" w:eastAsia="Arial" w:hAnsi="Arial"/>
          <w:sz w:val="17"/>
          <w:szCs w:val="17"/>
          <w:color w:val="auto"/>
        </w:rPr>
        <w:t>(“ASU 2015-02”), which affects reporting entities that are required to evaluate whether they should consolidate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The Company does not expect to early adopt ASU 2015-02, which will be effective for its fiscal year ending December 31, 2016. The Company does not believe the standard will have a material impact on its consolidated financial statements.</w:t>
      </w:r>
    </w:p>
    <w:p>
      <w:pPr>
        <w:spacing w:after="0" w:line="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will adopt this guidance at the beginning of its first quarter of fiscal year 2017. Adoption of this guidance is not expected to have a material impact on the Company's consolidated financial statements or disclosures.</w:t>
      </w:r>
    </w:p>
    <w:p>
      <w:pPr>
        <w:spacing w:after="0" w:line="27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Diluted net loss per common share for the three and six months ended June 30, 2015 does not include the effect of options to purchase 10,102,158 shares of common stock, as the effect of their inclusion is anti-dilutive. Diluted net loss per common share for the three and six months ended June 30, 2014 does not include the effect of options to purchase 11,434,227 shares of common stock, as the effect of their inclusion is anti-dilutive.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5620" w:type="dxa"/>
            <w:vAlign w:val="bottom"/>
          </w:tcPr>
          <w:p>
            <w:pPr>
              <w:spacing w:after="0"/>
              <w:rPr>
                <w:sz w:val="24"/>
                <w:szCs w:val="24"/>
                <w:color w:val="auto"/>
              </w:rPr>
            </w:pPr>
          </w:p>
        </w:tc>
        <w:tc>
          <w:tcPr>
            <w:tcW w:w="1860" w:type="dxa"/>
            <w:vAlign w:val="bottom"/>
            <w:tcBorders>
              <w:bottom w:val="single" w:sz="8" w:color="auto"/>
            </w:tcBorders>
            <w:gridSpan w:val="3"/>
          </w:tcPr>
          <w:p>
            <w:pPr>
              <w:jc w:val="center"/>
              <w:ind w:left="943"/>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FFCC"/>
            </w:tcBorders>
          </w:tcPr>
          <w:p>
            <w:pPr>
              <w:spacing w:after="0"/>
              <w:rPr>
                <w:sz w:val="22"/>
                <w:szCs w:val="22"/>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FFCC"/>
            </w:tcBorders>
          </w:tcPr>
          <w:p>
            <w:pPr>
              <w:spacing w:after="0"/>
              <w:rPr>
                <w:sz w:val="22"/>
                <w:szCs w:val="22"/>
                <w:color w:val="auto"/>
              </w:rPr>
            </w:pP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r>
      <w:tr>
        <w:trPr>
          <w:trHeight w:val="236"/>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380" w:type="dxa"/>
            <w:vAlign w:val="bottom"/>
            <w:tcBorders>
              <w:bottom w:val="single" w:sz="8" w:color="CCFFCC"/>
            </w:tcBorders>
            <w:shd w:val="clear" w:color="auto" w:fill="CCFFCC"/>
          </w:tcPr>
          <w:p>
            <w:pPr>
              <w:jc w:val="right"/>
              <w:ind w:right="63"/>
              <w:spacing w:after="0"/>
              <w:rPr>
                <w:sz w:val="20"/>
                <w:szCs w:val="20"/>
                <w:color w:val="auto"/>
              </w:rPr>
            </w:pPr>
            <w:r>
              <w:rPr>
                <w:rFonts w:ascii="Arial" w:cs="Arial" w:eastAsia="Arial" w:hAnsi="Arial"/>
                <w:sz w:val="16"/>
                <w:szCs w:val="16"/>
                <w:color w:val="auto"/>
              </w:rPr>
              <w:t>56,491,989</w:t>
            </w:r>
          </w:p>
        </w:tc>
        <w:tc>
          <w:tcPr>
            <w:tcW w:w="1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54,189,722</w:t>
            </w:r>
          </w:p>
        </w:tc>
        <w:tc>
          <w:tcPr>
            <w:tcW w:w="140" w:type="dxa"/>
            <w:vAlign w:val="bottom"/>
            <w:tcBorders>
              <w:bottom w:val="single" w:sz="8" w:color="CCFFCC"/>
            </w:tcBorders>
            <w:shd w:val="clear" w:color="auto" w:fill="CCFFCC"/>
          </w:tcPr>
          <w:p>
            <w:pPr>
              <w:spacing w:after="0"/>
              <w:rPr>
                <w:sz w:val="20"/>
                <w:szCs w:val="20"/>
                <w:color w:val="auto"/>
              </w:rPr>
            </w:pPr>
          </w:p>
        </w:tc>
        <w:tc>
          <w:tcPr>
            <w:tcW w:w="13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56,392,240</w:t>
            </w:r>
          </w:p>
        </w:tc>
        <w:tc>
          <w:tcPr>
            <w:tcW w:w="10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54,766,811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186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380" w:type="dxa"/>
            <w:vAlign w:val="bottom"/>
            <w:tcBorders>
              <w:bottom w:val="single" w:sz="8" w:color="auto"/>
            </w:tcBorders>
            <w:shd w:val="clear" w:color="auto" w:fill="CCFFCC"/>
          </w:tcPr>
          <w:p>
            <w:pPr>
              <w:jc w:val="right"/>
              <w:ind w:right="63"/>
              <w:spacing w:after="0"/>
              <w:rPr>
                <w:sz w:val="20"/>
                <w:szCs w:val="20"/>
                <w:color w:val="auto"/>
              </w:rPr>
            </w:pPr>
            <w:r>
              <w:rPr>
                <w:rFonts w:ascii="Arial" w:cs="Arial" w:eastAsia="Arial" w:hAnsi="Arial"/>
                <w:sz w:val="16"/>
                <w:szCs w:val="16"/>
                <w:color w:val="auto"/>
              </w:rPr>
              <w:t>56,491,989</w:t>
            </w:r>
          </w:p>
        </w:tc>
        <w:tc>
          <w:tcPr>
            <w:tcW w:w="1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54,189,722</w:t>
            </w:r>
          </w:p>
        </w:tc>
        <w:tc>
          <w:tcPr>
            <w:tcW w:w="14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56,392,240</w:t>
            </w:r>
          </w:p>
        </w:tc>
        <w:tc>
          <w:tcPr>
            <w:tcW w:w="10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54,766,811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50,197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50,197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3,862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3,862</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5,275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5,275</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55,472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3,862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59,334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17,271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17,887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22,617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24,382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1,178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23,568</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23,568</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14,406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2014,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41,996</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41,996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4,539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4,539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4,552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4,552</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46,548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4,539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51,087</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12,483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13,161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18,799</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20,077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19,124</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19,124</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15,060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100,809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100,809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7,559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7,559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10,736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10,736</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111,545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7,559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119,104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32,887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34,141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45,531</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3,145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48,676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2,490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43,533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43,533</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30,637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(43,533)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2014,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81,677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81,677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8,448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8,448</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8,790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8,790</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90,467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8,448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98,915</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23,627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24,896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35,717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2,755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38,472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37,573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37,573</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30,727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(2,422)</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236"/>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38,996</w:t>
            </w:r>
          </w:p>
        </w:tc>
        <w:tc>
          <w:tcPr>
            <w:tcW w:w="14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33,765</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80,437</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64,865</w:t>
            </w:r>
          </w:p>
        </w:tc>
      </w:tr>
      <w:tr>
        <w:trPr>
          <w:trHeight w:val="270"/>
        </w:trPr>
        <w:tc>
          <w:tcPr>
            <w:tcW w:w="60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3,145</w:t>
            </w:r>
          </w:p>
        </w:tc>
        <w:tc>
          <w:tcPr>
            <w:tcW w:w="140" w:type="dxa"/>
            <w:vAlign w:val="bottom"/>
            <w:tcBorders>
              <w:bottom w:val="single" w:sz="8" w:color="CCFFC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CCFFC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5,848</w:t>
            </w:r>
          </w:p>
        </w:tc>
        <w:tc>
          <w:tcPr>
            <w:tcW w:w="100" w:type="dxa"/>
            <w:vAlign w:val="bottom"/>
            <w:tcBorders>
              <w:bottom w:val="single" w:sz="8" w:color="CCFFC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4,321</w:t>
            </w:r>
          </w:p>
        </w:tc>
      </w:tr>
      <w:tr>
        <w:trPr>
          <w:trHeight w:val="23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3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42,141</w:t>
            </w:r>
          </w:p>
        </w:tc>
        <w:tc>
          <w:tcPr>
            <w:tcW w:w="14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35,937</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86,285</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69,186</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EMEA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13,421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25,206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21,569</w:t>
            </w:r>
          </w:p>
        </w:tc>
      </w:tr>
      <w:tr>
        <w:trPr>
          <w:trHeight w:val="270"/>
        </w:trPr>
        <w:tc>
          <w:tcPr>
            <w:tcW w:w="606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3,772</w:t>
            </w:r>
          </w:p>
        </w:tc>
        <w:tc>
          <w:tcPr>
            <w:tcW w:w="140" w:type="dxa"/>
            <w:vAlign w:val="bottom"/>
            <w:shd w:val="clear" w:color="auto" w:fill="CCFFCC"/>
          </w:tcPr>
          <w:p>
            <w:pPr>
              <w:spacing w:after="0"/>
              <w:rPr>
                <w:sz w:val="23"/>
                <w:szCs w:val="23"/>
                <w:color w:val="auto"/>
              </w:rPr>
            </w:pPr>
          </w:p>
        </w:tc>
        <w:tc>
          <w:tcPr>
            <w:tcW w:w="380" w:type="dxa"/>
            <w:vAlign w:val="bottom"/>
            <w:tcBorders>
              <w:bottom w:val="single" w:sz="8" w:color="auto"/>
            </w:tcBorders>
            <w:shd w:val="clear" w:color="auto" w:fill="CCFFCC"/>
          </w:tcPr>
          <w:p>
            <w:pPr>
              <w:spacing w:after="0"/>
              <w:rPr>
                <w:sz w:val="23"/>
                <w:szCs w:val="23"/>
                <w:color w:val="auto"/>
              </w:rPr>
            </w:pPr>
          </w:p>
        </w:tc>
        <w:tc>
          <w:tcPr>
            <w:tcW w:w="10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4,095</w:t>
            </w:r>
          </w:p>
        </w:tc>
        <w:tc>
          <w:tcPr>
            <w:tcW w:w="12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7,613</w:t>
            </w:r>
          </w:p>
        </w:tc>
        <w:tc>
          <w:tcPr>
            <w:tcW w:w="100" w:type="dxa"/>
            <w:vAlign w:val="bottom"/>
            <w:shd w:val="clear" w:color="auto" w:fill="CCFFCC"/>
          </w:tcPr>
          <w:p>
            <w:pPr>
              <w:spacing w:after="0"/>
              <w:rPr>
                <w:sz w:val="23"/>
                <w:szCs w:val="23"/>
                <w:color w:val="auto"/>
              </w:rPr>
            </w:pPr>
          </w:p>
        </w:tc>
        <w:tc>
          <w:tcPr>
            <w:tcW w:w="32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8,160</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59,334</w:t>
            </w:r>
          </w:p>
        </w:tc>
        <w:tc>
          <w:tcPr>
            <w:tcW w:w="14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51,087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119,104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98,915</w:t>
            </w: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109,567</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109,006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17,758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18,982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7,827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8,500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9,458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7,686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1,940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147,005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146,114</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and Italy</w:t>
      </w:r>
    </w:p>
    <w:p>
      <w:pPr>
        <w:spacing w:after="0" w:line="14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 individual customer accounted for 10% or more of consolidated revenue for any of the periods presented. No individual customer accounted for 10% or more of accounts receivable as of June 30, 2015. One customer accounted for approximately 22% of accounts receivable as of December 31, 2014.</w:t>
      </w:r>
    </w:p>
    <w:p>
      <w:pPr>
        <w:spacing w:after="0" w:line="22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2015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340" w:type="dxa"/>
            <w:vAlign w:val="bottom"/>
          </w:tcPr>
          <w:p>
            <w:pPr>
              <w:spacing w:after="0"/>
              <w:rPr>
                <w:sz w:val="16"/>
                <w:szCs w:val="16"/>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2014</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72,824</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40" w:type="dxa"/>
            <w:vAlign w:val="bottom"/>
            <w:tcBorders>
              <w:top w:val="single" w:sz="8" w:color="auto"/>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80,848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(490)</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June 30, 2015</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72,334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80,358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As of June 30, 2015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(13,468)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14,537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5.3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16,008</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(5,455)</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10,553</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7.9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2.8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(800)</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646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2.3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9.7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312</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(271)</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41</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50,498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28,762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 December 31, 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27,844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(11,303)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16,541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5.3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16,008</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(4,055)</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11,953</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7.9 years</w:t>
            </w:r>
          </w:p>
        </w:tc>
        <w:tc>
          <w:tcPr>
            <w:tcW w:w="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1,287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2.8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1,446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(625)</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821</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2.3 years</w:t>
            </w:r>
          </w:p>
        </w:tc>
        <w:tc>
          <w:tcPr>
            <w:tcW w:w="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9.9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312</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(267)</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50,187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(17,567)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32,620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$2.0 million and $1.1 million for the three months ended June 30, 2015 and 2014, respectively. Aggregate amortization expense for intangible assets was $4.2 million and $2.1 million for the six months ended June 30, 2015 and 2014, respectively. For the three and six months ended June 30, 2015 and 2014, respectively, a portion of this amortization is included in cost of revenue. Estimated amortization expense for the next five years is as follows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2015</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3,961</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6,755</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4,934</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2,815</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2,809</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7,488</w:t>
            </w:r>
          </w:p>
        </w:tc>
      </w:tr>
      <w:tr>
        <w:trPr>
          <w:trHeight w:val="33"/>
        </w:trPr>
        <w:tc>
          <w:tcPr>
            <w:tcW w:w="9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28,762</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63,684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55,293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9,439</w:t>
            </w:r>
          </w:p>
        </w:tc>
      </w:tr>
      <w:tr>
        <w:trPr>
          <w:trHeight w:val="27"/>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73,976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64,732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(45,149)</w:t>
            </w:r>
          </w:p>
        </w:tc>
      </w:tr>
      <w:tr>
        <w:trPr>
          <w:trHeight w:val="27"/>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22,921</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19,583</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accrued and other current liabilities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15,373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9,258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3,268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Contingent earnout (see Notes 8 and 9)</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6,940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2,933</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32,509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37,772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 Pty Ltd.</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2012, the Company acquired all of the outstanding shares of Engage Pty Ltd. (“Engage”), an Australian provider of cloud-based customer contact solutions. The transaction was accounted for under the purchase method of accounting and, accordingly, the operating results of Engage were included in the Company’s consolidated results of operations from the date of acquisition.</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purchase price was approximately $10.6 million. The total acquisition costs incurred in the year ended December 31, 2012 were approximately $0.5 million and are included in general and administrative expenses in the Company’s condensed consolidated statements of operations for the same period. The acquisition enhances the Company’s ability to offer intelligent engagement solutions to businesses in the Asia Pacific region. Of the total purchase price, $0.8 million was allocated to the net book values of the acquired assets and assumed liabilities. The historical carrying amounts of such assets and liabilities approximated their fair values. All receivables acquired are expected to be collectible. The purchase price in excess of the fair value of the net book values of the assets acquired and liabilities assumed was allocated to intangible assets based on management’s best estimate of fair values, taking into account all relevant information available at the time of acquisition, and the excess was allocated to goodwill. The goodwill is not deductible for tax purposes. The intangible assets are being amortized over their expected period of benefit. The purchase price includes approximately $1.7 million of potential earn-out consideration for the shareholders if certain revenue targets are achieved. The earn-out is payable in shares of LivePerson common stock and cash. The Company recorded the contingent earn-out as part of the purchase price. In accordance with ASC 480, the Company has classified this amount as a liability with the amount included in accrued expenses. At June 30, 2015, the Company assessed this earn-out and recorded a $0.7 million fair value remeasurement adjustment, which was recorded in operating income as a decrease to general and administrative expenses and costs of revenue. As of June 30, 2015, there was no remaining liability included in accrued expenses relating to this earn-out.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NexGraph,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11, 2014, the Company acquired all the outstanding shares of NexGraph, LLC (“NexGraph”), a company focused on analytic solutions, in exchange for aggregate cash consideration of $0.5 million. Of the purchase price, $0.1 million was allocated to Intangibles, net, of which was fully amortized as of June 30, 2015; and $0.4 million of the purchase price was allocated to Goodwill.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condensed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is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June 30, 2015 condensed consolidated balance sheet, due to the variable number of shares that will be issued if and when the targets are achieved. The Company has assessed the earn-out calculation at June 30, 2015, with no change from the original estimate, and will assess the earn-out calculation in future periods and any future adjustments will affect operating income.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intangible assets are as follows (amounts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Average Useful</w:t>
            </w:r>
          </w:p>
        </w:tc>
        <w:tc>
          <w:tcPr>
            <w:tcW w:w="480" w:type="dxa"/>
            <w:vAlign w:val="bottom"/>
          </w:tcPr>
          <w:p>
            <w:pPr>
              <w:spacing w:after="0"/>
              <w:rPr>
                <w:sz w:val="12"/>
                <w:szCs w:val="12"/>
                <w:color w:val="auto"/>
              </w:rPr>
            </w:pPr>
          </w:p>
        </w:tc>
        <w:tc>
          <w:tcPr>
            <w:tcW w:w="1780" w:type="dxa"/>
            <w:vAlign w:val="bottom"/>
            <w:vMerge w:val="restart"/>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rPr>
              <w:t>Life (Months)</w:t>
            </w:r>
          </w:p>
        </w:tc>
        <w:tc>
          <w:tcPr>
            <w:tcW w:w="4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Technology</w:t>
            </w:r>
          </w:p>
        </w:tc>
        <w:tc>
          <w:tcPr>
            <w:tcW w:w="230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120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480" w:type="dxa"/>
            <w:vAlign w:val="bottom"/>
            <w:tcBorders>
              <w:top w:val="single" w:sz="8" w:color="auto"/>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Trade-name</w:t>
            </w: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Customer relationships</w:t>
            </w:r>
          </w:p>
        </w:tc>
        <w:tc>
          <w:tcPr>
            <w:tcW w:w="23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17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Non-compete agreements</w:t>
            </w: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FFCC"/>
            </w:tcBorders>
          </w:tcPr>
          <w:p>
            <w:pPr>
              <w:spacing w:after="0"/>
              <w:rPr>
                <w:sz w:val="2"/>
                <w:szCs w:val="2"/>
                <w:color w:val="auto"/>
              </w:rPr>
            </w:pPr>
          </w:p>
        </w:tc>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FFCC"/>
            </w:tcBorders>
            <w:shd w:val="clear" w:color="auto" w:fill="CCFFCC"/>
          </w:tcPr>
          <w:p>
            <w:pPr>
              <w:spacing w:after="0"/>
              <w:rPr>
                <w:sz w:val="21"/>
                <w:szCs w:val="21"/>
                <w:color w:val="auto"/>
              </w:rPr>
            </w:pPr>
          </w:p>
        </w:tc>
        <w:tc>
          <w:tcPr>
            <w:tcW w:w="2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23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w:t>
      </w:r>
    </w:p>
    <w:p>
      <w:pPr>
        <w:spacing w:after="0" w:line="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includes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In accordance with ASC 480, the Company has classified this amount as a liability and is included in accrued expenses in the December 31, 2014 consolidated balance sheet. The Company has assessed this earn-out at June 30, 2015, with no change from the original estimate, and will assess the earn-out calculation in future periods and any future adjustments will affect operating income.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Management’s allocation of the purchase price in connection with the CAO! acquisition is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Cash</w:t>
            </w:r>
          </w:p>
        </w:tc>
        <w:tc>
          <w:tcPr>
            <w:tcW w:w="22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currents assets</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assets</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Goodwill</w:t>
            </w:r>
          </w:p>
        </w:tc>
        <w:tc>
          <w:tcPr>
            <w:tcW w:w="22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45,064</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Liabilities assumed</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64"/>
        </w:trPr>
        <w:tc>
          <w:tcPr>
            <w:tcW w:w="6740" w:type="dxa"/>
            <w:vAlign w:val="bottom"/>
          </w:tcPr>
          <w:p>
            <w:pPr>
              <w:ind w:left="360"/>
              <w:spacing w:after="0"/>
              <w:rPr>
                <w:sz w:val="20"/>
                <w:szCs w:val="20"/>
                <w:color w:val="auto"/>
              </w:rPr>
            </w:pPr>
            <w:r>
              <w:rPr>
                <w:rFonts w:ascii="Arial" w:cs="Arial" w:eastAsia="Arial" w:hAnsi="Arial"/>
                <w:sz w:val="18"/>
                <w:szCs w:val="18"/>
                <w:color w:val="auto"/>
              </w:rPr>
              <w:t>Total purchase price consideration</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66,998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w w:val="95"/>
              </w:rPr>
              <w:t>The components of the intangible assets are as follows (amounts in thousands):</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Average Useful</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restart"/>
          </w:tcPr>
          <w:p>
            <w:pPr>
              <w:jc w:val="right"/>
              <w:ind w:right="79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rPr>
              <w:t>Life (Months)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Technology</w:t>
            </w:r>
          </w:p>
        </w:tc>
        <w:tc>
          <w:tcPr>
            <w:tcW w:w="22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96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580" w:type="dxa"/>
            <w:vAlign w:val="bottom"/>
            <w:tcBorders>
              <w:top w:val="single" w:sz="8" w:color="auto"/>
              <w:bottom w:val="single" w:sz="8" w:color="CCFFCC"/>
            </w:tcBorders>
            <w:shd w:val="clear" w:color="auto" w:fill="CCFFCC"/>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480" w:type="dxa"/>
            <w:vAlign w:val="bottom"/>
            <w:tcBorders>
              <w:top w:val="single" w:sz="8" w:color="auto"/>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Trade-name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Customer relationships</w:t>
            </w:r>
          </w:p>
        </w:tc>
        <w:tc>
          <w:tcPr>
            <w:tcW w:w="22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FFCC"/>
            </w:tcBorders>
            <w:shd w:val="clear" w:color="auto" w:fill="CCFFCC"/>
          </w:tcPr>
          <w:p>
            <w:pPr>
              <w:spacing w:after="0"/>
              <w:rPr>
                <w:sz w:val="22"/>
                <w:szCs w:val="22"/>
                <w:color w:val="auto"/>
              </w:rPr>
            </w:pPr>
          </w:p>
        </w:tc>
        <w:tc>
          <w:tcPr>
            <w:tcW w:w="22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CCFFCC"/>
            </w:tcBorders>
            <w:shd w:val="clear" w:color="auto" w:fill="CCFFCC"/>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as of June 30, 2015 and December 31, 2014, are summarized as follows (amounts in thousands). The Company's restricted cash balance of $5.5 million at June 30, 2015 is not held in a money market account and is not included in the following table.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80"/>
              <w:spacing w:after="0"/>
              <w:rPr>
                <w:sz w:val="20"/>
                <w:szCs w:val="20"/>
                <w:color w:val="auto"/>
              </w:rPr>
            </w:pPr>
            <w:r>
              <w:rPr>
                <w:rFonts w:ascii="Arial" w:cs="Arial" w:eastAsia="Arial" w:hAnsi="Arial"/>
                <w:sz w:val="16"/>
                <w:szCs w:val="16"/>
                <w:b w:val="1"/>
                <w:bCs w:val="1"/>
                <w:color w:val="auto"/>
              </w:rPr>
              <w:t>June 30, 2015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2,840</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2,840</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4,240</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5,847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5,847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6,940</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5,847</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5,847</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only asset that is measured at fair value on a recurring basis is money market funds, based on quoted market prices in active markets and therefore classified as level 1 within the fair value hierarchy. The Company's contingent earn-out liability and foreign currency derivative contract liability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a combination of discounted cash flows and other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was no contingent earn-out in connection with the acquisition of Engage as of June 30, 2015. The contingent earn-out in connection with the acquisition of Engage was $0.9 million as of December 31, 2014 and was recorded in accrued expenses in the condensed consolidated balance sheets. This earn-out is based on the potential earn-out consideration if certain revenue targets are achieved. During the three months ended June 30, 2015, the contingent-earnout decreased by $0.7 million in connection with the Engage acquisition which was remeasured to fair value. The contingent earn-out balance was increased by $1.8 million in June 2014 in connection with the acquisition of Synchronite and $4.2 million in November 2014 in connection with the acquisition of CAO!. The contingent earn-out amounts are recorded in accrued expense on the condensed consolidated balance sheets as they are payable in 2015. The contingent earn-out relating to Synchronite is based on the fulfillment of a complete product integration and a minimum number of “Co-Browse” interactions per month. The contingent earn-out relating to CAO! is based on achieving certain target financial, strategic and integration objectives and milestones.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Contingent Earn-Out</w:t>
            </w:r>
          </w:p>
        </w:tc>
        <w:tc>
          <w:tcPr>
            <w:tcW w:w="60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 2014</w:t>
            </w:r>
          </w:p>
        </w:tc>
      </w:tr>
      <w:tr>
        <w:trPr>
          <w:trHeight w:val="236"/>
        </w:trPr>
        <w:tc>
          <w:tcPr>
            <w:tcW w:w="7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Period</w:t>
            </w:r>
          </w:p>
        </w:tc>
        <w:tc>
          <w:tcPr>
            <w:tcW w:w="2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6,940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760" w:type="dxa"/>
            <w:vAlign w:val="bottom"/>
            <w:tcBorders>
              <w:top w:val="single" w:sz="8" w:color="auto"/>
              <w:bottom w:val="single" w:sz="8" w:color="CCFFCC"/>
            </w:tcBorders>
            <w:shd w:val="clear" w:color="auto" w:fill="CCFFCC"/>
          </w:tcPr>
          <w:p>
            <w:pPr>
              <w:jc w:val="right"/>
              <w:ind w:right="58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1,660</w:t>
            </w:r>
          </w:p>
        </w:tc>
      </w:tr>
      <w:tr>
        <w:trPr>
          <w:trHeight w:val="237"/>
        </w:trPr>
        <w:tc>
          <w:tcPr>
            <w:tcW w:w="7740" w:type="dxa"/>
            <w:vAlign w:val="bottom"/>
          </w:tcPr>
          <w:p>
            <w:pPr>
              <w:ind w:left="160"/>
              <w:spacing w:after="0"/>
              <w:rPr>
                <w:sz w:val="20"/>
                <w:szCs w:val="20"/>
                <w:color w:val="auto"/>
              </w:rPr>
            </w:pPr>
            <w:r>
              <w:rPr>
                <w:rFonts w:ascii="Arial" w:cs="Arial" w:eastAsia="Arial" w:hAnsi="Arial"/>
                <w:sz w:val="16"/>
                <w:szCs w:val="16"/>
                <w:color w:val="auto"/>
              </w:rPr>
              <w:t>Synchronite addition (see Note 8)</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1,810</w:t>
            </w:r>
          </w:p>
        </w:tc>
      </w:tr>
      <w:tr>
        <w:trPr>
          <w:trHeight w:val="33"/>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CAO! addition (see Note 8)</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4,220</w:t>
            </w:r>
          </w:p>
        </w:tc>
      </w:tr>
      <w:tr>
        <w:trPr>
          <w:trHeight w:val="237"/>
        </w:trPr>
        <w:tc>
          <w:tcPr>
            <w:tcW w:w="7740" w:type="dxa"/>
            <w:vAlign w:val="bottom"/>
          </w:tcPr>
          <w:p>
            <w:pPr>
              <w:ind w:left="160"/>
              <w:spacing w:after="0"/>
              <w:rPr>
                <w:sz w:val="20"/>
                <w:szCs w:val="20"/>
                <w:color w:val="auto"/>
              </w:rPr>
            </w:pPr>
            <w:r>
              <w:rPr>
                <w:rFonts w:ascii="Arial" w:cs="Arial" w:eastAsia="Arial" w:hAnsi="Arial"/>
                <w:sz w:val="16"/>
                <w:szCs w:val="16"/>
                <w:color w:val="auto"/>
              </w:rPr>
              <w:t>Cash payments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33"/>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Changes in fair value</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shd w:val="clear" w:color="auto" w:fill="CCFFCC"/>
          </w:tcPr>
          <w:p>
            <w:pPr>
              <w:spacing w:after="0"/>
              <w:rPr>
                <w:sz w:val="23"/>
                <w:szCs w:val="23"/>
                <w:color w:val="auto"/>
              </w:rPr>
            </w:pP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77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5,847</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6,940</w:t>
            </w: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exposed to foreign exchange risks that in part are managed by using derivative financial instruments. Beginning January 2015, the Company entered into foreign currency forward contracts related to risks associated with foreign operations. The Company does not use derivatives for trading purposes and at June 30, 2015 has no derivatives that are designated as fair value hedges.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$5.5 million at June 30, 2015 and is recorded as cash held as collateral in current assets.</w:t>
      </w:r>
    </w:p>
    <w:p>
      <w:pPr>
        <w:spacing w:after="0" w:line="5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6"/>
              </w:rPr>
              <w:t>As of June 30, 2015</w:t>
            </w:r>
          </w:p>
        </w:tc>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5"/>
              </w:rPr>
              <w:t>As of December 31, 2014</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62"/>
              <w:spacing w:after="0"/>
              <w:rPr>
                <w:sz w:val="20"/>
                <w:szCs w:val="20"/>
                <w:color w:val="auto"/>
              </w:rPr>
            </w:pPr>
            <w:r>
              <w:rPr>
                <w:rFonts w:ascii="Arial" w:cs="Arial" w:eastAsia="Arial" w:hAnsi="Arial"/>
                <w:sz w:val="16"/>
                <w:szCs w:val="16"/>
                <w:color w:val="auto"/>
              </w:rPr>
              <w:t>35,372</w:t>
            </w:r>
          </w:p>
        </w:tc>
        <w:tc>
          <w:tcPr>
            <w:tcW w:w="860" w:type="dxa"/>
            <w:vAlign w:val="bottom"/>
            <w:tcBorders>
              <w:bottom w:val="single" w:sz="8" w:color="CCFFCC"/>
            </w:tcBorders>
            <w:shd w:val="clear" w:color="auto" w:fill="CCFFCC"/>
          </w:tcPr>
          <w:p>
            <w:pPr>
              <w:jc w:val="right"/>
              <w:ind w:right="5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FFCC"/>
            </w:tcBorders>
            <w:shd w:val="clear" w:color="auto" w:fill="CCFFCC"/>
          </w:tcPr>
          <w:p>
            <w:pPr>
              <w:ind w:left="640"/>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1,400</w:t>
            </w:r>
          </w:p>
        </w:tc>
        <w:tc>
          <w:tcPr>
            <w:tcW w:w="86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are summarized below (in thousands):</w:t>
      </w:r>
    </w:p>
    <w:p>
      <w:pPr>
        <w:spacing w:after="0" w:line="230" w:lineRule="exact"/>
        <w:rPr>
          <w:sz w:val="20"/>
          <w:szCs w:val="20"/>
          <w:color w:val="auto"/>
        </w:rPr>
      </w:pPr>
    </w:p>
    <w:tbl>
      <w:tblPr>
        <w:tblLayout w:type="fixed"/>
        <w:tblInd w:w="426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Fair Value of Derivative Instruments</w:t>
            </w:r>
          </w:p>
        </w:tc>
      </w:tr>
      <w:tr>
        <w:trPr>
          <w:trHeight w:val="26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As of June 30, 2015</w:t>
            </w:r>
          </w:p>
        </w:tc>
        <w:tc>
          <w:tcPr>
            <w:tcW w:w="100" w:type="dxa"/>
            <w:vAlign w:val="bottom"/>
          </w:tcPr>
          <w:p>
            <w:pPr>
              <w:spacing w:after="0"/>
              <w:rPr>
                <w:sz w:val="22"/>
                <w:szCs w:val="22"/>
                <w:color w:val="auto"/>
              </w:rPr>
            </w:pPr>
          </w:p>
        </w:tc>
        <w:tc>
          <w:tcPr>
            <w:tcW w:w="1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As of December 31,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-8255</wp:posOffset>
            </wp:positionV>
            <wp:extent cx="718629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Derivative Assets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34925</wp:posOffset>
            </wp:positionV>
            <wp:extent cx="71862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3" w:lineRule="exact"/>
        <w:rPr>
          <w:sz w:val="20"/>
          <w:szCs w:val="20"/>
          <w:color w:val="auto"/>
        </w:rPr>
      </w:pPr>
    </w:p>
    <w:p>
      <w:pPr>
        <w:ind w:left="220"/>
        <w:spacing w:after="0"/>
        <w:tabs>
          <w:tab w:leader="none" w:pos="4260" w:val="left"/>
          <w:tab w:leader="none" w:pos="7900" w:val="left"/>
          <w:tab w:leader="none" w:pos="9100" w:val="left"/>
          <w:tab w:leader="none" w:pos="9700" w:val="left"/>
          <w:tab w:leader="none" w:pos="11080" w:val="left"/>
        </w:tabs>
        <w:rPr>
          <w:sz w:val="20"/>
          <w:szCs w:val="20"/>
          <w:color w:val="auto"/>
        </w:rPr>
      </w:pPr>
      <w:r>
        <w:rPr>
          <w:rFonts w:ascii="Arial" w:cs="Arial" w:eastAsia="Arial" w:hAnsi="Arial"/>
          <w:sz w:val="16"/>
          <w:szCs w:val="16"/>
          <w:color w:val="auto"/>
        </w:rPr>
        <w:t>Foreign currency derivatives contracts</w:t>
      </w:r>
      <w:r>
        <w:rPr>
          <w:sz w:val="20"/>
          <w:szCs w:val="20"/>
          <w:color w:val="auto"/>
        </w:rPr>
        <w:tab/>
      </w:r>
      <w:r>
        <w:rPr>
          <w:rFonts w:ascii="Arial" w:cs="Arial" w:eastAsia="Arial" w:hAnsi="Arial"/>
          <w:sz w:val="16"/>
          <w:szCs w:val="16"/>
          <w:color w:val="auto"/>
        </w:rPr>
        <w:t>Prepaid expenses and other current assets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1,400</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52070</wp:posOffset>
            </wp:positionV>
            <wp:extent cx="2212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w w:val="99"/>
              </w:rPr>
              <w:t>Gain (losses) on Derivative Instruments Recognized in Income Statement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46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460" w:type="dxa"/>
            <w:vAlign w:val="bottom"/>
            <w:tcBorders>
              <w:bottom w:val="single" w:sz="8" w:color="CCFFCC"/>
            </w:tcBorders>
          </w:tcPr>
          <w:p>
            <w:pPr>
              <w:spacing w:after="0"/>
              <w:rPr>
                <w:sz w:val="22"/>
                <w:szCs w:val="22"/>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r>
      <w:tr>
        <w:trPr>
          <w:trHeight w:val="250"/>
        </w:trPr>
        <w:tc>
          <w:tcPr>
            <w:tcW w:w="3460" w:type="dxa"/>
            <w:vAlign w:val="bottom"/>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1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Other income</w:t>
            </w:r>
          </w:p>
        </w:tc>
        <w:tc>
          <w:tcPr>
            <w:tcW w:w="1800" w:type="dxa"/>
            <w:vAlign w:val="bottom"/>
            <w:gridSpan w:val="3"/>
            <w:shd w:val="clear" w:color="auto" w:fill="CCFFCC"/>
          </w:tcPr>
          <w:p>
            <w:pPr>
              <w:jc w:val="right"/>
              <w:ind w:right="76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783"/>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FFCC"/>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FFCC"/>
          </w:tcPr>
          <w:p>
            <w:pPr>
              <w:jc w:val="right"/>
              <w:ind w:right="25"/>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w:t>
            </w:r>
          </w:p>
        </w:tc>
      </w:tr>
      <w:tr>
        <w:trPr>
          <w:trHeight w:val="20"/>
        </w:trPr>
        <w:tc>
          <w:tcPr>
            <w:tcW w:w="346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for the three and six months ended June 30, 2015 was approximately $2.4 million and $4.9 million, respectively. Rental expense for operating leases for the three and six months ended June 30, 2014 was approximately $2.4 million and $4.6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$0.4 million and $0.8 million of employer matching contributions for the three and six months ended June 30, 2015, respectively. Salaries and related expenses include $0.3 million and $0.6 million of employer matching contributions for the three and six months ended June 30, 2014,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June 30, 2015, there were 100,000,000 shares of common stock authorized, and 57,143,697 shares issued and outstanding. As of December 31, 2014, there were 100,000,000 shares of common stock authorized, and 56,701,331 shares issued and outstanding. The par value for common shares is $0.001.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2015 and December 31, 2014,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March 5, 2015, the Company's Board of Directors extended the expiration date of the program out to December 31, 2016. There were 224,172 shares repurchased under this program during 2015, of which 81,360 shares were recorded in treasury stock at par on the condensed consolidated balance sheets as of June 30, 2015. As of June 30, 2015, approximately $7.8 million remained available for purchase under the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employee stock options under ASC 718-10 included in Company’s statements of operations for the periods presented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Borders>
              <w:bottom w:val="single" w:sz="8" w:color="CCFFCC"/>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844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Sales and marketing expense</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1,737</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Product development expense</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953</w:t>
            </w:r>
          </w:p>
        </w:tc>
        <w:tc>
          <w:tcPr>
            <w:tcW w:w="12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931</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1,892</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1,611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1,712</w:t>
            </w:r>
          </w:p>
        </w:tc>
      </w:tr>
      <w:tr>
        <w:trPr>
          <w:trHeight w:val="33"/>
        </w:trPr>
        <w:tc>
          <w:tcPr>
            <w:tcW w:w="51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Total stock-based compensation included in costs and expenses</w:t>
            </w:r>
          </w:p>
        </w:tc>
        <w:tc>
          <w:tcPr>
            <w:tcW w:w="360" w:type="dxa"/>
            <w:vAlign w:val="bottom"/>
            <w:tcBorders>
              <w:bottom w:val="single" w:sz="8" w:color="auto"/>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3,207</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5,906</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5,904</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The per share weighted average fair value of stock options granted during the three and six months ended June 30, 2015 was $4.20 and $4.54, respectively. The per share weighted average fair value of stock options granted during the three and six months ended June 30, 2014 was $4.76 and $5.06, respectively. The fair value of each option grant is estimated on the date of grant using the Black-Scholes option-pricing model with the following weighted average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060" w:type="dxa"/>
            <w:vAlign w:val="bottom"/>
            <w:tcBorders>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auto"/>
                <w:w w:val="89"/>
              </w:rPr>
              <w:t>2015</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FFCC"/>
            </w:tcBorders>
          </w:tcPr>
          <w:p>
            <w:pPr>
              <w:spacing w:after="0"/>
              <w:rPr>
                <w:sz w:val="22"/>
                <w:szCs w:val="22"/>
                <w:color w:val="auto"/>
              </w:rPr>
            </w:pPr>
          </w:p>
        </w:tc>
        <w:tc>
          <w:tcPr>
            <w:tcW w:w="142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060" w:type="dxa"/>
            <w:vAlign w:val="bottom"/>
            <w:tcBorders>
              <w:bottom w:val="single" w:sz="8" w:color="CCFFCC"/>
            </w:tcBorders>
            <w:shd w:val="clear" w:color="auto" w:fill="CCFFCC"/>
          </w:tcPr>
          <w:p>
            <w:pPr>
              <w:jc w:val="center"/>
              <w:ind w:left="561"/>
              <w:spacing w:after="0"/>
              <w:rPr>
                <w:sz w:val="20"/>
                <w:szCs w:val="20"/>
                <w:color w:val="auto"/>
              </w:rPr>
            </w:pPr>
            <w:r>
              <w:rPr>
                <w:rFonts w:ascii="Arial" w:cs="Arial" w:eastAsia="Arial" w:hAnsi="Arial"/>
                <w:sz w:val="16"/>
                <w:szCs w:val="16"/>
                <w:color w:val="auto"/>
                <w:w w:val="93"/>
              </w:rPr>
              <w:t>0.0%</w:t>
            </w:r>
          </w:p>
        </w:tc>
        <w:tc>
          <w:tcPr>
            <w:tcW w:w="2380" w:type="dxa"/>
            <w:vAlign w:val="bottom"/>
            <w:tcBorders>
              <w:bottom w:val="single" w:sz="8" w:color="CCFFCC"/>
            </w:tcBorders>
            <w:gridSpan w:val="4"/>
            <w:shd w:val="clear" w:color="auto" w:fill="CCFFCC"/>
          </w:tcPr>
          <w:p>
            <w:pPr>
              <w:jc w:val="center"/>
              <w:ind w:left="683"/>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420" w:type="dxa"/>
            <w:vAlign w:val="bottom"/>
            <w:tcBorders>
              <w:bottom w:val="single" w:sz="8" w:color="CCFFCC"/>
            </w:tcBorders>
            <w:gridSpan w:val="2"/>
            <w:shd w:val="clear" w:color="auto" w:fill="CCFFCC"/>
          </w:tcPr>
          <w:p>
            <w:pPr>
              <w:jc w:val="center"/>
              <w:ind w:left="221"/>
              <w:spacing w:after="0"/>
              <w:rPr>
                <w:sz w:val="20"/>
                <w:szCs w:val="20"/>
                <w:color w:val="auto"/>
              </w:rPr>
            </w:pPr>
            <w:r>
              <w:rPr>
                <w:rFonts w:ascii="Arial" w:cs="Arial" w:eastAsia="Arial" w:hAnsi="Arial"/>
                <w:sz w:val="16"/>
                <w:szCs w:val="16"/>
                <w:color w:val="auto"/>
                <w:w w:val="87"/>
              </w:rPr>
              <w:t>0.0%</w:t>
            </w:r>
          </w:p>
        </w:tc>
        <w:tc>
          <w:tcPr>
            <w:tcW w:w="2100" w:type="dxa"/>
            <w:vAlign w:val="bottom"/>
            <w:tcBorders>
              <w:bottom w:val="single" w:sz="8" w:color="CCFFCC"/>
            </w:tcBorders>
            <w:gridSpan w:val="4"/>
            <w:shd w:val="clear" w:color="auto" w:fill="CCFFCC"/>
          </w:tcPr>
          <w:p>
            <w:pPr>
              <w:jc w:val="center"/>
              <w:ind w:left="321"/>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060" w:type="dxa"/>
            <w:vAlign w:val="bottom"/>
          </w:tcPr>
          <w:p>
            <w:pPr>
              <w:jc w:val="center"/>
              <w:ind w:left="561"/>
              <w:spacing w:after="0"/>
              <w:rPr>
                <w:sz w:val="20"/>
                <w:szCs w:val="20"/>
                <w:color w:val="auto"/>
              </w:rPr>
            </w:pPr>
            <w:r>
              <w:rPr>
                <w:rFonts w:ascii="Arial" w:cs="Arial" w:eastAsia="Arial" w:hAnsi="Arial"/>
                <w:sz w:val="16"/>
                <w:szCs w:val="16"/>
                <w:color w:val="auto"/>
                <w:w w:val="93"/>
              </w:rPr>
              <w:t>1.4%</w:t>
            </w: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860" w:type="dxa"/>
            <w:vAlign w:val="bottom"/>
          </w:tcPr>
          <w:p>
            <w:pPr>
              <w:ind w:left="40"/>
              <w:spacing w:after="0"/>
              <w:rPr>
                <w:sz w:val="20"/>
                <w:szCs w:val="20"/>
                <w:color w:val="auto"/>
              </w:rPr>
            </w:pPr>
            <w:r>
              <w:rPr>
                <w:rFonts w:ascii="Arial" w:cs="Arial" w:eastAsia="Arial" w:hAnsi="Arial"/>
                <w:sz w:val="16"/>
                <w:szCs w:val="16"/>
                <w:color w:val="auto"/>
              </w:rPr>
              <w:t>- 1.7%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620" w:type="dxa"/>
            <w:vAlign w:val="bottom"/>
          </w:tcPr>
          <w:p>
            <w:pPr>
              <w:ind w:left="40"/>
              <w:spacing w:after="0"/>
              <w:rPr>
                <w:sz w:val="20"/>
                <w:szCs w:val="20"/>
                <w:color w:val="auto"/>
              </w:rPr>
            </w:pPr>
            <w:r>
              <w:rPr>
                <w:rFonts w:ascii="Arial" w:cs="Arial" w:eastAsia="Arial" w:hAnsi="Arial"/>
                <w:sz w:val="16"/>
                <w:szCs w:val="16"/>
                <w:color w:val="auto"/>
              </w:rPr>
              <w:t>- 1.4%</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900" w:type="dxa"/>
            <w:vAlign w:val="bottom"/>
          </w:tcPr>
          <w:p>
            <w:pPr>
              <w:ind w:left="20"/>
              <w:spacing w:after="0"/>
              <w:rPr>
                <w:sz w:val="20"/>
                <w:szCs w:val="20"/>
                <w:color w:val="auto"/>
              </w:rPr>
            </w:pPr>
            <w:r>
              <w:rPr>
                <w:rFonts w:ascii="Arial" w:cs="Arial" w:eastAsia="Arial" w:hAnsi="Arial"/>
                <w:sz w:val="16"/>
                <w:szCs w:val="16"/>
                <w:color w:val="auto"/>
              </w:rPr>
              <w:t>- 1.7%</w:t>
            </w:r>
          </w:p>
        </w:tc>
      </w:tr>
      <w:tr>
        <w:trPr>
          <w:trHeight w:val="33"/>
        </w:trPr>
        <w:tc>
          <w:tcPr>
            <w:tcW w:w="4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1060" w:type="dxa"/>
            <w:vAlign w:val="bottom"/>
            <w:tcBorders>
              <w:bottom w:val="single" w:sz="8" w:color="CCFFCC"/>
            </w:tcBorders>
            <w:shd w:val="clear" w:color="auto" w:fill="CCFFCC"/>
          </w:tcPr>
          <w:p>
            <w:pPr>
              <w:jc w:val="center"/>
              <w:ind w:left="581"/>
              <w:spacing w:after="0"/>
              <w:rPr>
                <w:sz w:val="20"/>
                <w:szCs w:val="20"/>
                <w:color w:val="auto"/>
              </w:rPr>
            </w:pPr>
            <w:r>
              <w:rPr>
                <w:rFonts w:ascii="Arial" w:cs="Arial" w:eastAsia="Arial" w:hAnsi="Arial"/>
                <w:sz w:val="16"/>
                <w:szCs w:val="16"/>
                <w:color w:val="auto"/>
                <w:w w:val="89"/>
              </w:rPr>
              <w:t>5</w:t>
            </w: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center"/>
              <w:ind w:right="659"/>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center"/>
              <w:ind w:right="421"/>
              <w:spacing w:after="0"/>
              <w:rPr>
                <w:sz w:val="20"/>
                <w:szCs w:val="20"/>
                <w:color w:val="auto"/>
              </w:rPr>
            </w:pPr>
            <w:r>
              <w:rPr>
                <w:rFonts w:ascii="Arial" w:cs="Arial" w:eastAsia="Arial" w:hAnsi="Arial"/>
                <w:sz w:val="16"/>
                <w:szCs w:val="16"/>
                <w:color w:val="auto"/>
                <w:w w:val="89"/>
              </w:rPr>
              <w:t>5</w:t>
            </w:r>
          </w:p>
        </w:tc>
        <w:tc>
          <w:tcPr>
            <w:tcW w:w="3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1060" w:type="dxa"/>
            <w:vAlign w:val="bottom"/>
          </w:tcPr>
          <w:p>
            <w:pPr>
              <w:jc w:val="center"/>
              <w:ind w:left="561"/>
              <w:spacing w:after="0"/>
              <w:rPr>
                <w:sz w:val="20"/>
                <w:szCs w:val="20"/>
                <w:color w:val="auto"/>
              </w:rPr>
            </w:pPr>
            <w:r>
              <w:rPr>
                <w:rFonts w:ascii="Arial" w:cs="Arial" w:eastAsia="Arial" w:hAnsi="Arial"/>
                <w:sz w:val="16"/>
                <w:szCs w:val="16"/>
                <w:color w:val="auto"/>
                <w:w w:val="92"/>
              </w:rPr>
              <w:t>49.4%</w:t>
            </w: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52.6%</w:t>
            </w:r>
          </w:p>
        </w:tc>
        <w:tc>
          <w:tcPr>
            <w:tcW w:w="860" w:type="dxa"/>
            <w:vAlign w:val="bottom"/>
          </w:tcPr>
          <w:p>
            <w:pPr>
              <w:ind w:left="40"/>
              <w:spacing w:after="0"/>
              <w:rPr>
                <w:sz w:val="20"/>
                <w:szCs w:val="20"/>
                <w:color w:val="auto"/>
              </w:rPr>
            </w:pPr>
            <w:r>
              <w:rPr>
                <w:rFonts w:ascii="Arial" w:cs="Arial" w:eastAsia="Arial" w:hAnsi="Arial"/>
                <w:sz w:val="16"/>
                <w:szCs w:val="16"/>
                <w:color w:val="auto"/>
              </w:rPr>
              <w:t>- 53.2%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49.4%</w:t>
            </w:r>
          </w:p>
        </w:tc>
        <w:tc>
          <w:tcPr>
            <w:tcW w:w="620" w:type="dxa"/>
            <w:vAlign w:val="bottom"/>
          </w:tcPr>
          <w:p>
            <w:pPr>
              <w:ind w:left="40"/>
              <w:spacing w:after="0"/>
              <w:rPr>
                <w:sz w:val="20"/>
                <w:szCs w:val="20"/>
                <w:color w:val="auto"/>
              </w:rPr>
            </w:pPr>
            <w:r>
              <w:rPr>
                <w:rFonts w:ascii="Arial" w:cs="Arial" w:eastAsia="Arial" w:hAnsi="Arial"/>
                <w:sz w:val="16"/>
                <w:szCs w:val="16"/>
                <w:color w:val="auto"/>
              </w:rPr>
              <w:t>- 49.7%</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52.6%</w:t>
            </w:r>
          </w:p>
        </w:tc>
        <w:tc>
          <w:tcPr>
            <w:tcW w:w="900" w:type="dxa"/>
            <w:vAlign w:val="bottom"/>
          </w:tcPr>
          <w:p>
            <w:pPr>
              <w:ind w:left="20"/>
              <w:spacing w:after="0"/>
              <w:rPr>
                <w:sz w:val="20"/>
                <w:szCs w:val="20"/>
                <w:color w:val="auto"/>
              </w:rPr>
            </w:pPr>
            <w:r>
              <w:rPr>
                <w:rFonts w:ascii="Arial" w:cs="Arial" w:eastAsia="Arial" w:hAnsi="Arial"/>
                <w:sz w:val="16"/>
                <w:szCs w:val="16"/>
                <w:color w:val="auto"/>
              </w:rPr>
              <w:t>- 53.7%</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 thereby reserving for issuance 23,817,744 shares of common stock in the aggregate. Options to acquire common stock granted thereunder have 10-year terms. As of June 30, 2015, approximately 13,060,000 shares of common stock were reserved for issuance under the 2009 Plan (taking into account all option exercises through June 30,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As of June 30, 2015, approximately 470,000 shares of common stock were reserved for issuance under the Employee Stock Purchase Plan (taking into account all share purchases through June 30, 2015).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460"/>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2014</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10,769,149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738,250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(478,663)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(926,578)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June 30, 2015</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10,102,158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7,388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 at June 30, 2015</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8,831,900</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7,302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June 30, 2015</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5,025,493</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6,953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six months ended June 30, 2015 was approximately $1.3 million. As of June 30, 2015, there was approximately $21.9 million of total unrecognized compensation cost related to nonvested share-based compensation arrangements. That cost is expected to be recognized over a weighted average period of approximately 2.5 years.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the Company’s nonvested shares as of December 31, 2014, and changes during the six months ended June 30, 2015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302"/>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w w:val="96"/>
              </w:rPr>
              <w:t>Average Grant-</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FFCC"/>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36"/>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Shares at December 31, 2014</w:t>
            </w:r>
          </w:p>
        </w:tc>
        <w:tc>
          <w:tcPr>
            <w:tcW w:w="13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6,032,315</w:t>
            </w:r>
          </w:p>
        </w:tc>
        <w:tc>
          <w:tcPr>
            <w:tcW w:w="2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738,250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(767,322)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360" w:type="dxa"/>
            <w:vAlign w:val="bottom"/>
          </w:tcPr>
          <w:p>
            <w:pPr>
              <w:jc w:val="right"/>
              <w:spacing w:after="0"/>
              <w:rPr>
                <w:sz w:val="20"/>
                <w:szCs w:val="20"/>
                <w:color w:val="auto"/>
              </w:rPr>
            </w:pPr>
            <w:r>
              <w:rPr>
                <w:rFonts w:ascii="Arial" w:cs="Arial" w:eastAsia="Arial" w:hAnsi="Arial"/>
                <w:sz w:val="16"/>
                <w:szCs w:val="16"/>
                <w:color w:val="auto"/>
              </w:rPr>
              <w:t>(926,578)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FFC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2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Shares at June 30, 2015</w:t>
            </w:r>
          </w:p>
        </w:tc>
        <w:tc>
          <w:tcPr>
            <w:tcW w:w="136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5,076,665</w:t>
            </w:r>
          </w:p>
        </w:tc>
        <w:tc>
          <w:tcPr>
            <w:tcW w:w="2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nonvested options at June 30, 2015 was approximately $0.4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Balance outstanding at December 31, 2014</w:t>
            </w: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Granted</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1,256,500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Forfeited</w:t>
            </w:r>
          </w:p>
        </w:tc>
        <w:tc>
          <w:tcPr>
            <w:tcW w:w="18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5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820" w:type="dxa"/>
            <w:vAlign w:val="bottom"/>
            <w:tcBorders>
              <w:bottom w:val="single" w:sz="8" w:color="CCFFCC"/>
            </w:tcBorders>
            <w:shd w:val="clear" w:color="auto" w:fill="CCFFCC"/>
          </w:tcPr>
          <w:p>
            <w:pPr>
              <w:spacing w:after="0"/>
              <w:rPr>
                <w:sz w:val="23"/>
                <w:szCs w:val="23"/>
                <w:color w:val="auto"/>
              </w:rPr>
            </w:pPr>
          </w:p>
        </w:tc>
      </w:tr>
      <w:tr>
        <w:trPr>
          <w:trHeight w:val="284"/>
        </w:trPr>
        <w:tc>
          <w:tcPr>
            <w:tcW w:w="582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Non-vested and outstanding at June 30, 2015</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1,256,500</w:t>
            </w:r>
          </w:p>
        </w:tc>
        <w:tc>
          <w:tcPr>
            <w:tcW w:w="12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12,326</w:t>
            </w:r>
          </w:p>
        </w:tc>
      </w:tr>
      <w:tr>
        <w:trPr>
          <w:trHeight w:val="237"/>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to vest at June 30, 2015</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876,364</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8,597</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RSUs granted to employees generally vest annually over a four-year period. As of June 30, 2015, total unrecognized compensation cost, adjusted for estimated forfeitures, related to nonvested RSUs was approximately $12.0 million and the weighted-average remaining vesting period was 3.7 years.</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three months ended June 30, 2015, we issued restricted stock units to certain employees and performance-based restricted stock units to certain executives. Restricted stock units will be eligible to vest based on the employee's continued employment through the vesting date. The performance-based restricted stock units will be eligible to vest based on our attainment of the 2015 financial performance goal as well as each executive's continued employment through the vesting date. In order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earn the performance-based restricted stock units, the predetermined goal must be met. Shares earned will vest in March 2016 contingent on the continuous employment of each executive. We recognize stock-based compensation expense associated with these awards over the vesting period, after assessing the probability of achieving the 2015 financial performance goal.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Costs</w:t>
      </w:r>
    </w:p>
    <w:p>
      <w:pPr>
        <w:spacing w:after="0" w:line="3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restructuring costs relate to the termination and severance costs associated with a large customer contract, as well as re-prioritizing and reallocating resources to focus on areas showing high growth potential. The expense associated with this restructuring was approximately $3.0 million during the three and six months ended June 30, 2015 and is classified in the condensed consolidated statements of operations as restructuring costs. The restructuring liability was approximately $1.7 million as of June 30, 2015 and is classified as accrued expenses and other current liabilities on the condensed consolidated balance sheets. The following table presents the detail of expenses and liability for the Company's restructuring charges for the periods presented (amounts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Expense incurred during the Six</w:t>
            </w:r>
          </w:p>
        </w:tc>
        <w:tc>
          <w:tcPr>
            <w:tcW w:w="180" w:type="dxa"/>
            <w:vAlign w:val="bottom"/>
          </w:tcPr>
          <w:p>
            <w:pPr>
              <w:spacing w:after="0"/>
              <w:rPr>
                <w:sz w:val="14"/>
                <w:szCs w:val="14"/>
                <w:color w:val="auto"/>
              </w:rPr>
            </w:pPr>
          </w:p>
        </w:tc>
        <w:tc>
          <w:tcPr>
            <w:tcW w:w="20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6"/>
              </w:rPr>
              <w:t>Liability as of June 30, 2015</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Months Ended June 30, 2015</w:t>
            </w:r>
          </w:p>
        </w:tc>
        <w:tc>
          <w:tcPr>
            <w:tcW w:w="18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 termination costs</w:t>
            </w: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1,745</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Severance and other associated costs</w:t>
            </w:r>
          </w:p>
        </w:tc>
        <w:tc>
          <w:tcPr>
            <w:tcW w:w="140" w:type="dxa"/>
            <w:vAlign w:val="bottom"/>
          </w:tcPr>
          <w:p>
            <w:pPr>
              <w:spacing w:after="0"/>
              <w:rPr>
                <w:sz w:val="20"/>
                <w:szCs w:val="20"/>
                <w:color w:val="auto"/>
              </w:rPr>
            </w:pPr>
          </w:p>
        </w:tc>
        <w:tc>
          <w:tcPr>
            <w:tcW w:w="2160" w:type="dxa"/>
            <w:vAlign w:val="bottom"/>
          </w:tcPr>
          <w:p>
            <w:pPr>
              <w:jc w:val="right"/>
              <w:ind w:right="23"/>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jc w:val="right"/>
              <w:ind w:right="21"/>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22, 2015, [24]7 Customer, Inc. filed suit against the Company in the Northern District of California alleging patent infringement. The Company believes the claims are entirely without merit and intend to defend them vigorously. 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Discovery in the New York case is in process.</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disclosures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out of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our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initially in November 1998. We provide online engagement solutions offering a cloud-based platform which enables businesses to proactively connect with consumers through chat, voice and content delivery, across multiple channels and screens, including websites, social media, tablets and mobile devices. 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independent service providers (“Experts”) and individual consumers (“Users”) seeking information and knowledge for a fee via real-time chat.</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sustain growth in these segments, our strategy is to expand our position as the leading provider of online engagement solutions that facilitate real-time assistance and expert advice. To accomplish this, we are focused on the following current initiatives:</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Expanding Business with Existing Customers and Adding New Customers. </w:t>
      </w:r>
      <w:r>
        <w:rPr>
          <w:rFonts w:ascii="Arial" w:cs="Arial" w:eastAsia="Arial" w:hAnsi="Arial"/>
          <w:sz w:val="18"/>
          <w:szCs w:val="18"/>
          <w:color w:val="auto"/>
        </w:rPr>
        <w:t>We are expanding our sales capacity by adding enterprise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midmarket sales agents. We have also expanded our efforts to retain existing self-service customers through increased interaction with them during the early stages of their usage of our services.</w:t>
      </w:r>
    </w:p>
    <w:p>
      <w:pPr>
        <w:spacing w:after="0" w:line="73" w:lineRule="exact"/>
        <w:rPr>
          <w:rFonts w:ascii="Arial" w:cs="Arial" w:eastAsia="Arial" w:hAnsi="Arial"/>
          <w:sz w:val="18"/>
          <w:szCs w:val="18"/>
          <w:color w:val="auto"/>
        </w:rPr>
      </w:pPr>
    </w:p>
    <w:p>
      <w:pPr>
        <w:jc w:val="both"/>
        <w:ind w:left="1140" w:hanging="322"/>
        <w:spacing w:after="0" w:line="276"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Introducing New Products and Capabilities. </w:t>
      </w:r>
      <w:r>
        <w:rPr>
          <w:rFonts w:ascii="Arial" w:cs="Arial" w:eastAsia="Arial" w:hAnsi="Arial"/>
          <w:sz w:val="17"/>
          <w:szCs w:val="17"/>
          <w:color w:val="auto"/>
        </w:rPr>
        <w:t>We are investing in product marketing, research and development and executive personnel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expanding efforts to build and launch new products and capabilities to support existing customer deployments, and to further penetrate our total addressable market. These investments are initially focused in the areas of online marketing and mobile consumer engagement enhanced data and reporting and chat transcript text analysis. Over time, we expect to develop and launch additional capabilities which leverage our existing market position as a leader in proactive, intelligence-driven online engagement.</w:t>
      </w:r>
    </w:p>
    <w:p>
      <w:pPr>
        <w:spacing w:after="0" w:line="64" w:lineRule="exact"/>
        <w:rPr>
          <w:rFonts w:ascii="Arial" w:cs="Arial" w:eastAsia="Arial" w:hAnsi="Arial"/>
          <w:sz w:val="17"/>
          <w:szCs w:val="17"/>
          <w:color w:val="auto"/>
        </w:rPr>
      </w:pPr>
    </w:p>
    <w:p>
      <w:pPr>
        <w:jc w:val="both"/>
        <w:ind w:left="1140" w:hanging="322"/>
        <w:spacing w:after="0" w:line="259"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International Presence. </w:t>
      </w:r>
      <w:r>
        <w:rPr>
          <w:rFonts w:ascii="Arial" w:cs="Arial" w:eastAsia="Arial" w:hAnsi="Arial"/>
          <w:sz w:val="18"/>
          <w:szCs w:val="18"/>
          <w:color w:val="auto"/>
        </w:rPr>
        <w:t>We continue to increase our investment in sales and support personnel in the United Kingdom, Asia-Pacific, Latin America and Western Europe, particularly France and Germany. We are also working with sales and support partners as we expand our investment in the Asia-Pacific region. We continue to improve the multi-language and translation capabilities within our hosted solutions to further support international expansion.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June 30, 2015 compared to the three months ended June 30, 2014:</w:t>
      </w:r>
    </w:p>
    <w:p>
      <w:pPr>
        <w:spacing w:after="0" w:line="117" w:lineRule="exact"/>
        <w:rPr>
          <w:sz w:val="20"/>
          <w:szCs w:val="20"/>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revenue increased 16% to $59.3 million from $51.1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from our Business segment increased 19% to $55.5 million from $46.5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profit margin decreased to 70% from 74%.</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and expenses increased 27% to $67.0 million from $52.6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loss increased to $5.4 million from net loss of $1.2 million.</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per enterprise and mid-market customer averaged $183,000 over the trailing twelve months ended June 30, 2015, a 5% sequential increase as compared to the $174,000 calculated for the period ended March 31, 2015. These figures are pro forma to exclude contributions from one large customer contract that ended.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left="1140" w:right="20" w:hanging="322"/>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88% over the trailing twelve months ended June 30, 2015, as compared to 89% over the trailing twelve months ended March 31,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2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Reconciliation of Adjusted EBITDA</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GAAP net loss</w:t>
            </w:r>
          </w:p>
        </w:tc>
        <w:tc>
          <w:tcPr>
            <w:tcW w:w="920" w:type="dxa"/>
            <w:vAlign w:val="bottom"/>
            <w:tcBorders>
              <w:bottom w:val="single" w:sz="8" w:color="CCFFCC"/>
            </w:tcBorders>
            <w:shd w:val="clear" w:color="auto" w:fill="CCFFCC"/>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8"/>
              </w:rPr>
              <w:t>(5,354)</w:t>
            </w:r>
          </w:p>
        </w:tc>
        <w:tc>
          <w:tcPr>
            <w:tcW w:w="1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6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0"/>
              </w:rPr>
              <w:t>(1,212)</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(2,006)</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2,133</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3,207</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5,906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5,904</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3,082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5,660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4,215</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Restructuring costs</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Benefit from income taxes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(2,098)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Acquisition costs</w:t>
            </w:r>
          </w:p>
        </w:tc>
        <w:tc>
          <w:tcPr>
            <w:tcW w:w="9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361</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 (income) expense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33"/>
        </w:trPr>
        <w:tc>
          <w:tcPr>
            <w:tcW w:w="526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Adjusted EBITDA</w:t>
            </w:r>
          </w:p>
        </w:tc>
        <w:tc>
          <w:tcPr>
            <w:tcW w:w="920" w:type="dxa"/>
            <w:vAlign w:val="bottom"/>
            <w:tcBorders>
              <w:bottom w:val="single" w:sz="8" w:color="auto"/>
            </w:tcBorders>
            <w:shd w:val="clear" w:color="auto" w:fill="CCFFCC"/>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3,518</w:t>
            </w:r>
          </w:p>
        </w:tc>
        <w:tc>
          <w:tcPr>
            <w:tcW w:w="1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6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5,395</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8,987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10,191</w:t>
            </w: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308"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amortization are non-cash charges, the assets being amortized may have to be replaced in the future, and adjusted net income does not reflect cash capital expenditure requirements for such replacements or for new capital expenditure requirements;</w:t>
      </w:r>
    </w:p>
    <w:p>
      <w:pPr>
        <w:spacing w:after="0" w:line="38" w:lineRule="exact"/>
        <w:rPr>
          <w:rFonts w:ascii="Arial" w:cs="Arial" w:eastAsia="Arial" w:hAnsi="Arial"/>
          <w:sz w:val="17"/>
          <w:szCs w:val="17"/>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and our other GAAP results. The following table presents a reconciliation of adjusted net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1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Reconciliation of Adjusted Net Income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GAAP net loss</w:t>
            </w:r>
          </w:p>
        </w:tc>
        <w:tc>
          <w:tcPr>
            <w:tcW w:w="920" w:type="dxa"/>
            <w:vAlign w:val="bottom"/>
            <w:tcBorders>
              <w:bottom w:val="single" w:sz="8" w:color="CCFFCC"/>
            </w:tcBorders>
            <w:shd w:val="clear" w:color="auto" w:fill="CCFFCC"/>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4"/>
              </w:rPr>
              <w:t>(5,354)</w:t>
            </w:r>
          </w:p>
        </w:tc>
        <w:tc>
          <w:tcPr>
            <w:tcW w:w="1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4"/>
              </w:rPr>
              <w:t>(1,212)</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(7,412)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(2,006)</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2,133</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3,207</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5,906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5,904</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Restructuring costs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2,988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Acquisition costs</w:t>
            </w:r>
          </w:p>
        </w:tc>
        <w:tc>
          <w:tcPr>
            <w:tcW w:w="9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361</w:t>
            </w:r>
          </w:p>
        </w:tc>
      </w:tr>
      <w:tr>
        <w:trPr>
          <w:trHeight w:val="270"/>
        </w:trPr>
        <w:tc>
          <w:tcPr>
            <w:tcW w:w="516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 xml:space="preserve">Income tax effect of non-GAAP items </w:t>
            </w:r>
            <w:r>
              <w:rPr>
                <w:rFonts w:ascii="Arial" w:cs="Arial" w:eastAsia="Arial" w:hAnsi="Arial"/>
                <w:sz w:val="21"/>
                <w:szCs w:val="21"/>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(1,855)</w:t>
            </w:r>
          </w:p>
        </w:tc>
        <w:tc>
          <w:tcPr>
            <w:tcW w:w="120" w:type="dxa"/>
            <w:vAlign w:val="bottom"/>
            <w:tcBorders>
              <w:bottom w:val="single" w:sz="8" w:color="CCFFCC"/>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Adjusted net income</w:t>
            </w:r>
          </w:p>
        </w:tc>
        <w:tc>
          <w:tcPr>
            <w:tcW w:w="920" w:type="dxa"/>
            <w:vAlign w:val="bottom"/>
            <w:tcBorders>
              <w:bottom w:val="single" w:sz="8" w:color="auto"/>
            </w:tcBorders>
            <w:shd w:val="clear" w:color="auto" w:fill="CCFFCC"/>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2,894</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2,666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5,421</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Company's income tax effect does not include discrete items.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significant accounting policies which we believe are the most critical to aid in fully understanding and evaluating the reported consolidated financial results include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sell certain of the LivePerson services directly via Internet download. These services are marketed as LiveEngage for small to medium-sized businesses,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recognize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and customer acceptance. We establish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Company obligations remain, collection of the resulting receivable is probable and the amount of fees to be paid is fixed or determinable.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2015, there was approximately $21.9 million of total unrecognized compensation cost related to nonvested stock options. That cost is expected to be recognized over a weighted average period of approximately 2.5 years. As of June 30, 2015, there was approximately $12.0 million of total unrecognized compensation cost related to nonvested restricted stock units. That cost is expected to be recognized over a weighted average period of approximately 3.7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six months ended June 30, 2015 and 2014. No individual customer accounted for 10% or more of accounts receivable as of June 30, 2015. One customer accounted for approximately 22% of accounts receivable as of December 31, 2014. We increased our allowance for doubtful accounts by $0.6 million in the three months ended June 30, 2015.</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the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2014,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The Company does not have any long-lived assets, including intangible assets, which it considered to be impaired.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additional information on our legal proceedings and litigation.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February 18, 2015, the Financial Accounting Standards Board (“FASB”) issued Accounting Standards Update (“ASU”) 2015-02,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Amendments to the Consolidation Analysis </w:t>
      </w:r>
      <w:r>
        <w:rPr>
          <w:rFonts w:ascii="Arial" w:cs="Arial" w:eastAsia="Arial" w:hAnsi="Arial"/>
          <w:sz w:val="18"/>
          <w:szCs w:val="18"/>
          <w:color w:val="auto"/>
        </w:rPr>
        <w:t>(“ASU 2015-02”), which affects reporting entities that are required to evaluate whether they should consolidate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We do not expect to early adopt ASU 2015-02, which will be effective for our fiscal year ending December 31, 2016. We do not believe the standard will have a material impact on our condensed consolidated financial statements.</w:t>
      </w:r>
    </w:p>
    <w:p>
      <w:pPr>
        <w:spacing w:after="0" w:line="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We will adopt this guidance at the beginning of its first quarter of fiscal year 2017. Adoption of this guidance is not expected to have a material impact on the Company’s consolidated financial statements or disclosures.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from our Business segment accounted for 93% and 94% of total revenue for the three and six months ended June 30, 2015, respectively. Revenue attributable to our monthly hosted Business services accounted for 90% of total Business revenue for the three and six months ended June 30, 2015. Revenue from our Business segment accounted for 91% of total revenue for the three and six months ended June 30, 2014. Revenue attributable to our monthly hosted Business services accounted for 90% of total Business revenue for the three and six months ended June 30, 2014.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time between contract signing and recognizing revenue in certain situations.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7% and 6% of total revenue for the three and six months ended June 30, 2015, respectively. Revenue generated from online transactions between Experts and Users and is recognized net of Expert fees and accounted for approximately 9% of total revenue for the three and six months ended June 30, 2014.</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jc w:val="center"/>
        <w:ind w:left="5620" w:right="1560" w:hanging="4721"/>
        <w:spacing w:after="0" w:line="684"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 27</w:t>
      </w:r>
    </w:p>
    <w:p>
      <w:pPr>
        <w:sectPr>
          <w:pgSz w:w="11900" w:h="16838" w:orient="portrait"/>
          <w:cols w:equalWidth="0" w:num="1">
            <w:col w:w="11420"/>
          </w:cols>
          <w:pgMar w:left="240" w:top="584" w:right="239" w:bottom="1440" w:gutter="0" w:footer="0" w:header="0"/>
        </w:sectPr>
      </w:pPr>
    </w:p>
    <w:bookmarkStart w:id="27" w:name="page28"/>
    <w:bookmarkEnd w:id="27"/>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six months ended June 30, 2015, we increased our allowance for doubtful accounts by approximately $0.7 million to approximately $2.0 million. During 2014, we increased our allowance for doubtful accounts by $0.1 million to approximately $1.3 million, principally due to an increase in the proportion of receivables due as a result of an increase in sales.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81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81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31115</wp:posOffset>
            </wp:positionV>
            <wp:extent cx="1920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4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31115</wp:posOffset>
            </wp:positionV>
            <wp:extent cx="1920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260" w:space="720"/>
            <w:col w:w="2440"/>
          </w:cols>
          <w:pgMar w:left="240" w:top="584" w:right="239" w:bottom="1440" w:gutter="0" w:footer="0" w:header="0"/>
          <w:type w:val="continuous"/>
        </w:sectPr>
      </w:pPr>
    </w:p>
    <w:p>
      <w:pPr>
        <w:ind w:left="40"/>
        <w:spacing w:after="0"/>
        <w:tabs>
          <w:tab w:leader="none" w:pos="5160" w:val="left"/>
          <w:tab w:leader="none" w:pos="6160" w:val="left"/>
          <w:tab w:leader="none" w:pos="6780" w:val="left"/>
          <w:tab w:leader="none" w:pos="7760" w:val="left"/>
          <w:tab w:leader="none" w:pos="8400" w:val="left"/>
          <w:tab w:leader="none" w:pos="936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3,112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3,207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5,906</w:t>
        <w:tab/>
        <w:t>$</w:t>
      </w:r>
      <w:r>
        <w:rPr>
          <w:sz w:val="20"/>
          <w:szCs w:val="20"/>
          <w:color w:val="auto"/>
        </w:rPr>
        <w:tab/>
      </w:r>
      <w:r>
        <w:rPr>
          <w:rFonts w:ascii="Arial" w:cs="Arial" w:eastAsia="Arial" w:hAnsi="Arial"/>
          <w:sz w:val="15"/>
          <w:szCs w:val="15"/>
          <w:color w:val="auto"/>
        </w:rPr>
        <w:t>5,904</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2015 and 2014</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6"/>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7"/>
              </w:rPr>
              <w:t>Six Months Ended June 30,</w:t>
            </w:r>
          </w:p>
        </w:tc>
        <w:tc>
          <w:tcPr>
            <w:tcW w:w="1020" w:type="dxa"/>
            <w:vAlign w:val="bottom"/>
            <w:tcBorders>
              <w:bottom w:val="single" w:sz="8" w:color="auto"/>
            </w:tcBorders>
          </w:tcPr>
          <w:p>
            <w:pPr>
              <w:spacing w:after="0"/>
              <w:rPr>
                <w:sz w:val="16"/>
                <w:szCs w:val="16"/>
                <w:color w:val="auto"/>
              </w:rPr>
            </w:pPr>
          </w:p>
        </w:tc>
      </w:tr>
      <w:tr>
        <w:trPr>
          <w:trHeight w:val="264"/>
        </w:trPr>
        <w:tc>
          <w:tcPr>
            <w:tcW w:w="3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22"/>
                <w:szCs w:val="22"/>
                <w:color w:val="auto"/>
              </w:rPr>
            </w:pPr>
          </w:p>
        </w:tc>
        <w:tc>
          <w:tcPr>
            <w:tcW w:w="104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63"/>
        </w:trPr>
        <w:tc>
          <w:tcPr>
            <w:tcW w:w="34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55,472</w:t>
            </w: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46,548</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111,545</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90,467</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Consumer</w:t>
            </w:r>
          </w:p>
        </w:tc>
        <w:tc>
          <w:tcPr>
            <w:tcW w:w="32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3,862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4,539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7,559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8,448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4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59,334</w:t>
            </w: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51,087</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119,104</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98,915</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3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type w:val="continuous"/>
        </w:sectPr>
      </w:pPr>
    </w:p>
    <w:bookmarkStart w:id="28" w:name="page29"/>
    <w:bookmarkEnd w:id="28"/>
    <w:p>
      <w:pPr>
        <w:jc w:val="both"/>
        <w:ind w:firstLine="648"/>
        <w:spacing w:after="0" w:line="264" w:lineRule="auto"/>
        <w:rPr>
          <w:sz w:val="20"/>
          <w:szCs w:val="20"/>
          <w:color w:val="auto"/>
        </w:rPr>
      </w:pPr>
      <w:r>
        <w:rPr>
          <w:rFonts w:ascii="Arial" w:cs="Arial" w:eastAsia="Arial" w:hAnsi="Arial"/>
          <w:sz w:val="18"/>
          <w:szCs w:val="18"/>
          <w:color w:val="auto"/>
        </w:rPr>
        <w:t>Business revenue increased by 19% to $55.5 million in the three months ended June 30, 2015, from $46.5 million in the comparable period in 2014. The increase in revenue from new customers was approximately $9.9 million; and revenue from professional services increased by approximately $0.6 million. The increase in revenue was partially offset by a large customer contract that ended.</w:t>
      </w:r>
    </w:p>
    <w:p>
      <w:pPr>
        <w:spacing w:after="0" w:line="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Business revenue increased by 23% to $111.5 million in the six months ended June 30, 2015, from $90.5 million in the comparable period in 2014. The increase in revenue from new customers was approximately $18.6 million; and revenue from professional services increased by approximately $1.8 million. The increase in revenue was also attributable to an increase in revenue from existing customers who increased their use of our services in the amount of approximately $2.1 million, net of cancellations. The increase in revenue was partially offset by a large customer contract that ended.</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revenue decreased by 15% and 11% to $3.9 million and $7.6 million in the three months and six months ended June 30, 2015, respectively, from $4.5 million and $8.4 million in the comparable periods in 2014. The decrease was driven by a decrease in the average price charged per minute partially offset by an increase in the fees we charge experts.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94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22"/>
                <w:szCs w:val="22"/>
                <w:color w:val="auto"/>
              </w:rPr>
            </w:pPr>
          </w:p>
        </w:tc>
        <w:tc>
          <w:tcPr>
            <w:tcW w:w="900" w:type="dxa"/>
            <w:vAlign w:val="bottom"/>
          </w:tcPr>
          <w:p>
            <w:pPr>
              <w:jc w:val="right"/>
              <w:ind w:right="323"/>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22"/>
                <w:szCs w:val="22"/>
                <w:color w:val="auto"/>
              </w:rPr>
            </w:pPr>
          </w:p>
        </w:tc>
        <w:tc>
          <w:tcPr>
            <w:tcW w:w="96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17,271</w:t>
            </w:r>
          </w:p>
        </w:tc>
        <w:tc>
          <w:tcPr>
            <w:tcW w:w="780" w:type="dxa"/>
            <w:vAlign w:val="bottom"/>
          </w:tcPr>
          <w:p>
            <w:pPr>
              <w:jc w:val="right"/>
              <w:ind w:right="27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12,483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32,887</w:t>
            </w:r>
          </w:p>
        </w:tc>
        <w:tc>
          <w:tcPr>
            <w:tcW w:w="920" w:type="dxa"/>
            <w:vAlign w:val="bottom"/>
          </w:tcPr>
          <w:p>
            <w:pPr>
              <w:jc w:val="right"/>
              <w:ind w:right="25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23,627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w:t>
            </w:r>
          </w:p>
        </w:tc>
        <w:tc>
          <w:tcPr>
            <w:tcW w:w="78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gridSpan w:val="2"/>
            <w:shd w:val="clear" w:color="auto" w:fill="CCFFCC"/>
          </w:tcPr>
          <w:p>
            <w:pPr>
              <w:jc w:val="right"/>
              <w:ind w:right="731"/>
              <w:spacing w:after="0"/>
              <w:rPr>
                <w:sz w:val="20"/>
                <w:szCs w:val="20"/>
                <w:color w:val="auto"/>
              </w:rPr>
            </w:pPr>
            <w:r>
              <w:rPr>
                <w:rFonts w:ascii="Arial" w:cs="Arial" w:eastAsia="Arial" w:hAnsi="Arial"/>
                <w:sz w:val="16"/>
                <w:szCs w:val="16"/>
                <w:color w:val="auto"/>
              </w:rPr>
              <w:t>28%</w:t>
            </w: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8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320" w:type="dxa"/>
            <w:vAlign w:val="bottom"/>
          </w:tcPr>
          <w:p>
            <w:pPr>
              <w:spacing w:after="0"/>
              <w:rPr>
                <w:sz w:val="14"/>
                <w:szCs w:val="14"/>
                <w:color w:val="auto"/>
              </w:rPr>
            </w:pPr>
          </w:p>
        </w:tc>
        <w:tc>
          <w:tcPr>
            <w:tcW w:w="1060" w:type="dxa"/>
            <w:vAlign w:val="bottom"/>
            <w:vMerge w:val="restart"/>
          </w:tcPr>
          <w:p>
            <w:pPr>
              <w:jc w:val="right"/>
              <w:ind w:right="83"/>
              <w:spacing w:after="0"/>
              <w:rPr>
                <w:sz w:val="20"/>
                <w:szCs w:val="20"/>
                <w:color w:val="auto"/>
              </w:rPr>
            </w:pPr>
            <w:r>
              <w:rPr>
                <w:rFonts w:ascii="Arial" w:cs="Arial" w:eastAsia="Arial" w:hAnsi="Arial"/>
                <w:sz w:val="16"/>
                <w:szCs w:val="16"/>
                <w:color w:val="auto"/>
              </w:rPr>
              <w:t>299</w:t>
            </w:r>
          </w:p>
        </w:tc>
        <w:tc>
          <w:tcPr>
            <w:tcW w:w="780" w:type="dxa"/>
            <w:vAlign w:val="bottom"/>
          </w:tcPr>
          <w:p>
            <w:pPr>
              <w:jc w:val="right"/>
              <w:ind w:right="572"/>
              <w:spacing w:after="0"/>
              <w:rPr>
                <w:sz w:val="20"/>
                <w:szCs w:val="20"/>
                <w:color w:val="auto"/>
              </w:rPr>
            </w:pPr>
            <w:r>
              <w:rPr>
                <w:rFonts w:ascii="Arial" w:cs="Arial" w:eastAsia="Arial" w:hAnsi="Arial"/>
                <w:sz w:val="11"/>
                <w:szCs w:val="11"/>
                <w:color w:val="auto"/>
                <w:w w:val="88"/>
              </w:rPr>
              <w:t>(1)</w:t>
            </w:r>
          </w:p>
        </w:tc>
        <w:tc>
          <w:tcPr>
            <w:tcW w:w="940" w:type="dxa"/>
            <w:vAlign w:val="bottom"/>
            <w:vMerge w:val="restart"/>
          </w:tcPr>
          <w:p>
            <w:pPr>
              <w:jc w:val="right"/>
              <w:ind w:right="101"/>
              <w:spacing w:after="0"/>
              <w:rPr>
                <w:sz w:val="20"/>
                <w:szCs w:val="20"/>
                <w:color w:val="auto"/>
              </w:rPr>
            </w:pPr>
            <w:r>
              <w:rPr>
                <w:rFonts w:ascii="Arial" w:cs="Arial" w:eastAsia="Arial" w:hAnsi="Arial"/>
                <w:sz w:val="16"/>
                <w:szCs w:val="16"/>
                <w:color w:val="auto"/>
              </w:rPr>
              <w:t>200</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299</w:t>
            </w:r>
          </w:p>
        </w:tc>
        <w:tc>
          <w:tcPr>
            <w:tcW w:w="920" w:type="dxa"/>
            <w:vAlign w:val="bottom"/>
          </w:tcPr>
          <w:p>
            <w:pPr>
              <w:jc w:val="right"/>
              <w:ind w:right="551"/>
              <w:spacing w:after="0"/>
              <w:rPr>
                <w:sz w:val="20"/>
                <w:szCs w:val="20"/>
                <w:color w:val="auto"/>
              </w:rPr>
            </w:pPr>
            <w:r>
              <w:rPr>
                <w:rFonts w:ascii="Arial" w:cs="Arial" w:eastAsia="Arial" w:hAnsi="Arial"/>
                <w:sz w:val="11"/>
                <w:szCs w:val="11"/>
                <w:color w:val="auto"/>
              </w:rPr>
              <w:t>(1)</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200</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70"/>
        </w:trPr>
        <w:tc>
          <w:tcPr>
            <w:tcW w:w="29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4"/>
          <w:szCs w:val="14"/>
          <w:color w:val="auto"/>
        </w:rPr>
        <w:t>Includes 76 employees as a result of the acquisition of CAO!</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revenue increased by 38% to $17.3 million in the three months ended June 30, 2015, from $12.5 million in the comparable period in 2014. This increase in expense was primarily attributable to total compensation and related costs for additional and existing customer service, network operations personnel and external consultants in the amount of approximately $1.6 million, an increase in outside labor provider fees of approximately $1.9 million, and an increase in primary and backup server facilities and allocated overhead related to costs of supporting our server and network infrastructure of approximately $1.0 million as a result of increased revenue. The increase in the cost of revenue was due to the investment in enhancing our business continuity capabilities at our hosting facilities. Additionally, data collection and storage costs have increased in support of expanded scope and quality of the analytical reporting to our customers.</w:t>
      </w:r>
    </w:p>
    <w:p>
      <w:pPr>
        <w:spacing w:after="0" w:line="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revenue increased by 39% to $32.9 million in the six months ended June 30, 2015, from $23.6 million in the comparable period in 2014. This increase in expense was primarily attributable to total compensation and related costs for additional and existing customer service, network operations personnel and external consultants in the amount of approximately $3.8 million, an increase in outside labor provider fees of approximately $3.7 million, and an increase in primary and backup server facilities and allocated overhead related to costs of supporting our server and network infrastructure of approximately $2.0 million as a result of increased revenue. The increase in the cost of revenue was due to the investment in enhancing our business continuity capabilities at our hosting facilities. Additionally, data collection and storage costs have increased in support of expanded scope and quality of the analytical reporting to our customers.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22"/>
                <w:szCs w:val="22"/>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22"/>
                <w:szCs w:val="22"/>
                <w:color w:val="auto"/>
              </w:rPr>
            </w:pPr>
          </w:p>
        </w:tc>
        <w:tc>
          <w:tcPr>
            <w:tcW w:w="820" w:type="dxa"/>
            <w:vAlign w:val="bottom"/>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7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3"/>
              <w:spacing w:after="0"/>
              <w:rPr>
                <w:sz w:val="20"/>
                <w:szCs w:val="20"/>
                <w:color w:val="auto"/>
              </w:rPr>
            </w:pPr>
            <w:r>
              <w:rPr>
                <w:rFonts w:ascii="Arial" w:cs="Arial" w:eastAsia="Arial" w:hAnsi="Arial"/>
                <w:sz w:val="16"/>
                <w:szCs w:val="16"/>
                <w:color w:val="auto"/>
              </w:rPr>
              <w:t>616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678</w:t>
            </w:r>
          </w:p>
        </w:tc>
        <w:tc>
          <w:tcPr>
            <w:tcW w:w="1460" w:type="dxa"/>
            <w:vAlign w:val="bottom"/>
            <w:gridSpan w:val="4"/>
          </w:tcPr>
          <w:p>
            <w:pPr>
              <w:jc w:val="right"/>
              <w:ind w:right="140"/>
              <w:spacing w:after="0"/>
              <w:rPr>
                <w:sz w:val="20"/>
                <w:szCs w:val="20"/>
                <w:color w:val="auto"/>
              </w:rPr>
            </w:pPr>
            <w:r>
              <w:rPr>
                <w:rFonts w:ascii="Arial" w:cs="Arial" w:eastAsia="Arial" w:hAnsi="Arial"/>
                <w:sz w:val="16"/>
                <w:szCs w:val="16"/>
                <w:color w:val="auto"/>
              </w:rPr>
              <w:t>(9)%  $</w:t>
            </w: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1,254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1,269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40" w:type="dxa"/>
            <w:vAlign w:val="bottom"/>
          </w:tcPr>
          <w:p>
            <w:pPr>
              <w:spacing w:after="0"/>
              <w:rPr>
                <w:sz w:val="20"/>
                <w:szCs w:val="20"/>
                <w:color w:val="auto"/>
              </w:rPr>
            </w:pPr>
          </w:p>
        </w:tc>
        <w:tc>
          <w:tcPr>
            <w:tcW w:w="840" w:type="dxa"/>
            <w:vAlign w:val="bottom"/>
          </w:tcPr>
          <w:p>
            <w:pPr>
              <w:jc w:val="right"/>
              <w:ind w:right="123"/>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20"/>
                <w:szCs w:val="20"/>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w:t>
            </w:r>
          </w:p>
        </w:tc>
      </w:tr>
    </w:tbl>
    <w:p>
      <w:pPr>
        <w:spacing w:after="0" w:line="12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Cost of revenue decreased by 9% to $0.6 million in the three months ended June 30, 2015, from $0.7 million in the comparable period in 2014. The decrease in expense is due to a decrease in compensation costs relating to our network support staff of approximately $0.1 million.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revenue remained flat at $1.3 million in the six months ended June 30, 2015 compared to the same period in 2014.</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94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22"/>
                <w:szCs w:val="22"/>
                <w:color w:val="auto"/>
              </w:rPr>
            </w:pPr>
          </w:p>
        </w:tc>
        <w:tc>
          <w:tcPr>
            <w:tcW w:w="900" w:type="dxa"/>
            <w:vAlign w:val="bottom"/>
          </w:tcPr>
          <w:p>
            <w:pPr>
              <w:jc w:val="right"/>
              <w:ind w:right="323"/>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22"/>
                <w:szCs w:val="22"/>
                <w:color w:val="auto"/>
              </w:rPr>
            </w:pPr>
          </w:p>
        </w:tc>
        <w:tc>
          <w:tcPr>
            <w:tcW w:w="96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22,617</w:t>
            </w:r>
          </w:p>
        </w:tc>
        <w:tc>
          <w:tcPr>
            <w:tcW w:w="780" w:type="dxa"/>
            <w:vAlign w:val="bottom"/>
          </w:tcPr>
          <w:p>
            <w:pPr>
              <w:jc w:val="right"/>
              <w:ind w:right="27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18,799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45,531</w:t>
            </w:r>
          </w:p>
        </w:tc>
        <w:tc>
          <w:tcPr>
            <w:tcW w:w="920" w:type="dxa"/>
            <w:vAlign w:val="bottom"/>
          </w:tcPr>
          <w:p>
            <w:pPr>
              <w:jc w:val="right"/>
              <w:ind w:right="25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35,717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78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gridSpan w:val="2"/>
            <w:shd w:val="clear" w:color="auto" w:fill="CCFFCC"/>
          </w:tcPr>
          <w:p>
            <w:pPr>
              <w:jc w:val="right"/>
              <w:ind w:right="731"/>
              <w:spacing w:after="0"/>
              <w:rPr>
                <w:sz w:val="20"/>
                <w:szCs w:val="20"/>
                <w:color w:val="auto"/>
              </w:rPr>
            </w:pPr>
            <w:r>
              <w:rPr>
                <w:rFonts w:ascii="Arial" w:cs="Arial" w:eastAsia="Arial" w:hAnsi="Arial"/>
                <w:sz w:val="16"/>
                <w:szCs w:val="16"/>
                <w:color w:val="auto"/>
              </w:rPr>
              <w:t>38%</w:t>
            </w: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8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320" w:type="dxa"/>
            <w:vAlign w:val="bottom"/>
          </w:tcPr>
          <w:p>
            <w:pPr>
              <w:spacing w:after="0"/>
              <w:rPr>
                <w:sz w:val="14"/>
                <w:szCs w:val="14"/>
                <w:color w:val="auto"/>
              </w:rPr>
            </w:pPr>
          </w:p>
        </w:tc>
        <w:tc>
          <w:tcPr>
            <w:tcW w:w="1060" w:type="dxa"/>
            <w:vAlign w:val="bottom"/>
            <w:vMerge w:val="restart"/>
          </w:tcPr>
          <w:p>
            <w:pPr>
              <w:jc w:val="right"/>
              <w:ind w:right="83"/>
              <w:spacing w:after="0"/>
              <w:rPr>
                <w:sz w:val="20"/>
                <w:szCs w:val="20"/>
                <w:color w:val="auto"/>
              </w:rPr>
            </w:pPr>
            <w:r>
              <w:rPr>
                <w:rFonts w:ascii="Arial" w:cs="Arial" w:eastAsia="Arial" w:hAnsi="Arial"/>
                <w:sz w:val="16"/>
                <w:szCs w:val="16"/>
                <w:color w:val="auto"/>
              </w:rPr>
              <w:t>354</w:t>
            </w:r>
          </w:p>
        </w:tc>
        <w:tc>
          <w:tcPr>
            <w:tcW w:w="780" w:type="dxa"/>
            <w:vAlign w:val="bottom"/>
          </w:tcPr>
          <w:p>
            <w:pPr>
              <w:jc w:val="right"/>
              <w:ind w:right="572"/>
              <w:spacing w:after="0"/>
              <w:rPr>
                <w:sz w:val="20"/>
                <w:szCs w:val="20"/>
                <w:color w:val="auto"/>
              </w:rPr>
            </w:pPr>
            <w:r>
              <w:rPr>
                <w:rFonts w:ascii="Arial" w:cs="Arial" w:eastAsia="Arial" w:hAnsi="Arial"/>
                <w:sz w:val="11"/>
                <w:szCs w:val="11"/>
                <w:color w:val="auto"/>
                <w:w w:val="88"/>
              </w:rPr>
              <w:t>(1)</w:t>
            </w:r>
          </w:p>
        </w:tc>
        <w:tc>
          <w:tcPr>
            <w:tcW w:w="940" w:type="dxa"/>
            <w:vAlign w:val="bottom"/>
            <w:vMerge w:val="restart"/>
          </w:tcPr>
          <w:p>
            <w:pPr>
              <w:jc w:val="right"/>
              <w:ind w:right="101"/>
              <w:spacing w:after="0"/>
              <w:rPr>
                <w:sz w:val="20"/>
                <w:szCs w:val="20"/>
                <w:color w:val="auto"/>
              </w:rPr>
            </w:pPr>
            <w:r>
              <w:rPr>
                <w:rFonts w:ascii="Arial" w:cs="Arial" w:eastAsia="Arial" w:hAnsi="Arial"/>
                <w:sz w:val="16"/>
                <w:szCs w:val="16"/>
                <w:color w:val="auto"/>
              </w:rPr>
              <w:t>275</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354</w:t>
            </w:r>
          </w:p>
        </w:tc>
        <w:tc>
          <w:tcPr>
            <w:tcW w:w="920" w:type="dxa"/>
            <w:vAlign w:val="bottom"/>
          </w:tcPr>
          <w:p>
            <w:pPr>
              <w:jc w:val="right"/>
              <w:ind w:right="551"/>
              <w:spacing w:after="0"/>
              <w:rPr>
                <w:sz w:val="20"/>
                <w:szCs w:val="20"/>
                <w:color w:val="auto"/>
              </w:rPr>
            </w:pPr>
            <w:r>
              <w:rPr>
                <w:rFonts w:ascii="Arial" w:cs="Arial" w:eastAsia="Arial" w:hAnsi="Arial"/>
                <w:sz w:val="11"/>
                <w:szCs w:val="11"/>
                <w:color w:val="auto"/>
              </w:rPr>
              <w:t>(1)</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275</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70"/>
        </w:trPr>
        <w:tc>
          <w:tcPr>
            <w:tcW w:w="29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Includes 66 employees as a result of the acquisition of CAO!</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increased by 20% to $22.6 million in the three months ended June 30, 2015, from $18.8 million in the comparable period in 2014. The increase was primarily due to compensation and related costs for additional and existing sales and marketing personnel of approximately $2.6 million directly related to expanded headcount, and advertising, public relations and trade show exhibit expenses of approximately $0.5 million. Additionally, we continue to invest in our marketing and sales capabilities, as well as invest in our global sales team, global expansion and LiveEngage 2.0 product expansion.</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by 27% to $45.5 million in the six months ended June 30, 2015, from $35.7 million in the comparable period in 2014. The increase was primarily due to compensation and related costs for additional and existing sales and marketing personnel of approximately $7.1 million directly related to expanded headcount, and advertising, public relations and trade show exhibit expenses of approximately $0.7 million. Additionally, we continue to invest in our marketing and sales capabilities, as well as invest in our global sales team, global expansion and LiveEngage 2.0 product expansion.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5"/>
              </w:rPr>
              <w:t>Three Months Ended 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420" w:type="dxa"/>
            <w:vAlign w:val="bottom"/>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gridSpan w:val="2"/>
          </w:tcPr>
          <w:p>
            <w:pPr>
              <w:jc w:val="right"/>
              <w:ind w:right="323"/>
              <w:spacing w:after="0"/>
              <w:rPr>
                <w:sz w:val="20"/>
                <w:szCs w:val="20"/>
                <w:color w:val="auto"/>
              </w:rPr>
            </w:pPr>
            <w:r>
              <w:rPr>
                <w:rFonts w:ascii="Arial" w:cs="Arial" w:eastAsia="Arial" w:hAnsi="Arial"/>
                <w:sz w:val="14"/>
                <w:szCs w:val="14"/>
                <w:b w:val="1"/>
                <w:bCs w:val="1"/>
                <w:color w:val="auto"/>
                <w:w w:val="99"/>
              </w:rPr>
              <w:t>($ in thousands)</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gridSpan w:val="2"/>
          </w:tcPr>
          <w:p>
            <w:pPr>
              <w:jc w:val="right"/>
              <w:ind w:right="323"/>
              <w:spacing w:after="0"/>
              <w:rPr>
                <w:sz w:val="20"/>
                <w:szCs w:val="20"/>
                <w:color w:val="auto"/>
              </w:rPr>
            </w:pPr>
            <w:r>
              <w:rPr>
                <w:rFonts w:ascii="Arial" w:cs="Arial" w:eastAsia="Arial" w:hAnsi="Arial"/>
                <w:sz w:val="14"/>
                <w:szCs w:val="14"/>
                <w:b w:val="1"/>
                <w:bCs w:val="1"/>
                <w:color w:val="auto"/>
                <w:w w:val="99"/>
              </w:rPr>
              <w:t>($ in thousands)</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84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3"/>
              <w:spacing w:after="0"/>
              <w:rPr>
                <w:sz w:val="20"/>
                <w:szCs w:val="20"/>
                <w:color w:val="auto"/>
              </w:rPr>
            </w:pPr>
            <w:r>
              <w:rPr>
                <w:rFonts w:ascii="Arial" w:cs="Arial" w:eastAsia="Arial" w:hAnsi="Arial"/>
                <w:sz w:val="16"/>
                <w:szCs w:val="16"/>
                <w:color w:val="auto"/>
                <w:w w:val="89"/>
              </w:rPr>
              <w:t>1,765</w:t>
            </w:r>
          </w:p>
        </w:tc>
        <w:tc>
          <w:tcPr>
            <w:tcW w:w="90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w w:val="84"/>
              </w:rPr>
              <w:t>1,278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86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3"/>
              <w:spacing w:after="0"/>
              <w:rPr>
                <w:sz w:val="20"/>
                <w:szCs w:val="20"/>
                <w:color w:val="auto"/>
              </w:rPr>
            </w:pPr>
            <w:r>
              <w:rPr>
                <w:rFonts w:ascii="Arial" w:cs="Arial" w:eastAsia="Arial" w:hAnsi="Arial"/>
                <w:sz w:val="16"/>
                <w:szCs w:val="16"/>
                <w:color w:val="auto"/>
                <w:w w:val="89"/>
              </w:rPr>
              <w:t>3,145</w:t>
            </w:r>
          </w:p>
        </w:tc>
        <w:tc>
          <w:tcPr>
            <w:tcW w:w="92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2,755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84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840" w:type="dxa"/>
            <w:vAlign w:val="bottom"/>
          </w:tcPr>
          <w:p>
            <w:pPr>
              <w:spacing w:after="0"/>
              <w:rPr>
                <w:sz w:val="20"/>
                <w:szCs w:val="20"/>
                <w:color w:val="auto"/>
              </w:rPr>
            </w:pPr>
          </w:p>
        </w:tc>
        <w:tc>
          <w:tcPr>
            <w:tcW w:w="600" w:type="dxa"/>
            <w:vAlign w:val="bottom"/>
          </w:tcPr>
          <w:p>
            <w:pPr>
              <w:jc w:val="right"/>
              <w:ind w:right="143"/>
              <w:spacing w:after="0"/>
              <w:rPr>
                <w:sz w:val="20"/>
                <w:szCs w:val="20"/>
                <w:color w:val="auto"/>
              </w:rPr>
            </w:pPr>
            <w:r>
              <w:rPr>
                <w:rFonts w:ascii="Arial" w:cs="Arial" w:eastAsia="Arial" w:hAnsi="Arial"/>
                <w:sz w:val="16"/>
                <w:szCs w:val="16"/>
                <w:color w:val="auto"/>
              </w:rPr>
              <w:t>9</w:t>
            </w:r>
          </w:p>
        </w:tc>
        <w:tc>
          <w:tcPr>
            <w:tcW w:w="90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ind w:right="123"/>
              <w:spacing w:after="0"/>
              <w:rPr>
                <w:sz w:val="20"/>
                <w:szCs w:val="20"/>
                <w:color w:val="auto"/>
              </w:rPr>
            </w:pPr>
            <w:r>
              <w:rPr>
                <w:rFonts w:ascii="Arial" w:cs="Arial" w:eastAsia="Arial" w:hAnsi="Arial"/>
                <w:sz w:val="16"/>
                <w:szCs w:val="16"/>
                <w:color w:val="auto"/>
              </w:rPr>
              <w:t>9</w:t>
            </w:r>
          </w:p>
        </w:tc>
        <w:tc>
          <w:tcPr>
            <w:tcW w:w="9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80%</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38% and 14% to $1.8 million and $3.1 million in the three and six months ended June 30, 2015, respectively, from $1.3 million and $2.8 million in the comparable periods in 2014. This increase is primarily attributable to an increase in advertising and online expenses of approximately $0.4 million and $0.2 million, respectively.</w:t>
      </w:r>
    </w:p>
    <w:p>
      <w:pPr>
        <w:sectPr>
          <w:pgSz w:w="11900" w:h="16838" w:orient="portrait"/>
          <w:cols w:equalWidth="0" w:num="1">
            <w:col w:w="11420"/>
          </w:cols>
          <w:pgMar w:left="240" w:top="584"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4" w:right="239" w:bottom="1440" w:gutter="0" w:footer="0" w:header="0"/>
          <w:type w:val="continuous"/>
        </w:sectPr>
      </w:pPr>
    </w:p>
    <w:bookmarkStart w:id="30" w:name="page31"/>
    <w:bookmarkEnd w:id="30"/>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96"/>
              </w:rPr>
              <w:t>Three Months 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22"/>
                <w:szCs w:val="22"/>
                <w:color w:val="auto"/>
              </w:rPr>
            </w:pPr>
          </w:p>
        </w:tc>
        <w:tc>
          <w:tcPr>
            <w:tcW w:w="840" w:type="dxa"/>
            <w:vAlign w:val="bottom"/>
          </w:tcPr>
          <w:p>
            <w:pPr>
              <w:jc w:val="right"/>
              <w:ind w:right="40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22"/>
                <w:szCs w:val="22"/>
                <w:color w:val="auto"/>
              </w:rPr>
            </w:pPr>
          </w:p>
        </w:tc>
        <w:tc>
          <w:tcPr>
            <w:tcW w:w="820" w:type="dxa"/>
            <w:vAlign w:val="bottom"/>
          </w:tcPr>
          <w:p>
            <w:pPr>
              <w:jc w:val="right"/>
              <w:ind w:right="263"/>
              <w:spacing w:after="0"/>
              <w:rPr>
                <w:sz w:val="20"/>
                <w:szCs w:val="20"/>
                <w:color w:val="auto"/>
              </w:rPr>
            </w:pPr>
            <w:r>
              <w:rPr>
                <w:rFonts w:ascii="Arial" w:cs="Arial" w:eastAsia="Arial" w:hAnsi="Arial"/>
                <w:sz w:val="14"/>
                <w:szCs w:val="14"/>
                <w:b w:val="1"/>
                <w:bCs w:val="1"/>
                <w:color w:val="auto"/>
              </w:rPr>
              <w:t>2015</w:t>
            </w:r>
          </w:p>
        </w:tc>
        <w:tc>
          <w:tcPr>
            <w:tcW w:w="900" w:type="dxa"/>
            <w:vAlign w:val="bottom"/>
          </w:tcPr>
          <w:p>
            <w:pPr>
              <w:spacing w:after="0"/>
              <w:rPr>
                <w:sz w:val="22"/>
                <w:szCs w:val="22"/>
                <w:color w:val="auto"/>
              </w:rPr>
            </w:pPr>
          </w:p>
        </w:tc>
        <w:tc>
          <w:tcPr>
            <w:tcW w:w="880" w:type="dxa"/>
            <w:vAlign w:val="bottom"/>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 in thousands)</w:t>
            </w: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10,471</w:t>
            </w:r>
          </w:p>
        </w:tc>
        <w:tc>
          <w:tcPr>
            <w:tcW w:w="760" w:type="dxa"/>
            <w:vAlign w:val="bottom"/>
          </w:tcPr>
          <w:p>
            <w:pPr>
              <w:jc w:val="right"/>
              <w:ind w:right="25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9,788</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20,636</w:t>
            </w:r>
          </w:p>
        </w:tc>
        <w:tc>
          <w:tcPr>
            <w:tcW w:w="900" w:type="dxa"/>
            <w:vAlign w:val="bottom"/>
          </w:tcPr>
          <w:p>
            <w:pPr>
              <w:jc w:val="right"/>
              <w:ind w:right="23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19,286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7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720" w:type="dxa"/>
            <w:vAlign w:val="bottom"/>
            <w:tcBorders>
              <w:bottom w:val="single" w:sz="8" w:color="CCFFCC"/>
            </w:tcBorders>
            <w:gridSpan w:val="2"/>
            <w:shd w:val="clear" w:color="auto" w:fill="CCFFCC"/>
          </w:tcPr>
          <w:p>
            <w:pPr>
              <w:jc w:val="right"/>
              <w:ind w:right="711"/>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42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300" w:type="dxa"/>
            <w:vAlign w:val="bottom"/>
          </w:tcPr>
          <w:p>
            <w:pPr>
              <w:spacing w:after="0"/>
              <w:rPr>
                <w:sz w:val="14"/>
                <w:szCs w:val="14"/>
                <w:color w:val="auto"/>
              </w:rPr>
            </w:pPr>
          </w:p>
        </w:tc>
        <w:tc>
          <w:tcPr>
            <w:tcW w:w="960" w:type="dxa"/>
            <w:vAlign w:val="bottom"/>
            <w:vMerge w:val="restart"/>
          </w:tcPr>
          <w:p>
            <w:pPr>
              <w:jc w:val="right"/>
              <w:ind w:right="83"/>
              <w:spacing w:after="0"/>
              <w:rPr>
                <w:sz w:val="20"/>
                <w:szCs w:val="20"/>
                <w:color w:val="auto"/>
              </w:rPr>
            </w:pPr>
            <w:r>
              <w:rPr>
                <w:rFonts w:ascii="Arial" w:cs="Arial" w:eastAsia="Arial" w:hAnsi="Arial"/>
                <w:sz w:val="16"/>
                <w:szCs w:val="16"/>
                <w:color w:val="auto"/>
              </w:rPr>
              <w:t>122</w:t>
            </w:r>
          </w:p>
        </w:tc>
        <w:tc>
          <w:tcPr>
            <w:tcW w:w="760" w:type="dxa"/>
            <w:vAlign w:val="bottom"/>
          </w:tcPr>
          <w:p>
            <w:pPr>
              <w:jc w:val="right"/>
              <w:ind w:right="532"/>
              <w:spacing w:after="0"/>
              <w:rPr>
                <w:sz w:val="20"/>
                <w:szCs w:val="20"/>
                <w:color w:val="auto"/>
              </w:rPr>
            </w:pPr>
            <w:r>
              <w:rPr>
                <w:rFonts w:ascii="Arial" w:cs="Arial" w:eastAsia="Arial" w:hAnsi="Arial"/>
                <w:sz w:val="11"/>
                <w:szCs w:val="11"/>
                <w:color w:val="auto"/>
              </w:rPr>
              <w:t>(1)</w:t>
            </w:r>
          </w:p>
        </w:tc>
        <w:tc>
          <w:tcPr>
            <w:tcW w:w="840" w:type="dxa"/>
            <w:vAlign w:val="bottom"/>
            <w:vMerge w:val="restart"/>
          </w:tcPr>
          <w:p>
            <w:pPr>
              <w:jc w:val="right"/>
              <w:ind w:right="8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900" w:type="dxa"/>
            <w:vAlign w:val="bottom"/>
          </w:tcPr>
          <w:p>
            <w:pPr>
              <w:jc w:val="right"/>
              <w:ind w:right="531"/>
              <w:spacing w:after="0"/>
              <w:rPr>
                <w:sz w:val="20"/>
                <w:szCs w:val="20"/>
                <w:color w:val="auto"/>
              </w:rPr>
            </w:pPr>
            <w:r>
              <w:rPr>
                <w:rFonts w:ascii="Arial" w:cs="Arial" w:eastAsia="Arial" w:hAnsi="Arial"/>
                <w:sz w:val="11"/>
                <w:szCs w:val="11"/>
                <w:color w:val="auto"/>
              </w:rPr>
              <w:t>(1)</w:t>
            </w:r>
          </w:p>
        </w:tc>
        <w:tc>
          <w:tcPr>
            <w:tcW w:w="880" w:type="dxa"/>
            <w:vAlign w:val="bottom"/>
            <w:vMerge w:val="restart"/>
          </w:tcPr>
          <w:p>
            <w:pPr>
              <w:jc w:val="right"/>
              <w:ind w:right="81"/>
              <w:spacing w:after="0"/>
              <w:rPr>
                <w:sz w:val="20"/>
                <w:szCs w:val="20"/>
                <w:color w:val="auto"/>
              </w:rPr>
            </w:pPr>
            <w:r>
              <w:rPr>
                <w:rFonts w:ascii="Arial" w:cs="Arial" w:eastAsia="Arial" w:hAnsi="Arial"/>
                <w:sz w:val="16"/>
                <w:szCs w:val="16"/>
                <w:color w:val="auto"/>
              </w:rPr>
              <w:t>97</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70"/>
        </w:trPr>
        <w:tc>
          <w:tcPr>
            <w:tcW w:w="3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Includes 10 employees as a result of the acquisition of CAO!</w:t>
      </w:r>
    </w:p>
    <w:p>
      <w:pPr>
        <w:spacing w:after="0" w:line="10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General and administrative expenses increased by 7% to $10.5 million and $20.6 million in the three and six months ended June 30, 2015, from $9.8 million and $19.3 million in the comparable periods in 2014. The increase was primarily due to compensation and related expenses of approximately $1.1 million and $1.8 million, respectively.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94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22"/>
                <w:szCs w:val="22"/>
                <w:color w:val="auto"/>
              </w:rPr>
            </w:pPr>
          </w:p>
        </w:tc>
        <w:tc>
          <w:tcPr>
            <w:tcW w:w="900" w:type="dxa"/>
            <w:vAlign w:val="bottom"/>
          </w:tcPr>
          <w:p>
            <w:pPr>
              <w:jc w:val="right"/>
              <w:ind w:right="323"/>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22"/>
                <w:szCs w:val="22"/>
                <w:color w:val="auto"/>
              </w:rPr>
            </w:pPr>
          </w:p>
        </w:tc>
        <w:tc>
          <w:tcPr>
            <w:tcW w:w="96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10,109</w:t>
            </w:r>
          </w:p>
        </w:tc>
        <w:tc>
          <w:tcPr>
            <w:tcW w:w="780" w:type="dxa"/>
            <w:vAlign w:val="bottom"/>
          </w:tcPr>
          <w:p>
            <w:pPr>
              <w:jc w:val="right"/>
              <w:ind w:right="27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9,336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19,909</w:t>
            </w:r>
          </w:p>
        </w:tc>
        <w:tc>
          <w:tcPr>
            <w:tcW w:w="920" w:type="dxa"/>
            <w:vAlign w:val="bottom"/>
          </w:tcPr>
          <w:p>
            <w:pPr>
              <w:jc w:val="right"/>
              <w:ind w:right="25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18,287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78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gridSpan w:val="2"/>
            <w:shd w:val="clear" w:color="auto" w:fill="CCFFCC"/>
          </w:tcPr>
          <w:p>
            <w:pPr>
              <w:jc w:val="right"/>
              <w:ind w:right="731"/>
              <w:spacing w:after="0"/>
              <w:rPr>
                <w:sz w:val="20"/>
                <w:szCs w:val="20"/>
                <w:color w:val="auto"/>
              </w:rPr>
            </w:pPr>
            <w:r>
              <w:rPr>
                <w:rFonts w:ascii="Arial" w:cs="Arial" w:eastAsia="Arial" w:hAnsi="Arial"/>
                <w:sz w:val="16"/>
                <w:szCs w:val="16"/>
                <w:color w:val="auto"/>
              </w:rPr>
              <w:t>17%</w:t>
            </w: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8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320" w:type="dxa"/>
            <w:vAlign w:val="bottom"/>
          </w:tcPr>
          <w:p>
            <w:pPr>
              <w:spacing w:after="0"/>
              <w:rPr>
                <w:sz w:val="14"/>
                <w:szCs w:val="14"/>
                <w:color w:val="auto"/>
              </w:rPr>
            </w:pPr>
          </w:p>
        </w:tc>
        <w:tc>
          <w:tcPr>
            <w:tcW w:w="1060" w:type="dxa"/>
            <w:vAlign w:val="bottom"/>
            <w:vMerge w:val="restart"/>
          </w:tcPr>
          <w:p>
            <w:pPr>
              <w:jc w:val="right"/>
              <w:ind w:right="83"/>
              <w:spacing w:after="0"/>
              <w:rPr>
                <w:sz w:val="20"/>
                <w:szCs w:val="20"/>
                <w:color w:val="auto"/>
              </w:rPr>
            </w:pPr>
            <w:r>
              <w:rPr>
                <w:rFonts w:ascii="Arial" w:cs="Arial" w:eastAsia="Arial" w:hAnsi="Arial"/>
                <w:sz w:val="16"/>
                <w:szCs w:val="16"/>
                <w:color w:val="auto"/>
              </w:rPr>
              <w:t>253</w:t>
            </w:r>
          </w:p>
        </w:tc>
        <w:tc>
          <w:tcPr>
            <w:tcW w:w="780" w:type="dxa"/>
            <w:vAlign w:val="bottom"/>
          </w:tcPr>
          <w:p>
            <w:pPr>
              <w:jc w:val="right"/>
              <w:ind w:right="572"/>
              <w:spacing w:after="0"/>
              <w:rPr>
                <w:sz w:val="20"/>
                <w:szCs w:val="20"/>
                <w:color w:val="auto"/>
              </w:rPr>
            </w:pPr>
            <w:r>
              <w:rPr>
                <w:rFonts w:ascii="Arial" w:cs="Arial" w:eastAsia="Arial" w:hAnsi="Arial"/>
                <w:sz w:val="11"/>
                <w:szCs w:val="11"/>
                <w:color w:val="auto"/>
                <w:w w:val="88"/>
              </w:rPr>
              <w:t>(1)</w:t>
            </w:r>
          </w:p>
        </w:tc>
        <w:tc>
          <w:tcPr>
            <w:tcW w:w="940" w:type="dxa"/>
            <w:vAlign w:val="bottom"/>
            <w:vMerge w:val="restart"/>
          </w:tcPr>
          <w:p>
            <w:pPr>
              <w:jc w:val="right"/>
              <w:ind w:right="101"/>
              <w:spacing w:after="0"/>
              <w:rPr>
                <w:sz w:val="20"/>
                <w:szCs w:val="20"/>
                <w:color w:val="auto"/>
              </w:rPr>
            </w:pPr>
            <w:r>
              <w:rPr>
                <w:rFonts w:ascii="Arial" w:cs="Arial" w:eastAsia="Arial" w:hAnsi="Arial"/>
                <w:sz w:val="16"/>
                <w:szCs w:val="16"/>
                <w:color w:val="auto"/>
              </w:rPr>
              <w:t>214</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253</w:t>
            </w:r>
          </w:p>
        </w:tc>
        <w:tc>
          <w:tcPr>
            <w:tcW w:w="920" w:type="dxa"/>
            <w:vAlign w:val="bottom"/>
          </w:tcPr>
          <w:p>
            <w:pPr>
              <w:jc w:val="right"/>
              <w:ind w:right="551"/>
              <w:spacing w:after="0"/>
              <w:rPr>
                <w:sz w:val="20"/>
                <w:szCs w:val="20"/>
                <w:color w:val="auto"/>
              </w:rPr>
            </w:pPr>
            <w:r>
              <w:rPr>
                <w:rFonts w:ascii="Arial" w:cs="Arial" w:eastAsia="Arial" w:hAnsi="Arial"/>
                <w:sz w:val="11"/>
                <w:szCs w:val="11"/>
                <w:color w:val="auto"/>
              </w:rPr>
              <w:t>(1)</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214</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70"/>
        </w:trPr>
        <w:tc>
          <w:tcPr>
            <w:tcW w:w="29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Includes 15 employees as a result of the acquisition of CAO!</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development costs increased by 8% to $10.1 million in the three months ended June 30, 2015, from $9.3 million in the comparable period in 2014. This increase relates to an increase in compensation and associated costs for additional and existing product development personnel of approximately $0.5 million to expand our product offerings and an increase in outsource labor of approximately $0.1 million. We continue to increase our investment in new product development efforts to expand future product offerings. We are also investing in partner programs that enable third-parties to develop value-added software applications for our existing and future customers.</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 development costs increased by 9% to $19.9 million in the six months ended June 30, 2015, from $18.3 million in the comparable period in 2014. This increase relates to an increase in compensation and associated costs for additional and existing product development personnel of approximately $1.3 million to expand our product offerings and an increase in outsource labor of approximately $0.1 million. We continue to increase our investment in new product development efforts to expand future product offerings. We are also investing in partner programs that enable third-parties to develop value-added software applications for our existing and future customers.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Restructuring costs consists of termination costs associated with a large customer contract that ended, as well as re-prioritizing and reallocating resources to focus on areas showing high growth potential.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12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2"/>
          </w:tcPr>
          <w:p>
            <w:pPr>
              <w:jc w:val="right"/>
              <w:ind w:right="103"/>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2,988</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FFCC"/>
            </w:tcBorders>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100%  $</w:t>
            </w:r>
          </w:p>
        </w:tc>
        <w:tc>
          <w:tcPr>
            <w:tcW w:w="78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2,988</w:t>
            </w:r>
          </w:p>
        </w:tc>
        <w:tc>
          <w:tcPr>
            <w:tcW w:w="680" w:type="dxa"/>
            <w:vAlign w:val="bottom"/>
            <w:tcBorders>
              <w:bottom w:val="single" w:sz="8" w:color="CCFFCC"/>
            </w:tcBorders>
            <w:shd w:val="clear" w:color="auto" w:fill="CCFFCC"/>
          </w:tcPr>
          <w:p>
            <w:pPr>
              <w:jc w:val="right"/>
              <w:ind w:right="44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0"/>
                <w:szCs w:val="20"/>
                <w:color w:val="auto"/>
              </w:rPr>
            </w:pPr>
          </w:p>
        </w:tc>
        <w:tc>
          <w:tcPr>
            <w:tcW w:w="72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3%</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2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incurred $3.0 million in restructuring costs in the three and six months ended June 30, 2015. Restructuring costs were primarily due to approximately $1.7 million of termination costs associated with a large customer contract that ended and approximately $1.2 million of severance and other associated costs.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12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50"/>
        </w:trPr>
        <w:tc>
          <w:tcPr>
            <w:tcW w:w="5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21"/>
                <w:szCs w:val="21"/>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21"/>
                <w:szCs w:val="21"/>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1,178</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206</w:t>
            </w:r>
          </w:p>
        </w:tc>
        <w:tc>
          <w:tcPr>
            <w:tcW w:w="140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6"/>
                <w:szCs w:val="16"/>
                <w:color w:val="auto"/>
              </w:rPr>
              <w:t>472%  $</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2,490</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396</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529%</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Amortization expense for purchased intangibles increased by 472% and 529% to $1.2 million and $2.5 million in the three and six months ended June 30, 2015, respectively, from $0.2 million and $0.4 million in the comparable periods in 2014. The increase is primarily attributable to our 2014 acquisitions of CAO!, Synchronite, NexGraph, and our investments in technology licenses. Additional amortization expense in the amount of $0.8 million and $0.9 million is included in cost of revenue for the three months ended June 30, 2015 and 2014, respectively. Additional amortization expense in the amount of $1.7 million is included in cost of revenue for the six months ended June 30, 2015 and 2014.</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consists of interest income on cash and cash equivalents, investment income and financial (expense) income which is a result of currency rate fluctuations associated with exchange rate movement of the U.S. dollar against the New Israeli Shekel, Pound Sterling,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2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22"/>
                <w:szCs w:val="22"/>
                <w:color w:val="auto"/>
              </w:rPr>
            </w:pPr>
          </w:p>
        </w:tc>
        <w:tc>
          <w:tcPr>
            <w:tcW w:w="70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4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229</w:t>
            </w:r>
          </w:p>
        </w:tc>
        <w:tc>
          <w:tcPr>
            <w:tcW w:w="3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45</w:t>
            </w:r>
          </w:p>
        </w:tc>
        <w:tc>
          <w:tcPr>
            <w:tcW w:w="138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409%  $</w:t>
            </w:r>
          </w:p>
        </w:tc>
        <w:tc>
          <w:tcPr>
            <w:tcW w:w="720" w:type="dxa"/>
            <w:vAlign w:val="bottom"/>
            <w:shd w:val="clear" w:color="auto" w:fill="CCFFCC"/>
          </w:tcPr>
          <w:p>
            <w:pPr>
              <w:jc w:val="right"/>
              <w:ind w:right="26"/>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534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other income in the three months ended June 30, 2015 from the comparable period 2014 is attributable to an increase in financial income of approximately $0.2 million. Interest income remained flat in the three months ended June 30, 2015 from the comparable period in 2014.</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expense including financial expense and interest income remained flat in the six months ended June 30, 2015 from the comparable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jc w:val="right"/>
              <w:ind w:right="266"/>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22"/>
                <w:szCs w:val="22"/>
                <w:color w:val="auto"/>
              </w:rPr>
            </w:pPr>
          </w:p>
        </w:tc>
        <w:tc>
          <w:tcPr>
            <w:tcW w:w="70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r>
      <w:tr>
        <w:trPr>
          <w:trHeight w:val="237"/>
        </w:trPr>
        <w:tc>
          <w:tcPr>
            <w:tcW w:w="5380" w:type="dxa"/>
            <w:vAlign w:val="bottom"/>
            <w:shd w:val="clear" w:color="auto" w:fill="CCFFCC"/>
          </w:tcPr>
          <w:p>
            <w:pPr>
              <w:ind w:left="40"/>
              <w:spacing w:after="0"/>
              <w:rPr>
                <w:sz w:val="20"/>
                <w:szCs w:val="20"/>
                <w:color w:val="auto"/>
              </w:rPr>
            </w:pPr>
            <w:r>
              <w:rPr>
                <w:rFonts w:ascii="Arial" w:cs="Arial" w:eastAsia="Arial" w:hAnsi="Arial"/>
                <w:sz w:val="16"/>
                <w:szCs w:val="16"/>
                <w:color w:val="auto"/>
              </w:rPr>
              <w:t>Benefit from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jc w:val="right"/>
              <w:ind w:right="6"/>
              <w:spacing w:after="0"/>
              <w:rPr>
                <w:sz w:val="20"/>
                <w:szCs w:val="20"/>
                <w:color w:val="auto"/>
              </w:rPr>
            </w:pPr>
            <w:r>
              <w:rPr>
                <w:rFonts w:ascii="Arial" w:cs="Arial" w:eastAsia="Arial" w:hAnsi="Arial"/>
                <w:sz w:val="16"/>
                <w:szCs w:val="16"/>
                <w:color w:val="auto"/>
              </w:rPr>
              <w:t>(2,098)</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(224)</w:t>
            </w:r>
          </w:p>
        </w:tc>
        <w:tc>
          <w:tcPr>
            <w:tcW w:w="1380" w:type="dxa"/>
            <w:vAlign w:val="bottom"/>
            <w:gridSpan w:val="4"/>
            <w:shd w:val="clear" w:color="auto" w:fill="CCFFCC"/>
          </w:tcPr>
          <w:p>
            <w:pPr>
              <w:jc w:val="right"/>
              <w:ind w:right="80"/>
              <w:spacing w:after="0"/>
              <w:rPr>
                <w:sz w:val="20"/>
                <w:szCs w:val="20"/>
                <w:color w:val="auto"/>
              </w:rPr>
            </w:pPr>
            <w:r>
              <w:rPr>
                <w:rFonts w:ascii="Arial" w:cs="Arial" w:eastAsia="Arial" w:hAnsi="Arial"/>
                <w:sz w:val="16"/>
                <w:szCs w:val="16"/>
                <w:color w:val="auto"/>
              </w:rPr>
              <w:t>837%  $</w:t>
            </w:r>
          </w:p>
        </w:tc>
        <w:tc>
          <w:tcPr>
            <w:tcW w:w="740" w:type="dxa"/>
            <w:vAlign w:val="bottom"/>
            <w:shd w:val="clear" w:color="auto" w:fill="CCFFCC"/>
          </w:tcPr>
          <w:p>
            <w:pPr>
              <w:jc w:val="right"/>
              <w:ind w:right="26"/>
              <w:spacing w:after="0"/>
              <w:rPr>
                <w:sz w:val="20"/>
                <w:szCs w:val="20"/>
                <w:color w:val="auto"/>
              </w:rPr>
            </w:pPr>
            <w:r>
              <w:rPr>
                <w:rFonts w:ascii="Arial" w:cs="Arial" w:eastAsia="Arial" w:hAnsi="Arial"/>
                <w:sz w:val="16"/>
                <w:szCs w:val="16"/>
                <w:color w:val="auto"/>
              </w:rPr>
              <w:t>(2,326)</w:t>
            </w:r>
          </w:p>
        </w:tc>
        <w:tc>
          <w:tcPr>
            <w:tcW w:w="2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(454)</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412%</w:t>
            </w:r>
          </w:p>
        </w:tc>
      </w:tr>
      <w:tr>
        <w:trPr>
          <w:trHeight w:val="33"/>
        </w:trPr>
        <w:tc>
          <w:tcPr>
            <w:tcW w:w="53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recognized a tax benefit from income taxes of $2.1 million and $2.3 million for the three and six months ended June 30, 2015, respectively, an increase from the tax benefit from income taxes of $0.2 million and $0.5 million in the comparable periods in 2014. Our effective tax rate was 28% and 24% for the three and six months ended June 30, 2015, respectively, as compared to 16% and 18% in the comparable periods in 2014. Our consolidated effective tax rate is impacted by the statutory income tax rates applicable to each of the jurisdictions in which we operate.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$5.4 million and $7.4 million for the three and six months ended June 30, 2015, respectively, and a net loss of $1.2 million and $2.0 million for the three and six months ended June 30, 2014, respectively. Revenue increased by approximately $8.2 million and $20.2 million, respectively, while costs and expenses increased by approximately $14.4 million and $27.5 million, respectively, contributing to an increase in net loss of approximately $4.1 million and $5.4 million for the three and six months ended June 30, 2015,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left="403"/>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780" w:type="dxa"/>
            <w:vAlign w:val="bottom"/>
            <w:tcBorders>
              <w:top w:val="single" w:sz="8" w:color="CCFFCC"/>
            </w:tcBorders>
            <w:shd w:val="clear" w:color="auto" w:fill="CCFFCC"/>
          </w:tcPr>
          <w:p>
            <w:pPr>
              <w:spacing w:after="0"/>
              <w:rPr>
                <w:sz w:val="4"/>
                <w:szCs w:val="4"/>
                <w:color w:val="auto"/>
              </w:rPr>
            </w:pPr>
          </w:p>
        </w:tc>
        <w:tc>
          <w:tcPr>
            <w:tcW w:w="840" w:type="dxa"/>
            <w:vAlign w:val="bottom"/>
            <w:tcBorders>
              <w:top w:val="single" w:sz="8" w:color="CCFFCC"/>
            </w:tcBorders>
            <w:shd w:val="clear" w:color="auto" w:fill="CCFFCC"/>
          </w:tcPr>
          <w:p>
            <w:pPr>
              <w:spacing w:after="0"/>
              <w:rPr>
                <w:sz w:val="4"/>
                <w:szCs w:val="4"/>
                <w:color w:val="auto"/>
              </w:rPr>
            </w:pPr>
          </w:p>
        </w:tc>
        <w:tc>
          <w:tcPr>
            <w:tcW w:w="72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(used in)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w:t>
            </w:r>
          </w:p>
        </w:tc>
        <w:tc>
          <w:tcPr>
            <w:tcW w:w="84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(3,146)</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2"/>
            <w:shd w:val="clear" w:color="auto" w:fill="CCFFCC"/>
          </w:tcPr>
          <w:p>
            <w:pPr>
              <w:jc w:val="right"/>
              <w:ind w:right="723"/>
              <w:spacing w:after="0"/>
              <w:rPr>
                <w:sz w:val="20"/>
                <w:szCs w:val="20"/>
                <w:color w:val="auto"/>
              </w:rPr>
            </w:pPr>
            <w:r>
              <w:rPr>
                <w:rFonts w:ascii="Arial" w:cs="Arial" w:eastAsia="Arial" w:hAnsi="Arial"/>
                <w:sz w:val="16"/>
                <w:szCs w:val="16"/>
                <w:color w:val="auto"/>
              </w:rPr>
              <w:t>(14,056)</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(9,948)</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(used in) financing activities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1,328</w:t>
            </w:r>
          </w:p>
        </w:tc>
        <w:tc>
          <w:tcPr>
            <w:tcW w:w="8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(8,241)</w:t>
            </w:r>
          </w:p>
        </w:tc>
      </w:tr>
    </w:tbl>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June 30, 2015, we had approximately $37.0 million in cash and cash equivalents, a decrease of approximately $12.3 million from December 31, 2014. The decrease is primarily attributable to net cash used in investing activities relating to purchases of fixed assets related to the build-out of our co-location facility, restricted cash used for collateral pledge associated with foreign currency forward contracts and cash used in financing activities to repurchase our common stock. This is partially offset by proceeds from the issuance of common stock in connection with the exercise of stock options by employees and cash provided by operating activities. We invest our cash in short-term money market funds.</w:t>
      </w:r>
    </w:p>
    <w:p>
      <w:pPr>
        <w:spacing w:after="0" w:line="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$0.3 million for the six months ended June 30, 2015 and consisted primarily of net loss, non-cash expenses related to ASC 718-10, amortization of purchased intangibles and depreciation, increases in accounts receivable, prepaid expenses, accounts payable and decreases in accrued expenses. Net cash used in operating activities was $3.1 million for the six months ended June 30, 2014 and consisted primarily of a net loss, non-cash expenses related to ASC 718-10, amortization of purchased intangibles and depreciation, and an increase prepaid expenses, accounts receivable and decreases in accounts payable and accrued expense.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$14.1 million in the six months ended June 30, 2015 and was due primarily to the purchase of fixed assets for our co-location facilities and restricted cash associated with foreign currency forward contracts. Net cash used in investing activities was $9.9 million in the six months ended June 30, 2014 and was due primarily to the purchase of fixed assets for our co-location facilities and our investments in technology assets, and our acquisitions of Synchronite and NexGraph.</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$1.3 million in the six months ended June 30, 2015 and consisted primarily of the issuance of common stock and excess tax benefit for exercise of employee stock options, offset by the repurchase of our common stock. Net cash used in financing activities was $8.2 million in the six months ended June 30, 2014 and consisted primarily of the repurchase of our common stock offset by the proceeds from the issuance of common stock in connection with the exercise of stock options by employees.</w:t>
      </w:r>
    </w:p>
    <w:p>
      <w:pPr>
        <w:spacing w:after="0" w:line="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periods ended March 31, 2013, March 31, 2014, June 30, 2014 and March 31, 2015. We incurred a net loss in the quarterly periods ended June 30, 2013, September 30, 2013, December 31, 2013, as well as in the quarterly periods ended September 30, 2014, December 31, 2014 and June 30, 2015. As of June 30, 2015, we had an accumulated deficit of approximately $100.0 million.</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648"/>
        <w:spacing w:after="0" w:line="312" w:lineRule="auto"/>
        <w:rPr>
          <w:sz w:val="20"/>
          <w:szCs w:val="20"/>
          <w:color w:val="auto"/>
        </w:rPr>
      </w:pPr>
      <w:r>
        <w:rPr>
          <w:rFonts w:ascii="Arial" w:cs="Arial" w:eastAsia="Arial" w:hAnsi="Arial"/>
          <w:sz w:val="16"/>
          <w:szCs w:val="16"/>
          <w:color w:val="auto"/>
        </w:rPr>
        <w:t>We lease facilities and certain equipment under agreements accounted for as operating leases. These leases generally require us to pay all executory costs such as maintenance and insurance. Rental expense for operating leases for the three and six months ended June 30, 2015, was approximately $2.4 million and $4.9 million, respectively, and approximately $2.4 million and $4.6 million for the three and six months ended June 30, 2014, respectively.</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2015, our principal commitments were approximately $23.9 million under various operating leases, of which approximately $4.9 million is due in 2015. We currently expect that our principal commitments for the year ending December 31, 2015 will not exceed $9.0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June 30, 2015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23,925</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8,255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9,984</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5,686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ind w:left="98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23,925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8,255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9,984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5,686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result of the expanded scope of our Israeli operations, our currency rate fluctuation risk associated with the exchange rate movement of the U.S. dollar against the New Israeli Shekel (“NIS”) has increased. During the three and six months ended June 30, 2015, the U.S. dollar appreciated by approximately 11% and 12%, respectively, as compared to the NIS. During the three and six months ended June 30, 2015, expenses generated by our Israeli operations totaled approximately $15.0 million and $28.5 million, respectively. During 2015, we hedged this foreign currency risk exposure.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continue to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2015, we increased our allowance for doubtful accounts by $0.7 million. During 2014, we increased our allowance for doubtful accounts from $1.2 million to approximately $1.3 million, principally due to an increase in sales. A larger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2015. Based on that evaluation, the Chief Executive Officer and Chief Financial Officer concluded that our disclosure controls and procedures were effective as of June 30, 2015 to ensure that the information we are required to disclose in the reports that we file or submit under the Exchange Act is recorded, processed,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ind w:right="20"/>
        <w:spacing w:after="0" w:line="264" w:lineRule="auto"/>
        <w:rPr>
          <w:sz w:val="20"/>
          <w:szCs w:val="20"/>
          <w:color w:val="auto"/>
        </w:rPr>
      </w:pPr>
      <w:r>
        <w:rPr>
          <w:rFonts w:ascii="Arial" w:cs="Arial" w:eastAsia="Arial" w:hAnsi="Arial"/>
          <w:sz w:val="18"/>
          <w:szCs w:val="18"/>
          <w:color w:val="auto"/>
        </w:rPr>
        <w:t>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2015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22, 2015, [24]7 Customer, Inc. filed suit against us in the Northern District of California alleging patent infringement. We believe the claims are entirely without merit and intend to defend them vigorously. 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Discovery in the New York case is in process.</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disclosures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Risks that could have a material and adverse impact on our business, results of operations and financial condition include the following: potential fluctuations in our quarterly revenue and operating results; competition in the markets for online sales, marketing and customer service solutions, and online consumer services; our ability to retain existing clients and attract new clients; risks related to new regulatory or other legal requirements that could materially impact our business; volatility of the value of certain currencies in relation to the U.S. dollar, particularly the currency of regions where we have operations; additional regulatory requirements, tax liabilities, currency exchange rate fluctuations and other risks as we expand internationally and/or as we expand into direct-to-consumer services; impairments to goodwill that result in significant charges to earnings; responding to rapid technological change and changing client preferences; the adverse effect that the global economic downturn may have on our business and results of operations; our ability to retain key personnel, attract new personnel and to manage staff attrition; our ability to expand our operations internationally; risks related to the ability to successfully integrate past or potential future acquisitions; failures or security breaches in our services, those of our third party providers, or in the websites of our customers;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86" w:lineRule="auto"/>
        <w:rPr>
          <w:sz w:val="20"/>
          <w:szCs w:val="20"/>
          <w:color w:val="auto"/>
        </w:rPr>
      </w:pPr>
      <w:r>
        <w:rPr>
          <w:rFonts w:ascii="Arial" w:cs="Arial" w:eastAsia="Arial" w:hAnsi="Arial"/>
          <w:sz w:val="16"/>
          <w:szCs w:val="16"/>
          <w:color w:val="auto"/>
        </w:rPr>
        <w:t>risks related to the regulation or possible misappropriation of personal information belonging to our customers’ Internet users; dependence upon technology systems and third-party content that are beyond our control; privacy concerns relating to the Internet that could result in new legislation or negative public perception; legal liability and/or negative publicity for the services provided to consumers via our technology platforms; risks related to protecting our intellectual property rights or potential infringement of the intellectual property rights of third parties; risks related to technological or other defects distributing our services; increased allowances for doubtful accounts as a result of an increasing amount of receivables due from customers with greater credit risk; delays in our implementation cycles; risks associated with the recent volatility in the capital markets; our ability to secure additional financing to execute our business strategy; risks associated with our current or any future stock repurchase programs, including whether such programs will enhance long-term stockholder value, and whether such stock repurchases could increase the volatility of the price of our common stock and diminish our cash reserves; our ability to license necessary third party software for use in our products and services, and our ability to successfully integrate third party software; changes in accounting principles generally accepted in the United States; our ability to maintain our reputation; risks related to our complex products; our recognition of revenue from subscriptions; our lengthy sales cycles; risks related to our operations in Israel, and the civil and political unrest in that region; natural catastrophic events and interruption to our business by man-made problems; the high volatility of our stock price; and risks related to our common stock being traded on more than one securities exchange. This list is intended to identify only certain of the principal factors that could have a material and adverse impact on our business, results of operations and financial condition. A more detailed description of each of these and other important risk factors can be found under the caption “Risk Factors” in our most recent Annual Report on Form 10-K filed on March 12, 2015 (the “Form 10-K”).</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material changes to the risk factors described in the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June 30, 2015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8,246,866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4/1/2015 – 4/30/2015</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8,246,866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5/1/2015 – 5/31/2015</w:t>
            </w:r>
          </w:p>
        </w:tc>
        <w:tc>
          <w:tcPr>
            <w:tcW w:w="2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8,246,866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6/1/2015 – 6/30/2015</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7,771,186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7,771,186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right="20" w:hanging="644"/>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share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June 30, 2014, approximately $1.1 million remained available for purchases under the program as in effect at that time.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As of June 30, 2015, approximately $7.8 million remained available for purchases under the program.</w:t>
      </w:r>
    </w:p>
    <w:p>
      <w:pPr>
        <w:spacing w:after="0" w:line="8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580"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580" w:right="339" w:bottom="1440" w:gutter="0" w:footer="0" w:header="0"/>
          <w:type w:val="continuous"/>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60"/>
              <w:spacing w:after="0"/>
              <w:rPr>
                <w:sz w:val="20"/>
                <w:szCs w:val="20"/>
                <w:color w:val="auto"/>
              </w:rPr>
            </w:pPr>
            <w:r>
              <w:rPr>
                <w:rFonts w:ascii="Arial" w:cs="Arial" w:eastAsia="Arial" w:hAnsi="Arial"/>
                <w:sz w:val="18"/>
                <w:szCs w:val="18"/>
                <w:color w:val="auto"/>
              </w:rPr>
              <w:t>August 7, 2015</w:t>
            </w:r>
          </w:p>
        </w:tc>
        <w:tc>
          <w:tcPr>
            <w:tcW w:w="2140" w:type="dxa"/>
            <w:vAlign w:val="bottom"/>
          </w:tcPr>
          <w:p>
            <w:pPr>
              <w:ind w:left="16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60"/>
              <w:spacing w:after="0"/>
              <w:rPr>
                <w:sz w:val="20"/>
                <w:szCs w:val="20"/>
                <w:color w:val="auto"/>
              </w:rPr>
            </w:pPr>
            <w:r>
              <w:rPr>
                <w:rFonts w:ascii="Arial" w:cs="Arial" w:eastAsia="Arial" w:hAnsi="Arial"/>
                <w:sz w:val="18"/>
                <w:szCs w:val="18"/>
                <w:color w:val="auto"/>
              </w:rPr>
              <w:t>August 7, 2015</w:t>
            </w:r>
          </w:p>
        </w:tc>
        <w:tc>
          <w:tcPr>
            <w:tcW w:w="2140" w:type="dxa"/>
            <w:vAlign w:val="bottom"/>
          </w:tcPr>
          <w:p>
            <w:pPr>
              <w:ind w:left="16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140" w:type="dxa"/>
            <w:vAlign w:val="bottom"/>
          </w:tcPr>
          <w:p>
            <w:pPr>
              <w:ind w:left="164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39</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9780" w:type="dxa"/>
            <w:vAlign w:val="bottom"/>
          </w:tcPr>
          <w:p>
            <w:pPr>
              <w:ind w:left="3560"/>
              <w:spacing w:after="0"/>
              <w:rPr>
                <w:sz w:val="20"/>
                <w:szCs w:val="20"/>
                <w:color w:val="auto"/>
              </w:rPr>
            </w:pPr>
            <w:r>
              <w:rPr>
                <w:rFonts w:ascii="Arial" w:cs="Arial" w:eastAsia="Arial" w:hAnsi="Arial"/>
                <w:sz w:val="18"/>
                <w:szCs w:val="18"/>
                <w:color w:val="auto"/>
              </w:rPr>
              <w:t>EXHIBIT INDEX</w:t>
            </w:r>
          </w:p>
        </w:tc>
      </w:tr>
      <w:tr>
        <w:trPr>
          <w:trHeight w:val="486"/>
        </w:trPr>
        <w:tc>
          <w:tcPr>
            <w:tcW w:w="1500" w:type="dxa"/>
            <w:vAlign w:val="bottom"/>
          </w:tcPr>
          <w:p>
            <w:pPr>
              <w:ind w:left="40"/>
              <w:spacing w:after="0"/>
              <w:rPr>
                <w:sz w:val="20"/>
                <w:szCs w:val="20"/>
                <w:color w:val="auto"/>
              </w:rPr>
            </w:pPr>
            <w:r>
              <w:rPr>
                <w:rFonts w:ascii="Arial" w:cs="Arial" w:eastAsia="Arial" w:hAnsi="Arial"/>
                <w:sz w:val="18"/>
                <w:szCs w:val="18"/>
                <w:color w:val="auto"/>
              </w:rPr>
              <w:t>EXHIBIT</w:t>
            </w:r>
          </w:p>
        </w:tc>
        <w:tc>
          <w:tcPr>
            <w:tcW w:w="9780" w:type="dxa"/>
            <w:vAlign w:val="bottom"/>
          </w:tcPr>
          <w:p>
            <w:pPr>
              <w:spacing w:after="0"/>
              <w:rPr>
                <w:sz w:val="24"/>
                <w:szCs w:val="24"/>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9780" w:type="dxa"/>
            <w:vAlign w:val="bottom"/>
          </w:tcPr>
          <w:p>
            <w:pPr>
              <w:spacing w:after="0"/>
              <w:rPr>
                <w:sz w:val="2"/>
                <w:szCs w:val="2"/>
                <w:color w:val="auto"/>
              </w:rPr>
            </w:pPr>
          </w:p>
        </w:tc>
      </w:tr>
      <w:tr>
        <w:trPr>
          <w:trHeight w:val="546"/>
        </w:trPr>
        <w:tc>
          <w:tcPr>
            <w:tcW w:w="1500" w:type="dxa"/>
            <w:vAlign w:val="bottom"/>
          </w:tcPr>
          <w:p>
            <w:pPr>
              <w:ind w:left="40"/>
              <w:spacing w:after="0"/>
              <w:rPr>
                <w:sz w:val="20"/>
                <w:szCs w:val="20"/>
                <w:color w:val="auto"/>
              </w:rPr>
            </w:pPr>
            <w:r>
              <w:rPr>
                <w:rFonts w:ascii="Arial" w:cs="Arial" w:eastAsia="Arial" w:hAnsi="Arial"/>
                <w:sz w:val="18"/>
                <w:szCs w:val="18"/>
                <w:color w:val="auto"/>
              </w:rPr>
              <w:t>31.1</w:t>
            </w:r>
          </w:p>
        </w:tc>
        <w:tc>
          <w:tcPr>
            <w:tcW w:w="9780" w:type="dxa"/>
            <w:vAlign w:val="bottom"/>
          </w:tcPr>
          <w:p>
            <w:pPr>
              <w:ind w:left="20"/>
              <w:spacing w:after="0"/>
              <w:rPr>
                <w:sz w:val="20"/>
                <w:szCs w:val="20"/>
                <w:color w:val="auto"/>
              </w:rPr>
            </w:pPr>
            <w:r>
              <w:rPr>
                <w:rFonts w:ascii="Arial" w:cs="Arial" w:eastAsia="Arial" w:hAnsi="Arial"/>
                <w:sz w:val="18"/>
                <w:szCs w:val="18"/>
                <w:color w:val="auto"/>
                <w:w w:val="90"/>
              </w:rPr>
              <w:t>Certification by Chief Executive Officer pursuant to Exchange Act Rule 13a-14(a), as adopted pursuant to Section 302 of the Sarbanes-</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31.2</w:t>
            </w:r>
          </w:p>
        </w:tc>
        <w:tc>
          <w:tcPr>
            <w:tcW w:w="9780" w:type="dxa"/>
            <w:vAlign w:val="bottom"/>
          </w:tcPr>
          <w:p>
            <w:pPr>
              <w:ind w:left="20"/>
              <w:spacing w:after="0"/>
              <w:rPr>
                <w:sz w:val="20"/>
                <w:szCs w:val="20"/>
                <w:color w:val="auto"/>
              </w:rPr>
            </w:pPr>
            <w:r>
              <w:rPr>
                <w:rFonts w:ascii="Arial" w:cs="Arial" w:eastAsia="Arial" w:hAnsi="Arial"/>
                <w:sz w:val="18"/>
                <w:szCs w:val="18"/>
                <w:color w:val="auto"/>
                <w:w w:val="91"/>
              </w:rPr>
              <w:t>Certification by Chief Financial Officer pursuant to Exchange Act Rule 13a-14(a), as adopted pursuant to Section 302 of the Sarbanes-</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32.1**</w:t>
            </w:r>
          </w:p>
        </w:tc>
        <w:tc>
          <w:tcPr>
            <w:tcW w:w="9780" w:type="dxa"/>
            <w:vAlign w:val="bottom"/>
          </w:tcPr>
          <w:p>
            <w:pPr>
              <w:ind w:left="20"/>
              <w:spacing w:after="0"/>
              <w:rPr>
                <w:sz w:val="20"/>
                <w:szCs w:val="20"/>
                <w:color w:val="auto"/>
              </w:rPr>
            </w:pPr>
            <w:r>
              <w:rPr>
                <w:rFonts w:ascii="Arial" w:cs="Arial" w:eastAsia="Arial" w:hAnsi="Arial"/>
                <w:sz w:val="18"/>
                <w:szCs w:val="18"/>
                <w:color w:val="auto"/>
                <w:w w:val="90"/>
              </w:rPr>
              <w:t>Certification by Chief Executive Officer pursuant to 18 U.S.C. Section 1350, as adopted pursuant to Section 906 of the Sarbanes-Oxley</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32.2**</w:t>
            </w:r>
          </w:p>
        </w:tc>
        <w:tc>
          <w:tcPr>
            <w:tcW w:w="9780" w:type="dxa"/>
            <w:vAlign w:val="bottom"/>
          </w:tcPr>
          <w:p>
            <w:pPr>
              <w:ind w:left="20"/>
              <w:spacing w:after="0"/>
              <w:rPr>
                <w:sz w:val="20"/>
                <w:szCs w:val="20"/>
                <w:color w:val="auto"/>
              </w:rPr>
            </w:pPr>
            <w:r>
              <w:rPr>
                <w:rFonts w:ascii="Arial" w:cs="Arial" w:eastAsia="Arial" w:hAnsi="Arial"/>
                <w:sz w:val="18"/>
                <w:szCs w:val="18"/>
                <w:color w:val="auto"/>
                <w:w w:val="91"/>
              </w:rPr>
              <w:t>Certification by Chief Financial Officer pursuant to 18 U.S.C. Section 1350, as adopted pursuant to Section 906 of the Sarbanes-Oxley</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300" w:firstLine="8"/>
        <w:spacing w:after="0" w:line="342" w:lineRule="auto"/>
        <w:tabs>
          <w:tab w:leader="none" w:pos="3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58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August 7, 2015</w:t>
            </w:r>
          </w:p>
        </w:tc>
        <w:tc>
          <w:tcPr>
            <w:tcW w:w="2460" w:type="dxa"/>
            <w:vAlign w:val="bottom"/>
          </w:tcPr>
          <w:p>
            <w:pPr>
              <w:ind w:left="170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60" w:type="dxa"/>
            <w:vAlign w:val="bottom"/>
            <w:vMerge w:val="restart"/>
          </w:tcPr>
          <w:p>
            <w:pPr>
              <w:ind w:left="170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260"/>
              <w:spacing w:after="0"/>
              <w:rPr>
                <w:sz w:val="20"/>
                <w:szCs w:val="20"/>
                <w:color w:val="auto"/>
              </w:rPr>
            </w:pPr>
            <w:r>
              <w:rPr>
                <w:rFonts w:ascii="Arial" w:cs="Arial" w:eastAsia="Arial" w:hAnsi="Arial"/>
                <w:sz w:val="18"/>
                <w:szCs w:val="18"/>
                <w:color w:val="auto"/>
              </w:rPr>
              <w:t>August 7, 2015</w:t>
            </w:r>
          </w:p>
        </w:tc>
        <w:tc>
          <w:tcPr>
            <w:tcW w:w="2360" w:type="dxa"/>
            <w:vAlign w:val="bottom"/>
          </w:tcPr>
          <w:p>
            <w:pPr>
              <w:ind w:left="160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vMerge w:val="restart"/>
          </w:tcPr>
          <w:p>
            <w:pPr>
              <w:ind w:left="160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360" w:type="dxa"/>
            <w:vAlign w:val="bottom"/>
          </w:tcPr>
          <w:p>
            <w:pPr>
              <w:ind w:left="160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2015,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200"/>
              <w:spacing w:after="0"/>
              <w:rPr>
                <w:sz w:val="20"/>
                <w:szCs w:val="20"/>
                <w:color w:val="auto"/>
              </w:rPr>
            </w:pPr>
            <w:r>
              <w:rPr>
                <w:rFonts w:ascii="Arial" w:cs="Arial" w:eastAsia="Arial" w:hAnsi="Arial"/>
                <w:sz w:val="18"/>
                <w:szCs w:val="18"/>
                <w:color w:val="auto"/>
              </w:rPr>
              <w:t>August 7, 2015</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80" w:type="dxa"/>
            <w:vAlign w:val="bottom"/>
            <w:vMerge w:val="restart"/>
          </w:tcPr>
          <w:p>
            <w:pPr>
              <w:ind w:left="174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480" w:type="dxa"/>
            <w:vAlign w:val="bottom"/>
          </w:tcPr>
          <w:p>
            <w:pPr>
              <w:ind w:left="174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1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2015,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300"/>
              <w:spacing w:after="0"/>
              <w:rPr>
                <w:sz w:val="20"/>
                <w:szCs w:val="20"/>
                <w:color w:val="auto"/>
              </w:rPr>
            </w:pPr>
            <w:r>
              <w:rPr>
                <w:rFonts w:ascii="Arial" w:cs="Arial" w:eastAsia="Arial" w:hAnsi="Arial"/>
                <w:sz w:val="18"/>
                <w:szCs w:val="18"/>
                <w:color w:val="auto"/>
              </w:rPr>
              <w:t>August 7, 2015</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2019-12-29T15:34:43Z</dcterms:created>
  <dcterms:modified xsi:type="dcterms:W3CDTF">2019-12-29T15:34:43Z</dcterms:modified>
</cp:coreProperties>
</file>