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00"/>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SECURITIES AND EXCHANGE COMMISSION</w:t>
      </w:r>
    </w:p>
    <w:p>
      <w:pPr>
        <w:spacing w:after="0" w:line="3"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WASHINGTON, D.C. 20549</w:t>
      </w:r>
    </w:p>
    <w:p>
      <w:pPr>
        <w:spacing w:after="0" w:line="94" w:lineRule="exact"/>
        <w:rPr>
          <w:sz w:val="24"/>
          <w:szCs w:val="24"/>
          <w:color w:val="auto"/>
        </w:rPr>
      </w:pPr>
    </w:p>
    <w:p>
      <w:pPr>
        <w:jc w:val="center"/>
        <w:ind w:left="400"/>
        <w:spacing w:after="0"/>
        <w:rPr>
          <w:sz w:val="20"/>
          <w:szCs w:val="20"/>
          <w:color w:val="auto"/>
        </w:rPr>
      </w:pPr>
      <w:r>
        <w:rPr>
          <w:rFonts w:ascii="Arial" w:cs="Arial" w:eastAsia="Arial" w:hAnsi="Arial"/>
          <w:sz w:val="21"/>
          <w:szCs w:val="21"/>
          <w:b w:val="1"/>
          <w:bCs w:val="1"/>
          <w:color w:val="auto"/>
        </w:rPr>
        <w:t>FORM 10-Q</w:t>
      </w:r>
    </w:p>
    <w:p>
      <w:pPr>
        <w:spacing w:after="0" w:line="20" w:lineRule="exact"/>
        <w:rPr>
          <w:sz w:val="24"/>
          <w:szCs w:val="24"/>
          <w:color w:val="auto"/>
        </w:rPr>
      </w:pPr>
    </w:p>
    <w:p>
      <w:pPr>
        <w:ind w:left="420"/>
        <w:spacing w:after="0"/>
        <w:rPr>
          <w:sz w:val="20"/>
          <w:szCs w:val="20"/>
          <w:color w:val="auto"/>
        </w:rPr>
      </w:pPr>
      <w:r>
        <w:rPr>
          <w:rFonts w:ascii="Arial" w:cs="Arial" w:eastAsia="Arial" w:hAnsi="Arial"/>
          <w:sz w:val="18"/>
          <w:szCs w:val="18"/>
          <w:b w:val="1"/>
          <w:bCs w:val="1"/>
          <w:color w:val="auto"/>
        </w:rPr>
        <w:t>(Mark One)</w:t>
      </w:r>
    </w:p>
    <w:p>
      <w:pPr>
        <w:ind w:left="3920" w:right="1820" w:hanging="3495"/>
        <w:spacing w:after="0" w:line="252" w:lineRule="auto"/>
        <w:tabs>
          <w:tab w:leader="none" w:pos="63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77" w:lineRule="exact"/>
        <w:rPr>
          <w:sz w:val="24"/>
          <w:szCs w:val="24"/>
          <w:color w:val="auto"/>
        </w:rPr>
      </w:pPr>
    </w:p>
    <w:p>
      <w:pPr>
        <w:jc w:val="center"/>
        <w:ind w:left="400"/>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2820" w:right="1800" w:hanging="2395"/>
        <w:spacing w:after="0" w:line="331" w:lineRule="auto"/>
        <w:tabs>
          <w:tab w:leader="none" w:pos="636"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____________________ to ____________________</w:t>
      </w:r>
    </w:p>
    <w:p>
      <w:pPr>
        <w:spacing w:after="0" w:line="149" w:lineRule="exact"/>
        <w:rPr>
          <w:sz w:val="24"/>
          <w:szCs w:val="24"/>
          <w:color w:val="auto"/>
        </w:rPr>
      </w:pPr>
    </w:p>
    <w:tbl>
      <w:tblPr>
        <w:tblLayout w:type="fixed"/>
        <w:tblInd w:w="42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6020" w:type="dxa"/>
            <w:vAlign w:val="bottom"/>
            <w:gridSpan w:val="3"/>
          </w:tcPr>
          <w:p>
            <w:pPr>
              <w:ind w:left="3140"/>
              <w:spacing w:after="0"/>
              <w:rPr>
                <w:sz w:val="20"/>
                <w:szCs w:val="20"/>
                <w:color w:val="auto"/>
              </w:rPr>
            </w:pPr>
            <w:r>
              <w:rPr>
                <w:rFonts w:ascii="Arial" w:cs="Arial" w:eastAsia="Arial" w:hAnsi="Arial"/>
                <w:sz w:val="18"/>
                <w:szCs w:val="18"/>
                <w:b w:val="1"/>
                <w:bCs w:val="1"/>
                <w:color w:val="auto"/>
                <w:w w:val="91"/>
              </w:rPr>
              <w:t>Commission File Number: 000-30141</w:t>
            </w:r>
          </w:p>
        </w:tc>
        <w:tc>
          <w:tcPr>
            <w:tcW w:w="3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88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6"/>
                <w:szCs w:val="16"/>
                <w:b w:val="1"/>
                <w:bCs w:val="1"/>
                <w:color w:val="auto"/>
                <w:w w:val="99"/>
              </w:rPr>
              <w:t>LIVEPERSON, INC.</w:t>
            </w:r>
          </w:p>
        </w:tc>
        <w:tc>
          <w:tcPr>
            <w:tcW w:w="30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80" w:type="dxa"/>
            <w:vAlign w:val="bottom"/>
          </w:tcPr>
          <w:p>
            <w:pPr>
              <w:spacing w:after="0"/>
              <w:rPr>
                <w:sz w:val="17"/>
                <w:szCs w:val="17"/>
                <w:color w:val="auto"/>
              </w:rPr>
            </w:pPr>
          </w:p>
        </w:tc>
        <w:tc>
          <w:tcPr>
            <w:tcW w:w="10040" w:type="dxa"/>
            <w:vAlign w:val="bottom"/>
            <w:gridSpan w:val="5"/>
          </w:tcPr>
          <w:p>
            <w:pPr>
              <w:jc w:val="center"/>
              <w:ind w:right="260"/>
              <w:spacing w:after="0"/>
              <w:rPr>
                <w:sz w:val="20"/>
                <w:szCs w:val="20"/>
                <w:color w:val="auto"/>
              </w:rPr>
            </w:pPr>
            <w:r>
              <w:rPr>
                <w:rFonts w:ascii="Arial" w:cs="Arial" w:eastAsia="Arial" w:hAnsi="Arial"/>
                <w:sz w:val="16"/>
                <w:szCs w:val="16"/>
                <w:color w:val="auto"/>
                <w:w w:val="89"/>
              </w:rPr>
              <w:t>(Exact name of registrant as specified in its charter)</w:t>
            </w:r>
          </w:p>
        </w:tc>
        <w:tc>
          <w:tcPr>
            <w:tcW w:w="0" w:type="dxa"/>
            <w:vAlign w:val="bottom"/>
          </w:tcPr>
          <w:p>
            <w:pPr>
              <w:spacing w:after="0"/>
              <w:rPr>
                <w:sz w:val="1"/>
                <w:szCs w:val="1"/>
                <w:color w:val="auto"/>
              </w:rPr>
            </w:pPr>
          </w:p>
        </w:tc>
      </w:tr>
      <w:tr>
        <w:trPr>
          <w:trHeight w:val="472"/>
        </w:trPr>
        <w:tc>
          <w:tcPr>
            <w:tcW w:w="880" w:type="dxa"/>
            <w:vAlign w:val="bottom"/>
          </w:tcPr>
          <w:p>
            <w:pPr>
              <w:spacing w:after="0"/>
              <w:rPr>
                <w:sz w:val="24"/>
                <w:szCs w:val="24"/>
                <w:color w:val="auto"/>
              </w:rPr>
            </w:pPr>
          </w:p>
        </w:tc>
        <w:tc>
          <w:tcPr>
            <w:tcW w:w="4100" w:type="dxa"/>
            <w:vAlign w:val="bottom"/>
            <w:tcBorders>
              <w:bottom w:val="single" w:sz="8" w:color="auto"/>
            </w:tcBorders>
          </w:tcPr>
          <w:p>
            <w:pPr>
              <w:jc w:val="center"/>
              <w:ind w:left="340"/>
              <w:spacing w:after="0"/>
              <w:rPr>
                <w:sz w:val="20"/>
                <w:szCs w:val="20"/>
                <w:color w:val="auto"/>
              </w:rPr>
            </w:pPr>
            <w:r>
              <w:rPr>
                <w:rFonts w:ascii="Arial" w:cs="Arial" w:eastAsia="Arial" w:hAnsi="Arial"/>
                <w:sz w:val="16"/>
                <w:szCs w:val="16"/>
                <w:color w:val="auto"/>
                <w:w w:val="88"/>
              </w:rPr>
              <w:t>Delaware</w:t>
            </w:r>
          </w:p>
        </w:tc>
        <w:tc>
          <w:tcPr>
            <w:tcW w:w="84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jc w:val="right"/>
              <w:ind w:right="1381"/>
              <w:spacing w:after="0"/>
              <w:rPr>
                <w:sz w:val="20"/>
                <w:szCs w:val="20"/>
                <w:color w:val="auto"/>
              </w:rPr>
            </w:pPr>
            <w:r>
              <w:rPr>
                <w:rFonts w:ascii="Arial" w:cs="Arial" w:eastAsia="Arial" w:hAnsi="Arial"/>
                <w:sz w:val="16"/>
                <w:szCs w:val="16"/>
                <w:color w:val="auto"/>
              </w:rPr>
              <w:t>13-3861628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880" w:type="dxa"/>
            <w:vAlign w:val="bottom"/>
          </w:tcPr>
          <w:p>
            <w:pPr>
              <w:spacing w:after="0"/>
              <w:rPr>
                <w:sz w:val="13"/>
                <w:szCs w:val="13"/>
                <w:color w:val="auto"/>
              </w:rPr>
            </w:pPr>
          </w:p>
        </w:tc>
        <w:tc>
          <w:tcPr>
            <w:tcW w:w="6020" w:type="dxa"/>
            <w:vAlign w:val="bottom"/>
            <w:gridSpan w:val="3"/>
          </w:tcPr>
          <w:p>
            <w:pPr>
              <w:jc w:val="center"/>
              <w:ind w:right="1500"/>
              <w:spacing w:after="0" w:line="161" w:lineRule="exact"/>
              <w:rPr>
                <w:sz w:val="20"/>
                <w:szCs w:val="20"/>
                <w:color w:val="auto"/>
              </w:rPr>
            </w:pPr>
            <w:r>
              <w:rPr>
                <w:rFonts w:ascii="Arial" w:cs="Arial" w:eastAsia="Arial" w:hAnsi="Arial"/>
                <w:sz w:val="16"/>
                <w:szCs w:val="16"/>
                <w:color w:val="auto"/>
                <w:w w:val="91"/>
              </w:rPr>
              <w:t>(State or other jurisdiction of incorporation or</w:t>
            </w:r>
          </w:p>
        </w:tc>
        <w:tc>
          <w:tcPr>
            <w:tcW w:w="4020" w:type="dxa"/>
            <w:vAlign w:val="bottom"/>
            <w:gridSpan w:val="2"/>
            <w:vMerge w:val="restart"/>
          </w:tcPr>
          <w:p>
            <w:pPr>
              <w:jc w:val="center"/>
              <w:ind w:right="1640"/>
              <w:spacing w:after="0"/>
              <w:rPr>
                <w:sz w:val="20"/>
                <w:szCs w:val="20"/>
                <w:color w:val="auto"/>
              </w:rPr>
            </w:pPr>
            <w:r>
              <w:rPr>
                <w:rFonts w:ascii="Arial" w:cs="Arial" w:eastAsia="Arial" w:hAnsi="Arial"/>
                <w:sz w:val="16"/>
                <w:szCs w:val="16"/>
                <w:color w:val="auto"/>
                <w:w w:val="93"/>
              </w:rPr>
              <w:t>(IRS Employer Identification No.)</w:t>
            </w:r>
          </w:p>
        </w:tc>
        <w:tc>
          <w:tcPr>
            <w:tcW w:w="0" w:type="dxa"/>
            <w:vAlign w:val="bottom"/>
          </w:tcPr>
          <w:p>
            <w:pPr>
              <w:spacing w:after="0"/>
              <w:rPr>
                <w:sz w:val="1"/>
                <w:szCs w:val="1"/>
                <w:color w:val="auto"/>
              </w:rPr>
            </w:pPr>
          </w:p>
        </w:tc>
      </w:tr>
      <w:tr>
        <w:trPr>
          <w:trHeight w:val="200"/>
        </w:trPr>
        <w:tc>
          <w:tcPr>
            <w:tcW w:w="880" w:type="dxa"/>
            <w:vAlign w:val="bottom"/>
          </w:tcPr>
          <w:p>
            <w:pPr>
              <w:spacing w:after="0"/>
              <w:rPr>
                <w:sz w:val="17"/>
                <w:szCs w:val="17"/>
                <w:color w:val="auto"/>
              </w:rPr>
            </w:pPr>
          </w:p>
        </w:tc>
        <w:tc>
          <w:tcPr>
            <w:tcW w:w="6020" w:type="dxa"/>
            <w:vAlign w:val="bottom"/>
            <w:gridSpan w:val="3"/>
          </w:tcPr>
          <w:p>
            <w:pPr>
              <w:ind w:left="1640"/>
              <w:spacing w:after="0"/>
              <w:rPr>
                <w:sz w:val="20"/>
                <w:szCs w:val="20"/>
                <w:color w:val="auto"/>
              </w:rPr>
            </w:pPr>
            <w:r>
              <w:rPr>
                <w:rFonts w:ascii="Arial" w:cs="Arial" w:eastAsia="Arial" w:hAnsi="Arial"/>
                <w:sz w:val="16"/>
                <w:szCs w:val="16"/>
                <w:color w:val="auto"/>
              </w:rPr>
              <w:t>organization)</w:t>
            </w:r>
          </w:p>
        </w:tc>
        <w:tc>
          <w:tcPr>
            <w:tcW w:w="40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54"/>
        </w:trPr>
        <w:tc>
          <w:tcPr>
            <w:tcW w:w="880" w:type="dxa"/>
            <w:vAlign w:val="bottom"/>
          </w:tcPr>
          <w:p>
            <w:pPr>
              <w:spacing w:after="0"/>
              <w:rPr>
                <w:sz w:val="24"/>
                <w:szCs w:val="24"/>
                <w:color w:val="auto"/>
              </w:rPr>
            </w:pPr>
          </w:p>
        </w:tc>
        <w:tc>
          <w:tcPr>
            <w:tcW w:w="6020" w:type="dxa"/>
            <w:vAlign w:val="bottom"/>
            <w:gridSpan w:val="3"/>
          </w:tcPr>
          <w:p>
            <w:pPr>
              <w:jc w:val="center"/>
              <w:ind w:right="1500"/>
              <w:spacing w:after="0"/>
              <w:rPr>
                <w:sz w:val="20"/>
                <w:szCs w:val="20"/>
                <w:color w:val="auto"/>
              </w:rPr>
            </w:pPr>
            <w:r>
              <w:rPr>
                <w:rFonts w:ascii="Arial" w:cs="Arial" w:eastAsia="Arial" w:hAnsi="Arial"/>
                <w:sz w:val="16"/>
                <w:szCs w:val="16"/>
                <w:color w:val="auto"/>
                <w:w w:val="91"/>
              </w:rPr>
              <w:t>530 7th Ave, Floor M1</w:t>
            </w:r>
          </w:p>
        </w:tc>
        <w:tc>
          <w:tcPr>
            <w:tcW w:w="30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880" w:type="dxa"/>
            <w:vAlign w:val="bottom"/>
          </w:tcPr>
          <w:p>
            <w:pPr>
              <w:spacing w:after="0"/>
              <w:rPr>
                <w:sz w:val="21"/>
                <w:szCs w:val="21"/>
                <w:color w:val="auto"/>
              </w:rPr>
            </w:pPr>
          </w:p>
        </w:tc>
        <w:tc>
          <w:tcPr>
            <w:tcW w:w="4100" w:type="dxa"/>
            <w:vAlign w:val="bottom"/>
            <w:tcBorders>
              <w:bottom w:val="single" w:sz="8" w:color="auto"/>
            </w:tcBorders>
          </w:tcPr>
          <w:p>
            <w:pPr>
              <w:jc w:val="center"/>
              <w:ind w:left="340"/>
              <w:spacing w:after="0"/>
              <w:rPr>
                <w:sz w:val="20"/>
                <w:szCs w:val="20"/>
                <w:color w:val="auto"/>
              </w:rPr>
            </w:pPr>
            <w:r>
              <w:rPr>
                <w:rFonts w:ascii="Arial" w:cs="Arial" w:eastAsia="Arial" w:hAnsi="Arial"/>
                <w:sz w:val="16"/>
                <w:szCs w:val="16"/>
                <w:color w:val="auto"/>
                <w:w w:val="92"/>
              </w:rPr>
              <w:t>New York, New York</w:t>
            </w:r>
          </w:p>
        </w:tc>
        <w:tc>
          <w:tcPr>
            <w:tcW w:w="84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tcPr>
          <w:p>
            <w:pPr>
              <w:jc w:val="right"/>
              <w:ind w:right="1581"/>
              <w:spacing w:after="0"/>
              <w:rPr>
                <w:sz w:val="20"/>
                <w:szCs w:val="20"/>
                <w:color w:val="auto"/>
              </w:rPr>
            </w:pPr>
            <w:r>
              <w:rPr>
                <w:rFonts w:ascii="Arial" w:cs="Arial" w:eastAsia="Arial" w:hAnsi="Arial"/>
                <w:sz w:val="16"/>
                <w:szCs w:val="16"/>
                <w:color w:val="auto"/>
              </w:rPr>
              <w:t>10018</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19"/>
                <w:szCs w:val="19"/>
                <w:color w:val="auto"/>
              </w:rPr>
            </w:pPr>
          </w:p>
        </w:tc>
        <w:tc>
          <w:tcPr>
            <w:tcW w:w="6020" w:type="dxa"/>
            <w:vAlign w:val="bottom"/>
            <w:gridSpan w:val="3"/>
          </w:tcPr>
          <w:p>
            <w:pPr>
              <w:jc w:val="center"/>
              <w:ind w:right="1480"/>
              <w:spacing w:after="0"/>
              <w:rPr>
                <w:sz w:val="20"/>
                <w:szCs w:val="20"/>
                <w:color w:val="auto"/>
              </w:rPr>
            </w:pPr>
            <w:r>
              <w:rPr>
                <w:rFonts w:ascii="Arial" w:cs="Arial" w:eastAsia="Arial" w:hAnsi="Arial"/>
                <w:sz w:val="16"/>
                <w:szCs w:val="16"/>
                <w:color w:val="auto"/>
                <w:w w:val="91"/>
              </w:rPr>
              <w:t>(Address of principal executive offices)</w:t>
            </w:r>
          </w:p>
        </w:tc>
        <w:tc>
          <w:tcPr>
            <w:tcW w:w="4020" w:type="dxa"/>
            <w:vAlign w:val="bottom"/>
            <w:gridSpan w:val="2"/>
          </w:tcPr>
          <w:p>
            <w:pPr>
              <w:jc w:val="center"/>
              <w:ind w:right="1640"/>
              <w:spacing w:after="0"/>
              <w:rPr>
                <w:sz w:val="20"/>
                <w:szCs w:val="20"/>
                <w:color w:val="auto"/>
              </w:rPr>
            </w:pPr>
            <w:r>
              <w:rPr>
                <w:rFonts w:ascii="Arial" w:cs="Arial" w:eastAsia="Arial" w:hAnsi="Arial"/>
                <w:sz w:val="16"/>
                <w:szCs w:val="16"/>
                <w:color w:val="auto"/>
                <w:w w:val="92"/>
              </w:rPr>
              <w:t>(Zip Code)</w:t>
            </w:r>
          </w:p>
        </w:tc>
        <w:tc>
          <w:tcPr>
            <w:tcW w:w="0" w:type="dxa"/>
            <w:vAlign w:val="bottom"/>
          </w:tcPr>
          <w:p>
            <w:pPr>
              <w:spacing w:after="0"/>
              <w:rPr>
                <w:sz w:val="1"/>
                <w:szCs w:val="1"/>
                <w:color w:val="auto"/>
              </w:rPr>
            </w:pPr>
          </w:p>
        </w:tc>
      </w:tr>
    </w:tbl>
    <w:p>
      <w:pPr>
        <w:spacing w:after="0" w:line="178"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(212) 609-4200</w:t>
      </w:r>
    </w:p>
    <w:p>
      <w:pPr>
        <w:spacing w:after="0" w:line="15"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66"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6" w:lineRule="exact"/>
        <w:rPr>
          <w:sz w:val="24"/>
          <w:szCs w:val="24"/>
          <w:color w:val="auto"/>
        </w:rPr>
      </w:pPr>
    </w:p>
    <w:tbl>
      <w:tblPr>
        <w:tblLayout w:type="fixed"/>
        <w:tblInd w:w="420" w:type="dxa"/>
        <w:tblCellMar>
          <w:top w:w="0" w:type="dxa"/>
          <w:left w:w="0" w:type="dxa"/>
          <w:bottom w:w="0" w:type="dxa"/>
          <w:right w:w="0" w:type="dxa"/>
        </w:tblCellMar>
      </w:tblPr>
      <w:tr>
        <w:trPr>
          <w:trHeight w:val="206"/>
        </w:trPr>
        <w:tc>
          <w:tcPr>
            <w:tcW w:w="4460" w:type="dxa"/>
            <w:vAlign w:val="bottom"/>
            <w:tcBorders>
              <w:top w:val="single" w:sz="8" w:color="auto"/>
              <w:bottom w:val="single" w:sz="8" w:color="auto"/>
            </w:tcBorders>
          </w:tcPr>
          <w:p>
            <w:pPr>
              <w:jc w:val="center"/>
              <w:ind w:left="41"/>
              <w:spacing w:after="0"/>
              <w:rPr>
                <w:sz w:val="20"/>
                <w:szCs w:val="20"/>
                <w:color w:val="auto"/>
              </w:rPr>
            </w:pPr>
            <w:r>
              <w:rPr>
                <w:rFonts w:ascii="Arial" w:cs="Arial" w:eastAsia="Arial" w:hAnsi="Arial"/>
                <w:sz w:val="16"/>
                <w:szCs w:val="16"/>
                <w:color w:val="auto"/>
                <w:w w:val="88"/>
              </w:rPr>
              <w:t>Title of each class</w:t>
            </w:r>
          </w:p>
        </w:tc>
        <w:tc>
          <w:tcPr>
            <w:tcW w:w="27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1"/>
              </w:rPr>
              <w:t>Trading Symbol(s)</w:t>
            </w:r>
          </w:p>
        </w:tc>
        <w:tc>
          <w:tcPr>
            <w:tcW w:w="3680" w:type="dxa"/>
            <w:vAlign w:val="bottom"/>
            <w:tcBorders>
              <w:top w:val="single" w:sz="8" w:color="auto"/>
              <w:bottom w:val="single" w:sz="8" w:color="auto"/>
            </w:tcBorders>
          </w:tcPr>
          <w:p>
            <w:pPr>
              <w:jc w:val="center"/>
              <w:ind w:left="581"/>
              <w:spacing w:after="0"/>
              <w:rPr>
                <w:sz w:val="20"/>
                <w:szCs w:val="20"/>
                <w:color w:val="auto"/>
              </w:rPr>
            </w:pPr>
            <w:r>
              <w:rPr>
                <w:rFonts w:ascii="Arial" w:cs="Arial" w:eastAsia="Arial" w:hAnsi="Arial"/>
                <w:sz w:val="16"/>
                <w:szCs w:val="16"/>
                <w:color w:val="auto"/>
                <w:w w:val="87"/>
              </w:rPr>
              <w:t>Name of each exchange on which registered</w:t>
            </w:r>
          </w:p>
        </w:tc>
      </w:tr>
      <w:tr>
        <w:trPr>
          <w:trHeight w:val="200"/>
        </w:trPr>
        <w:tc>
          <w:tcPr>
            <w:tcW w:w="4460" w:type="dxa"/>
            <w:vAlign w:val="bottom"/>
          </w:tcPr>
          <w:p>
            <w:pPr>
              <w:jc w:val="center"/>
              <w:ind w:left="21"/>
              <w:spacing w:after="0"/>
              <w:rPr>
                <w:sz w:val="20"/>
                <w:szCs w:val="20"/>
                <w:color w:val="auto"/>
              </w:rPr>
            </w:pPr>
            <w:r>
              <w:rPr>
                <w:rFonts w:ascii="Arial" w:cs="Arial" w:eastAsia="Arial" w:hAnsi="Arial"/>
                <w:sz w:val="16"/>
                <w:szCs w:val="16"/>
                <w:color w:val="auto"/>
                <w:w w:val="87"/>
              </w:rPr>
              <w:t>Common Stock, par value $0.001 per share</w:t>
            </w:r>
          </w:p>
        </w:tc>
        <w:tc>
          <w:tcPr>
            <w:tcW w:w="2780" w:type="dxa"/>
            <w:vAlign w:val="bottom"/>
          </w:tcPr>
          <w:p>
            <w:pPr>
              <w:jc w:val="center"/>
              <w:spacing w:after="0"/>
              <w:rPr>
                <w:sz w:val="20"/>
                <w:szCs w:val="20"/>
                <w:color w:val="auto"/>
              </w:rPr>
            </w:pPr>
            <w:r>
              <w:rPr>
                <w:rFonts w:ascii="Arial" w:cs="Arial" w:eastAsia="Arial" w:hAnsi="Arial"/>
                <w:sz w:val="16"/>
                <w:szCs w:val="16"/>
                <w:color w:val="auto"/>
                <w:w w:val="95"/>
              </w:rPr>
              <w:t>LPSN</w:t>
            </w:r>
          </w:p>
        </w:tc>
        <w:tc>
          <w:tcPr>
            <w:tcW w:w="3680" w:type="dxa"/>
            <w:vAlign w:val="bottom"/>
          </w:tcPr>
          <w:p>
            <w:pPr>
              <w:jc w:val="center"/>
              <w:ind w:left="581"/>
              <w:spacing w:after="0"/>
              <w:rPr>
                <w:sz w:val="20"/>
                <w:szCs w:val="20"/>
                <w:color w:val="auto"/>
              </w:rPr>
            </w:pPr>
            <w:r>
              <w:rPr>
                <w:rFonts w:ascii="Arial" w:cs="Arial" w:eastAsia="Arial" w:hAnsi="Arial"/>
                <w:sz w:val="16"/>
                <w:szCs w:val="16"/>
                <w:color w:val="auto"/>
                <w:w w:val="90"/>
              </w:rPr>
              <w:t>The Nasdaq Stock Market LLC</w:t>
            </w:r>
          </w:p>
        </w:tc>
      </w:tr>
    </w:tbl>
    <w:p>
      <w:pPr>
        <w:spacing w:after="0" w:line="322" w:lineRule="exact"/>
        <w:rPr>
          <w:sz w:val="24"/>
          <w:szCs w:val="24"/>
          <w:color w:val="auto"/>
        </w:rPr>
      </w:pPr>
    </w:p>
    <w:p>
      <w:pPr>
        <w:jc w:val="both"/>
        <w:ind w:right="100" w:firstLine="420"/>
        <w:spacing w:after="0" w:line="220"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100" w:firstLine="420"/>
        <w:spacing w:after="0" w:line="22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jc w:val="both"/>
        <w:ind w:right="100" w:firstLine="42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860" w:type="dxa"/>
        <w:tblCellMar>
          <w:top w:w="0" w:type="dxa"/>
          <w:left w:w="0" w:type="dxa"/>
          <w:bottom w:w="0" w:type="dxa"/>
          <w:right w:w="0" w:type="dxa"/>
        </w:tblCellMar>
      </w:tblPr>
      <w:tr>
        <w:trPr>
          <w:trHeight w:val="210"/>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38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0"/>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520"/>
              <w:spacing w:after="0" w:line="161" w:lineRule="exact"/>
              <w:rPr>
                <w:sz w:val="20"/>
                <w:szCs w:val="20"/>
                <w:color w:val="auto"/>
              </w:rPr>
            </w:pPr>
            <w:r>
              <w:rPr>
                <w:rFonts w:ascii="MS PGothic" w:cs="MS PGothic" w:eastAsia="MS PGothic" w:hAnsi="MS PGothic"/>
                <w:sz w:val="16"/>
                <w:szCs w:val="16"/>
                <w:color w:val="auto"/>
              </w:rPr>
              <w:t>☐</w:t>
            </w:r>
          </w:p>
        </w:tc>
        <w:tc>
          <w:tcPr>
            <w:tcW w:w="3600" w:type="dxa"/>
            <w:vAlign w:val="bottom"/>
          </w:tcPr>
          <w:p>
            <w:pPr>
              <w:ind w:left="138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6"/>
        </w:trPr>
        <w:tc>
          <w:tcPr>
            <w:tcW w:w="20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600" w:type="dxa"/>
            <w:vAlign w:val="bottom"/>
          </w:tcPr>
          <w:p>
            <w:pPr>
              <w:ind w:left="138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0" w:lineRule="exact"/>
        <w:rPr>
          <w:sz w:val="24"/>
          <w:szCs w:val="24"/>
          <w:color w:val="auto"/>
        </w:rPr>
      </w:pPr>
    </w:p>
    <w:p>
      <w:pPr>
        <w:ind w:right="100" w:firstLine="42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1" w:lineRule="exact"/>
        <w:rPr>
          <w:sz w:val="24"/>
          <w:szCs w:val="24"/>
          <w:color w:val="auto"/>
        </w:rPr>
      </w:pPr>
    </w:p>
    <w:p>
      <w:pPr>
        <w:ind w:left="420" w:right="2000"/>
        <w:spacing w:after="0" w:line="285"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On October 29, 2021, 70,763,137 shares of the registrant’s common stock were outstanding.</w:t>
      </w:r>
    </w:p>
    <w:p>
      <w:pPr>
        <w:spacing w:after="0" w:line="200" w:lineRule="exact"/>
        <w:rPr>
          <w:sz w:val="24"/>
          <w:szCs w:val="24"/>
          <w:color w:val="auto"/>
        </w:rPr>
      </w:pPr>
    </w:p>
    <w:p>
      <w:pPr>
        <w:spacing w:after="0" w:line="366" w:lineRule="exact"/>
        <w:rPr>
          <w:sz w:val="24"/>
          <w:szCs w:val="24"/>
          <w:color w:val="auto"/>
        </w:rPr>
      </w:pPr>
    </w:p>
    <w:p>
      <w:pPr>
        <w:jc w:val="center"/>
        <w:ind w:left="4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340"/>
          </w:cols>
          <w:pgMar w:left="320" w:top="1171" w:right="2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LIVEPERSON,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2021</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10-Q</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9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163"/>
        </w:trPr>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640" w:type="dxa"/>
            <w:vAlign w:val="bottom"/>
            <w:gridSpan w:val="11"/>
          </w:tcPr>
          <w:p>
            <w:pPr>
              <w:jc w:val="center"/>
              <w:ind w:right="2920"/>
              <w:spacing w:after="0" w:line="137" w:lineRule="exact"/>
              <w:rPr>
                <w:rFonts w:ascii="Arial" w:cs="Arial" w:eastAsia="Arial" w:hAnsi="Arial"/>
                <w:sz w:val="15"/>
                <w:szCs w:val="15"/>
                <w:color w:val="0000FF"/>
                <w:w w:val="97"/>
              </w:rPr>
            </w:pPr>
            <w:hyperlink w:anchor="page3">
              <w:r>
                <w:rPr>
                  <w:rFonts w:ascii="Arial" w:cs="Arial" w:eastAsia="Arial" w:hAnsi="Arial"/>
                  <w:sz w:val="15"/>
                  <w:szCs w:val="15"/>
                  <w:color w:val="0000FF"/>
                  <w:w w:val="97"/>
                </w:rPr>
                <w:t>PART I. Financial Information</w:t>
              </w:r>
            </w:hyperlink>
          </w:p>
        </w:tc>
        <w:tc>
          <w:tcPr>
            <w:tcW w:w="960" w:type="dxa"/>
            <w:vAlign w:val="bottom"/>
            <w:gridSpan w:val="2"/>
          </w:tcPr>
          <w:p>
            <w:pPr>
              <w:jc w:val="right"/>
              <w:spacing w:after="0" w:line="138" w:lineRule="exact"/>
              <w:rPr>
                <w:rFonts w:ascii="Arial" w:cs="Arial" w:eastAsia="Arial" w:hAnsi="Arial"/>
                <w:sz w:val="15"/>
                <w:szCs w:val="15"/>
                <w:color w:val="0000FF"/>
              </w:rPr>
            </w:pPr>
            <w:hyperlink w:anchor="page3">
              <w:r>
                <w:rPr>
                  <w:rFonts w:ascii="Arial" w:cs="Arial" w:eastAsia="Arial" w:hAnsi="Arial"/>
                  <w:sz w:val="15"/>
                  <w:szCs w:val="15"/>
                  <w:color w:val="0000FF"/>
                </w:rPr>
                <w:t>4</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7"/>
        </w:trPr>
        <w:tc>
          <w:tcPr>
            <w:tcW w:w="12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2180" w:type="dxa"/>
            <w:vAlign w:val="bottom"/>
            <w:tcBorders>
              <w:bottom w:val="single" w:sz="8" w:color="0000FF"/>
            </w:tcBorders>
            <w:gridSpan w:val="8"/>
          </w:tcPr>
          <w:p>
            <w:pPr>
              <w:spacing w:after="0"/>
              <w:rPr>
                <w:rFonts w:ascii="Arial" w:cs="Arial" w:eastAsia="Arial" w:hAnsi="Arial"/>
                <w:sz w:val="16"/>
                <w:szCs w:val="16"/>
                <w:color w:val="0000FF"/>
                <w:w w:val="89"/>
              </w:rPr>
            </w:pPr>
            <w:hyperlink w:anchor="page4">
              <w:r>
                <w:rPr>
                  <w:rFonts w:ascii="Arial" w:cs="Arial" w:eastAsia="Arial" w:hAnsi="Arial"/>
                  <w:sz w:val="16"/>
                  <w:szCs w:val="16"/>
                  <w:color w:val="0000FF"/>
                  <w:w w:val="89"/>
                </w:rPr>
                <w:t>Financial Statements (Unaudited):</w:t>
              </w:r>
            </w:hyperlink>
          </w:p>
        </w:tc>
        <w:tc>
          <w:tcPr>
            <w:tcW w:w="1200" w:type="dxa"/>
            <w:vAlign w:val="bottom"/>
            <w:gridSpan w:val="3"/>
          </w:tcPr>
          <w:p>
            <w:pPr>
              <w:spacing w:after="0"/>
              <w:rPr>
                <w:sz w:val="24"/>
                <w:szCs w:val="24"/>
                <w:color w:val="auto"/>
              </w:rPr>
            </w:pPr>
          </w:p>
        </w:tc>
        <w:tc>
          <w:tcPr>
            <w:tcW w:w="2280" w:type="dxa"/>
            <w:vAlign w:val="bottom"/>
            <w:tcBorders>
              <w:top w:val="single" w:sz="8" w:color="0000FF"/>
            </w:tcBorders>
            <w:gridSpan w:val="8"/>
          </w:tcPr>
          <w:p>
            <w:pPr>
              <w:spacing w:after="0"/>
              <w:rPr>
                <w:sz w:val="24"/>
                <w:szCs w:val="24"/>
                <w:color w:val="auto"/>
              </w:rPr>
            </w:pP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Balance Sheets</w:t>
              </w:r>
            </w:hyperlink>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580" w:type="dxa"/>
            <w:vAlign w:val="bottom"/>
            <w:tcBorders>
              <w:top w:val="single" w:sz="8" w:color="0000FF"/>
            </w:tcBorders>
            <w:gridSpan w:val="8"/>
          </w:tcPr>
          <w:p>
            <w:pPr>
              <w:spacing w:after="0" w:line="138" w:lineRule="exact"/>
              <w:rPr>
                <w:sz w:val="20"/>
                <w:szCs w:val="20"/>
                <w:color w:val="auto"/>
              </w:rPr>
            </w:pPr>
            <w:r>
              <w:rPr>
                <w:rFonts w:ascii="Arial" w:cs="Arial" w:eastAsia="Arial" w:hAnsi="Arial"/>
                <w:sz w:val="15"/>
                <w:szCs w:val="15"/>
                <w:color w:val="auto"/>
                <w:w w:val="93"/>
              </w:rPr>
              <w:t>as of September 30, 2021 and December</w:t>
            </w:r>
          </w:p>
        </w:tc>
        <w:tc>
          <w:tcPr>
            <w:tcW w:w="620" w:type="dxa"/>
            <w:vAlign w:val="bottom"/>
            <w:gridSpan w:val="3"/>
          </w:tcPr>
          <w:p>
            <w:pPr>
              <w:jc w:val="right"/>
              <w:spacing w:after="0" w:line="138" w:lineRule="exact"/>
              <w:rPr>
                <w:sz w:val="20"/>
                <w:szCs w:val="20"/>
                <w:color w:val="auto"/>
              </w:rPr>
            </w:pPr>
            <w:r>
              <w:rPr>
                <w:rFonts w:ascii="Arial" w:cs="Arial" w:eastAsia="Arial" w:hAnsi="Arial"/>
                <w:sz w:val="15"/>
                <w:szCs w:val="15"/>
                <w:color w:val="auto"/>
                <w:w w:val="95"/>
              </w:rPr>
              <w:t>31, 2020</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520" w:type="dxa"/>
            <w:vAlign w:val="bottom"/>
            <w:gridSpan w:val="2"/>
          </w:tcPr>
          <w:p>
            <w:pPr>
              <w:spacing w:after="0"/>
              <w:rPr>
                <w:sz w:val="11"/>
                <w:szCs w:val="11"/>
                <w:color w:val="auto"/>
              </w:rPr>
            </w:pPr>
          </w:p>
        </w:tc>
        <w:tc>
          <w:tcPr>
            <w:tcW w:w="2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Borders>
              <w:bottom w:val="single" w:sz="8" w:color="0000FF"/>
            </w:tcBorders>
          </w:tcPr>
          <w:p>
            <w:pPr>
              <w:jc w:val="right"/>
              <w:spacing w:after="0" w:line="138" w:lineRule="exact"/>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Operations</w:t>
              </w:r>
            </w:hyperlink>
          </w:p>
        </w:tc>
        <w:tc>
          <w:tcPr>
            <w:tcW w:w="880" w:type="dxa"/>
            <w:vAlign w:val="bottom"/>
            <w:vMerge w:val="restart"/>
          </w:tcPr>
          <w:p>
            <w:pPr>
              <w:spacing w:after="0"/>
              <w:rPr>
                <w:sz w:val="24"/>
                <w:szCs w:val="24"/>
                <w:color w:val="auto"/>
              </w:rPr>
            </w:pPr>
          </w:p>
        </w:tc>
        <w:tc>
          <w:tcPr>
            <w:tcW w:w="80" w:type="dxa"/>
            <w:vAlign w:val="bottom"/>
            <w:vMerge w:val="restart"/>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20" w:type="dxa"/>
            <w:vAlign w:val="bottom"/>
            <w:gridSpan w:val="19"/>
          </w:tcPr>
          <w:p>
            <w:pPr>
              <w:spacing w:after="0" w:line="138" w:lineRule="exact"/>
              <w:rPr>
                <w:sz w:val="20"/>
                <w:szCs w:val="20"/>
                <w:color w:val="auto"/>
              </w:rPr>
            </w:pPr>
            <w:r>
              <w:rPr>
                <w:rFonts w:ascii="Arial" w:cs="Arial" w:eastAsia="Arial" w:hAnsi="Arial"/>
                <w:sz w:val="15"/>
                <w:szCs w:val="15"/>
                <w:color w:val="auto"/>
              </w:rPr>
              <w:t>for the Three and Nine Months Ended September 30, 2021 and 2020</w:t>
            </w:r>
          </w:p>
        </w:tc>
        <w:tc>
          <w:tcPr>
            <w:tcW w:w="88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Comprehensive Loss</w:t>
              </w:r>
            </w:hyperlink>
          </w:p>
        </w:tc>
        <w:tc>
          <w:tcPr>
            <w:tcW w:w="880" w:type="dxa"/>
            <w:vAlign w:val="bottom"/>
            <w:vMerge w:val="restart"/>
          </w:tcPr>
          <w:p>
            <w:pPr>
              <w:spacing w:after="0"/>
              <w:rPr>
                <w:sz w:val="24"/>
                <w:szCs w:val="24"/>
                <w:color w:val="auto"/>
              </w:rPr>
            </w:pPr>
          </w:p>
        </w:tc>
        <w:tc>
          <w:tcPr>
            <w:tcW w:w="80" w:type="dxa"/>
            <w:vAlign w:val="bottom"/>
            <w:vMerge w:val="restart"/>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20" w:type="dxa"/>
            <w:vAlign w:val="bottom"/>
            <w:gridSpan w:val="19"/>
          </w:tcPr>
          <w:p>
            <w:pPr>
              <w:spacing w:after="0" w:line="138" w:lineRule="exact"/>
              <w:rPr>
                <w:sz w:val="20"/>
                <w:szCs w:val="20"/>
                <w:color w:val="auto"/>
              </w:rPr>
            </w:pPr>
            <w:r>
              <w:rPr>
                <w:rFonts w:ascii="Arial" w:cs="Arial" w:eastAsia="Arial" w:hAnsi="Arial"/>
                <w:sz w:val="15"/>
                <w:szCs w:val="15"/>
                <w:color w:val="auto"/>
              </w:rPr>
              <w:t>for the Three and Nine Months Ended September 30, 2021 and 2020</w:t>
            </w:r>
          </w:p>
        </w:tc>
        <w:tc>
          <w:tcPr>
            <w:tcW w:w="88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6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88"/>
              </w:rPr>
              <w:t>Condensed Consolidated Statements of Stockholders’ Equity</w:t>
            </w:r>
          </w:p>
        </w:tc>
        <w:tc>
          <w:tcPr>
            <w:tcW w:w="4360" w:type="dxa"/>
            <w:vAlign w:val="bottom"/>
            <w:gridSpan w:val="4"/>
          </w:tcPr>
          <w:p>
            <w:pPr>
              <w:spacing w:after="0"/>
              <w:rPr>
                <w:sz w:val="24"/>
                <w:szCs w:val="24"/>
                <w:color w:val="auto"/>
              </w:rPr>
            </w:pPr>
          </w:p>
        </w:tc>
        <w:tc>
          <w:tcPr>
            <w:tcW w:w="960" w:type="dxa"/>
            <w:vAlign w:val="bottom"/>
            <w:gridSpan w:val="2"/>
            <w:vMerge w:val="restart"/>
          </w:tcPr>
          <w:p>
            <w:pPr>
              <w:jc w:val="right"/>
              <w:spacing w:after="0"/>
              <w:rPr>
                <w:rFonts w:ascii="Arial" w:cs="Arial" w:eastAsia="Arial" w:hAnsi="Arial"/>
                <w:sz w:val="16"/>
                <w:szCs w:val="16"/>
                <w:color w:val="0000FF"/>
              </w:rPr>
            </w:pPr>
            <w:hyperlink w:anchor="page6">
              <w:r>
                <w:rPr>
                  <w:rFonts w:ascii="Arial" w:cs="Arial" w:eastAsia="Arial" w:hAnsi="Arial"/>
                  <w:sz w:val="16"/>
                  <w:szCs w:val="16"/>
                  <w:color w:val="0000FF"/>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20" w:type="dxa"/>
            <w:vAlign w:val="bottom"/>
            <w:gridSpan w:val="19"/>
          </w:tcPr>
          <w:p>
            <w:pPr>
              <w:spacing w:after="0" w:line="138" w:lineRule="exact"/>
              <w:rPr>
                <w:sz w:val="20"/>
                <w:szCs w:val="20"/>
                <w:color w:val="auto"/>
              </w:rPr>
            </w:pPr>
            <w:r>
              <w:rPr>
                <w:rFonts w:ascii="Arial" w:cs="Arial" w:eastAsia="Arial" w:hAnsi="Arial"/>
                <w:sz w:val="15"/>
                <w:szCs w:val="15"/>
                <w:color w:val="auto"/>
              </w:rPr>
              <w:t>for the Three and Nine Months Ended September 30, 2021 and 2020</w:t>
            </w:r>
          </w:p>
        </w:tc>
        <w:tc>
          <w:tcPr>
            <w:tcW w:w="9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20" w:type="dxa"/>
            <w:vAlign w:val="bottom"/>
            <w:gridSpan w:val="19"/>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Condensed Consolidated Statements of Cash Flows</w:t>
              </w:r>
            </w:hyperlink>
          </w:p>
        </w:tc>
        <w:tc>
          <w:tcPr>
            <w:tcW w:w="8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60" w:type="dxa"/>
            <w:vAlign w:val="bottom"/>
            <w:tcBorders>
              <w:top w:val="single" w:sz="8" w:color="0000FF"/>
            </w:tcBorders>
            <w:gridSpan w:val="12"/>
          </w:tcPr>
          <w:p>
            <w:pPr>
              <w:spacing w:after="0" w:line="138" w:lineRule="exact"/>
              <w:rPr>
                <w:sz w:val="20"/>
                <w:szCs w:val="20"/>
                <w:color w:val="auto"/>
              </w:rPr>
            </w:pPr>
            <w:r>
              <w:rPr>
                <w:rFonts w:ascii="Arial" w:cs="Arial" w:eastAsia="Arial" w:hAnsi="Arial"/>
                <w:sz w:val="15"/>
                <w:szCs w:val="15"/>
                <w:color w:val="auto"/>
                <w:w w:val="93"/>
              </w:rPr>
              <w:t>for the Nine Months Ended September 30, 2021 and</w:t>
            </w:r>
          </w:p>
        </w:tc>
        <w:tc>
          <w:tcPr>
            <w:tcW w:w="1560" w:type="dxa"/>
            <w:vAlign w:val="bottom"/>
            <w:gridSpan w:val="4"/>
          </w:tcPr>
          <w:p>
            <w:pPr>
              <w:jc w:val="right"/>
              <w:ind w:right="1160"/>
              <w:spacing w:after="0" w:line="138" w:lineRule="exact"/>
              <w:rPr>
                <w:sz w:val="20"/>
                <w:szCs w:val="20"/>
                <w:color w:val="auto"/>
              </w:rPr>
            </w:pPr>
            <w:r>
              <w:rPr>
                <w:rFonts w:ascii="Arial" w:cs="Arial" w:eastAsia="Arial" w:hAnsi="Arial"/>
                <w:sz w:val="15"/>
                <w:szCs w:val="15"/>
                <w:color w:val="auto"/>
              </w:rPr>
              <w:t>2020</w:t>
            </w:r>
          </w:p>
        </w:tc>
        <w:tc>
          <w:tcPr>
            <w:tcW w:w="520" w:type="dxa"/>
            <w:vAlign w:val="bottom"/>
            <w:gridSpan w:val="2"/>
          </w:tcPr>
          <w:p>
            <w:pPr>
              <w:spacing w:after="0"/>
              <w:rPr>
                <w:sz w:val="11"/>
                <w:szCs w:val="11"/>
                <w:color w:val="auto"/>
              </w:rPr>
            </w:pPr>
          </w:p>
        </w:tc>
        <w:tc>
          <w:tcPr>
            <w:tcW w:w="2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Borders>
              <w:bottom w:val="single" w:sz="8" w:color="0000FF"/>
            </w:tcBorders>
          </w:tcPr>
          <w:p>
            <w:pPr>
              <w:jc w:val="right"/>
              <w:spacing w:after="0" w:line="138" w:lineRule="exact"/>
              <w:rPr>
                <w:rFonts w:ascii="Arial" w:cs="Arial" w:eastAsia="Arial" w:hAnsi="Arial"/>
                <w:sz w:val="15"/>
                <w:szCs w:val="15"/>
                <w:color w:val="0000FF"/>
                <w:w w:val="71"/>
              </w:rPr>
            </w:pPr>
            <w:hyperlink w:anchor="page8">
              <w:r>
                <w:rPr>
                  <w:rFonts w:ascii="Arial" w:cs="Arial" w:eastAsia="Arial" w:hAnsi="Arial"/>
                  <w:sz w:val="15"/>
                  <w:szCs w:val="15"/>
                  <w:color w:val="0000FF"/>
                  <w:w w:val="71"/>
                </w:rPr>
                <w:t>9</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20" w:type="dxa"/>
            <w:vAlign w:val="bottom"/>
            <w:gridSpan w:val="19"/>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Condensed Consolidated Financial Statements</w:t>
              </w:r>
            </w:hyperlink>
          </w:p>
        </w:tc>
        <w:tc>
          <w:tcPr>
            <w:tcW w:w="980" w:type="dxa"/>
            <w:vAlign w:val="bottom"/>
            <w:gridSpan w:val="3"/>
          </w:tcPr>
          <w:p>
            <w:pPr>
              <w:jc w:val="right"/>
              <w:ind w:right="20"/>
              <w:spacing w:after="0"/>
              <w:rPr>
                <w:rFonts w:ascii="Arial" w:cs="Arial" w:eastAsia="Arial" w:hAnsi="Arial"/>
                <w:sz w:val="16"/>
                <w:szCs w:val="16"/>
                <w:color w:val="0000FF"/>
              </w:rPr>
            </w:pPr>
            <w:hyperlink w:anchor="page10">
              <w:r>
                <w:rPr>
                  <w:rFonts w:ascii="Arial" w:cs="Arial" w:eastAsia="Arial" w:hAnsi="Arial"/>
                  <w:sz w:val="16"/>
                  <w:szCs w:val="16"/>
                  <w:color w:val="0000FF"/>
                </w:rPr>
                <w:t>11</w:t>
              </w:r>
            </w:hyperlink>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34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gridSpan w:val="3"/>
            <w:shd w:val="clear" w:color="auto" w:fill="0000FF"/>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8540" w:type="dxa"/>
            <w:vAlign w:val="bottom"/>
            <w:gridSpan w:val="20"/>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Management’s Discussion and Analysis of Financial Condition and Results of Operations</w:t>
              </w:r>
            </w:hyperlink>
          </w:p>
        </w:tc>
        <w:tc>
          <w:tcPr>
            <w:tcW w:w="960" w:type="dxa"/>
            <w:vAlign w:val="bottom"/>
            <w:gridSpan w:val="2"/>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5660" w:type="dxa"/>
            <w:vAlign w:val="bottom"/>
            <w:tcBorders>
              <w:top w:val="single" w:sz="8" w:color="0000FF"/>
            </w:tcBorders>
            <w:gridSpan w:val="19"/>
          </w:tcPr>
          <w:p>
            <w:pPr>
              <w:spacing w:after="0"/>
              <w:rPr>
                <w:rFonts w:ascii="Arial" w:cs="Arial" w:eastAsia="Arial" w:hAnsi="Arial"/>
                <w:sz w:val="16"/>
                <w:szCs w:val="16"/>
                <w:color w:val="0000FF"/>
              </w:rPr>
            </w:pPr>
            <w:hyperlink w:anchor="page55">
              <w:r>
                <w:rPr>
                  <w:rFonts w:ascii="Arial" w:cs="Arial" w:eastAsia="Arial" w:hAnsi="Arial"/>
                  <w:sz w:val="16"/>
                  <w:szCs w:val="16"/>
                  <w:color w:val="0000FF"/>
                </w:rPr>
                <w:t>Quantitative and Qualitative Disclosures about Market Risk</w:t>
              </w:r>
            </w:hyperlink>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top w:val="single" w:sz="8" w:color="0000FF"/>
            </w:tcBorders>
          </w:tcPr>
          <w:p>
            <w:pPr>
              <w:jc w:val="right"/>
              <w:spacing w:after="0"/>
              <w:rPr>
                <w:rFonts w:ascii="Arial" w:cs="Arial" w:eastAsia="Arial" w:hAnsi="Arial"/>
                <w:sz w:val="7"/>
                <w:szCs w:val="7"/>
                <w:color w:val="0000FF"/>
                <w:w w:val="76"/>
              </w:rPr>
            </w:pPr>
            <w:hyperlink w:anchor="page55">
              <w:r>
                <w:rPr>
                  <w:rFonts w:ascii="Arial" w:cs="Arial" w:eastAsia="Arial" w:hAnsi="Arial"/>
                  <w:sz w:val="7"/>
                  <w:szCs w:val="7"/>
                  <w:color w:val="0000FF"/>
                  <w:w w:val="76"/>
                </w:rPr>
                <w:t>55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1560" w:type="dxa"/>
            <w:vAlign w:val="bottom"/>
            <w:tcBorders>
              <w:top w:val="single" w:sz="8" w:color="0000FF"/>
              <w:bottom w:val="single" w:sz="8" w:color="0000FF"/>
            </w:tcBorders>
            <w:gridSpan w:val="6"/>
          </w:tcPr>
          <w:p>
            <w:pPr>
              <w:spacing w:after="0"/>
              <w:rPr>
                <w:rFonts w:ascii="Arial" w:cs="Arial" w:eastAsia="Arial" w:hAnsi="Arial"/>
                <w:sz w:val="16"/>
                <w:szCs w:val="16"/>
                <w:color w:val="0000FF"/>
                <w:w w:val="86"/>
              </w:rPr>
            </w:pPr>
            <w:hyperlink w:anchor="page56">
              <w:r>
                <w:rPr>
                  <w:rFonts w:ascii="Arial" w:cs="Arial" w:eastAsia="Arial" w:hAnsi="Arial"/>
                  <w:sz w:val="16"/>
                  <w:szCs w:val="16"/>
                  <w:color w:val="0000FF"/>
                  <w:w w:val="86"/>
                </w:rPr>
                <w:t>Controls and Procedures</w:t>
              </w:r>
            </w:hyperlink>
          </w:p>
        </w:tc>
        <w:tc>
          <w:tcPr>
            <w:tcW w:w="2260" w:type="dxa"/>
            <w:vAlign w:val="bottom"/>
            <w:tcBorders>
              <w:top w:val="single" w:sz="8" w:color="0000FF"/>
            </w:tcBorders>
            <w:gridSpan w:val="8"/>
          </w:tcPr>
          <w:p>
            <w:pPr>
              <w:spacing w:after="0"/>
              <w:rPr>
                <w:sz w:val="24"/>
                <w:szCs w:val="24"/>
                <w:color w:val="auto"/>
              </w:rPr>
            </w:pPr>
          </w:p>
        </w:tc>
        <w:tc>
          <w:tcPr>
            <w:tcW w:w="4720" w:type="dxa"/>
            <w:vAlign w:val="bottom"/>
            <w:gridSpan w:val="6"/>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7"/>
                <w:szCs w:val="7"/>
                <w:color w:val="0000FF"/>
                <w:w w:val="76"/>
              </w:rPr>
            </w:pPr>
            <w:hyperlink w:anchor="page56">
              <w:r>
                <w:rPr>
                  <w:rFonts w:ascii="Arial" w:cs="Arial" w:eastAsia="Arial" w:hAnsi="Arial"/>
                  <w:sz w:val="7"/>
                  <w:szCs w:val="7"/>
                  <w:color w:val="0000FF"/>
                  <w:w w:val="76"/>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60" w:type="dxa"/>
            <w:vAlign w:val="bottom"/>
            <w:tcBorders>
              <w:bottom w:val="single" w:sz="8" w:color="0000FF"/>
            </w:tcBorders>
            <w:gridSpan w:val="6"/>
          </w:tcPr>
          <w:p>
            <w:pPr>
              <w:jc w:val="center"/>
              <w:spacing w:after="0"/>
              <w:rPr>
                <w:rFonts w:ascii="Arial" w:cs="Arial" w:eastAsia="Arial" w:hAnsi="Arial"/>
                <w:sz w:val="16"/>
                <w:szCs w:val="16"/>
                <w:color w:val="0000FF"/>
                <w:w w:val="92"/>
              </w:rPr>
            </w:pPr>
            <w:hyperlink w:anchor="page57">
              <w:r>
                <w:rPr>
                  <w:rFonts w:ascii="Arial" w:cs="Arial" w:eastAsia="Arial" w:hAnsi="Arial"/>
                  <w:sz w:val="16"/>
                  <w:szCs w:val="16"/>
                  <w:color w:val="0000FF"/>
                  <w:w w:val="92"/>
                </w:rPr>
                <w:t>PART II. Other Information</w:t>
              </w:r>
            </w:hyperlink>
          </w:p>
        </w:tc>
        <w:tc>
          <w:tcPr>
            <w:tcW w:w="3400" w:type="dxa"/>
            <w:vAlign w:val="bottom"/>
            <w:gridSpan w:val="3"/>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7"/>
                <w:szCs w:val="7"/>
                <w:color w:val="0000FF"/>
                <w:w w:val="76"/>
              </w:rPr>
            </w:pPr>
            <w:hyperlink w:anchor="page57">
              <w:r>
                <w:rPr>
                  <w:rFonts w:ascii="Arial" w:cs="Arial" w:eastAsia="Arial" w:hAnsi="Arial"/>
                  <w:sz w:val="7"/>
                  <w:szCs w:val="7"/>
                  <w:color w:val="0000FF"/>
                  <w:w w:val="76"/>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180" w:type="dxa"/>
            <w:vAlign w:val="bottom"/>
            <w:tcBorders>
              <w:bottom w:val="single" w:sz="8" w:color="0000FF"/>
            </w:tcBorders>
            <w:gridSpan w:val="5"/>
          </w:tcPr>
          <w:p>
            <w:pPr>
              <w:spacing w:after="0"/>
              <w:rPr>
                <w:rFonts w:ascii="Arial" w:cs="Arial" w:eastAsia="Arial" w:hAnsi="Arial"/>
                <w:sz w:val="16"/>
                <w:szCs w:val="16"/>
                <w:color w:val="0000FF"/>
                <w:w w:val="87"/>
              </w:rPr>
            </w:pPr>
            <w:hyperlink w:anchor="page57">
              <w:r>
                <w:rPr>
                  <w:rFonts w:ascii="Arial" w:cs="Arial" w:eastAsia="Arial" w:hAnsi="Arial"/>
                  <w:sz w:val="16"/>
                  <w:szCs w:val="16"/>
                  <w:color w:val="0000FF"/>
                  <w:w w:val="87"/>
                </w:rPr>
                <w:t>Legal Proceedings</w:t>
              </w:r>
            </w:hyperlink>
          </w:p>
        </w:tc>
        <w:tc>
          <w:tcPr>
            <w:tcW w:w="7360" w:type="dxa"/>
            <w:vAlign w:val="bottom"/>
            <w:gridSpan w:val="15"/>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7"/>
                <w:szCs w:val="7"/>
                <w:color w:val="0000FF"/>
                <w:w w:val="76"/>
              </w:rPr>
            </w:pPr>
            <w:hyperlink w:anchor="page57">
              <w:r>
                <w:rPr>
                  <w:rFonts w:ascii="Arial" w:cs="Arial" w:eastAsia="Arial" w:hAnsi="Arial"/>
                  <w:sz w:val="7"/>
                  <w:szCs w:val="7"/>
                  <w:color w:val="0000FF"/>
                  <w:w w:val="76"/>
                </w:rPr>
                <w:t>57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540" w:type="dxa"/>
            <w:vAlign w:val="bottom"/>
            <w:gridSpan w:val="20"/>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Risk Factors</w:t>
              </w:r>
            </w:hyperlink>
          </w:p>
        </w:tc>
        <w:tc>
          <w:tcPr>
            <w:tcW w:w="960" w:type="dxa"/>
            <w:vAlign w:val="bottom"/>
            <w:gridSpan w:val="2"/>
          </w:tcPr>
          <w:p>
            <w:pPr>
              <w:jc w:val="right"/>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4720" w:type="dxa"/>
            <w:vAlign w:val="bottom"/>
            <w:gridSpan w:val="6"/>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8540" w:type="dxa"/>
            <w:vAlign w:val="bottom"/>
            <w:tcBorders>
              <w:bottom w:val="single" w:sz="8" w:color="0000FF"/>
            </w:tcBorders>
            <w:gridSpan w:val="20"/>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Unregistered Sales of Equity Securities and Use of Proceeds</w:t>
              </w:r>
            </w:hyperlink>
          </w:p>
        </w:tc>
        <w:tc>
          <w:tcPr>
            <w:tcW w:w="88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7"/>
                <w:szCs w:val="7"/>
                <w:color w:val="0000FF"/>
                <w:w w:val="76"/>
              </w:rPr>
            </w:pPr>
            <w:hyperlink w:anchor="page58">
              <w:r>
                <w:rPr>
                  <w:rFonts w:ascii="Arial" w:cs="Arial" w:eastAsia="Arial" w:hAnsi="Arial"/>
                  <w:sz w:val="7"/>
                  <w:szCs w:val="7"/>
                  <w:color w:val="0000FF"/>
                  <w:w w:val="76"/>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8540" w:type="dxa"/>
            <w:vAlign w:val="bottom"/>
            <w:tcBorders>
              <w:bottom w:val="single" w:sz="8" w:color="0000FF"/>
            </w:tcBorders>
            <w:gridSpan w:val="20"/>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Defaults Upon Senior Securities</w:t>
              </w:r>
            </w:hyperlink>
          </w:p>
        </w:tc>
        <w:tc>
          <w:tcPr>
            <w:tcW w:w="88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7"/>
                <w:szCs w:val="7"/>
                <w:color w:val="0000FF"/>
                <w:w w:val="76"/>
              </w:rPr>
            </w:pPr>
            <w:hyperlink w:anchor="page58">
              <w:r>
                <w:rPr>
                  <w:rFonts w:ascii="Arial" w:cs="Arial" w:eastAsia="Arial" w:hAnsi="Arial"/>
                  <w:sz w:val="7"/>
                  <w:szCs w:val="7"/>
                  <w:color w:val="0000FF"/>
                  <w:w w:val="76"/>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1560" w:type="dxa"/>
            <w:vAlign w:val="bottom"/>
            <w:tcBorders>
              <w:bottom w:val="single" w:sz="8" w:color="0000FF"/>
            </w:tcBorders>
            <w:gridSpan w:val="6"/>
          </w:tcPr>
          <w:p>
            <w:pPr>
              <w:spacing w:after="0"/>
              <w:rPr>
                <w:rFonts w:ascii="Arial" w:cs="Arial" w:eastAsia="Arial" w:hAnsi="Arial"/>
                <w:sz w:val="16"/>
                <w:szCs w:val="16"/>
                <w:color w:val="0000FF"/>
                <w:w w:val="89"/>
              </w:rPr>
            </w:pPr>
            <w:hyperlink w:anchor="page58">
              <w:r>
                <w:rPr>
                  <w:rFonts w:ascii="Arial" w:cs="Arial" w:eastAsia="Arial" w:hAnsi="Arial"/>
                  <w:sz w:val="16"/>
                  <w:szCs w:val="16"/>
                  <w:color w:val="0000FF"/>
                  <w:w w:val="89"/>
                </w:rPr>
                <w:t>Mine Safety Disclosures</w:t>
              </w:r>
            </w:hyperlink>
          </w:p>
        </w:tc>
        <w:tc>
          <w:tcPr>
            <w:tcW w:w="6980" w:type="dxa"/>
            <w:vAlign w:val="bottom"/>
            <w:gridSpan w:val="14"/>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7"/>
                <w:szCs w:val="7"/>
                <w:color w:val="0000FF"/>
                <w:w w:val="76"/>
              </w:rPr>
            </w:pPr>
            <w:hyperlink w:anchor="page58">
              <w:r>
                <w:rPr>
                  <w:rFonts w:ascii="Arial" w:cs="Arial" w:eastAsia="Arial" w:hAnsi="Arial"/>
                  <w:sz w:val="7"/>
                  <w:szCs w:val="7"/>
                  <w:color w:val="0000FF"/>
                  <w:w w:val="76"/>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8540" w:type="dxa"/>
            <w:vAlign w:val="bottom"/>
            <w:gridSpan w:val="20"/>
          </w:tcPr>
          <w:p>
            <w:pPr>
              <w:spacing w:after="0"/>
              <w:rPr>
                <w:rFonts w:ascii="Arial" w:cs="Arial" w:eastAsia="Arial" w:hAnsi="Arial"/>
                <w:sz w:val="16"/>
                <w:szCs w:val="16"/>
                <w:color w:val="0000FF"/>
              </w:rPr>
            </w:pPr>
            <w:hyperlink w:anchor="page58">
              <w:r>
                <w:rPr>
                  <w:rFonts w:ascii="Arial" w:cs="Arial" w:eastAsia="Arial" w:hAnsi="Arial"/>
                  <w:sz w:val="16"/>
                  <w:szCs w:val="16"/>
                  <w:color w:val="0000FF"/>
                </w:rPr>
                <w:t>Other Information</w:t>
              </w:r>
            </w:hyperlink>
          </w:p>
        </w:tc>
        <w:tc>
          <w:tcPr>
            <w:tcW w:w="960" w:type="dxa"/>
            <w:vAlign w:val="bottom"/>
            <w:gridSpan w:val="2"/>
          </w:tcPr>
          <w:p>
            <w:pPr>
              <w:jc w:val="right"/>
              <w:spacing w:after="0"/>
              <w:rPr>
                <w:rFonts w:ascii="Arial" w:cs="Arial" w:eastAsia="Arial" w:hAnsi="Arial"/>
                <w:sz w:val="16"/>
                <w:szCs w:val="16"/>
                <w:color w:val="0000FF"/>
              </w:rPr>
            </w:pPr>
            <w:hyperlink w:anchor="page58">
              <w:r>
                <w:rPr>
                  <w:rFonts w:ascii="Arial" w:cs="Arial" w:eastAsia="Arial" w:hAnsi="Arial"/>
                  <w:sz w:val="16"/>
                  <w:szCs w:val="16"/>
                  <w:color w:val="0000FF"/>
                </w:rPr>
                <w:t>58</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2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2"/>
              </w:rPr>
            </w:pPr>
            <w:hyperlink w:anchor="page58">
              <w:r>
                <w:rPr>
                  <w:rFonts w:ascii="Arial" w:cs="Arial" w:eastAsia="Arial" w:hAnsi="Arial"/>
                  <w:sz w:val="16"/>
                  <w:szCs w:val="16"/>
                  <w:color w:val="0000FF"/>
                  <w:w w:val="92"/>
                </w:rPr>
                <w:t>Exhibits</w:t>
              </w:r>
            </w:hyperlink>
          </w:p>
        </w:tc>
        <w:tc>
          <w:tcPr>
            <w:tcW w:w="620" w:type="dxa"/>
            <w:vAlign w:val="bottom"/>
            <w:tcBorders>
              <w:top w:val="single" w:sz="8" w:color="0000FF"/>
            </w:tcBorders>
            <w:gridSpan w:val="2"/>
          </w:tcPr>
          <w:p>
            <w:pPr>
              <w:spacing w:after="0"/>
              <w:rPr>
                <w:sz w:val="24"/>
                <w:szCs w:val="24"/>
                <w:color w:val="auto"/>
              </w:rPr>
            </w:pPr>
          </w:p>
        </w:tc>
        <w:tc>
          <w:tcPr>
            <w:tcW w:w="7380" w:type="dxa"/>
            <w:vAlign w:val="bottom"/>
            <w:gridSpan w:val="16"/>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Borders>
              <w:top w:val="single" w:sz="8" w:color="0000FF"/>
              <w:bottom w:val="single" w:sz="8" w:color="0000FF"/>
            </w:tcBorders>
          </w:tcPr>
          <w:p>
            <w:pPr>
              <w:jc w:val="right"/>
              <w:spacing w:after="0"/>
              <w:rPr>
                <w:rFonts w:ascii="Arial" w:cs="Arial" w:eastAsia="Arial" w:hAnsi="Arial"/>
                <w:sz w:val="7"/>
                <w:szCs w:val="7"/>
                <w:color w:val="0000FF"/>
                <w:w w:val="76"/>
              </w:rPr>
            </w:pPr>
            <w:hyperlink w:anchor="page58">
              <w:r>
                <w:rPr>
                  <w:rFonts w:ascii="Arial" w:cs="Arial" w:eastAsia="Arial" w:hAnsi="Arial"/>
                  <w:sz w:val="7"/>
                  <w:szCs w:val="7"/>
                  <w:color w:val="0000FF"/>
                  <w:w w:val="76"/>
                </w:rPr>
                <w:t>59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240" w:type="dxa"/>
            <w:vAlign w:val="bottom"/>
            <w:gridSpan w:val="2"/>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Signatures</w:t>
              </w:r>
            </w:hyperlink>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960" w:type="dxa"/>
            <w:vAlign w:val="bottom"/>
            <w:gridSpan w:val="2"/>
          </w:tcPr>
          <w:p>
            <w:pPr>
              <w:jc w:val="right"/>
              <w:spacing w:after="0"/>
              <w:rPr>
                <w:rFonts w:ascii="Arial" w:cs="Arial" w:eastAsia="Arial" w:hAnsi="Arial"/>
                <w:sz w:val="16"/>
                <w:szCs w:val="16"/>
                <w:color w:val="0000FF"/>
              </w:rPr>
            </w:pPr>
            <w:hyperlink w:anchor="page59">
              <w:r>
                <w:rPr>
                  <w:rFonts w:ascii="Arial" w:cs="Arial" w:eastAsia="Arial" w:hAnsi="Arial"/>
                  <w:sz w:val="16"/>
                  <w:szCs w:val="16"/>
                  <w:color w:val="0000FF"/>
                </w:rPr>
                <w:t>60</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-300990</wp:posOffset>
            </wp:positionH>
            <wp:positionV relativeFrom="paragraph">
              <wp:posOffset>63500</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760"/>
          </w:cols>
          <w:pgMar w:left="780" w:top="1066" w:right="359" w:bottom="1440" w:gutter="0" w:footer="0" w:header="0"/>
        </w:sectPr>
      </w:pPr>
    </w:p>
    <w:bookmarkStart w:id="2" w:name="page3"/>
    <w:bookmarkEnd w:id="2"/>
    <w:p>
      <w:pPr>
        <w:jc w:val="center"/>
        <w:ind w:left="400"/>
        <w:spacing w:after="0"/>
        <w:rPr>
          <w:sz w:val="20"/>
          <w:szCs w:val="20"/>
          <w:color w:val="auto"/>
        </w:rPr>
      </w:pPr>
      <w:r>
        <w:rPr>
          <w:rFonts w:ascii="Arial" w:cs="Arial" w:eastAsia="Arial" w:hAnsi="Arial"/>
          <w:sz w:val="18"/>
          <w:szCs w:val="18"/>
          <w:b w:val="1"/>
          <w:bCs w:val="1"/>
          <w:color w:val="auto"/>
        </w:rPr>
        <w:t>FORWARD-LOOKING STATEMENTS</w:t>
      </w:r>
    </w:p>
    <w:p>
      <w:pPr>
        <w:spacing w:after="0" w:line="219" w:lineRule="exact"/>
        <w:rPr>
          <w:sz w:val="20"/>
          <w:szCs w:val="20"/>
          <w:color w:val="auto"/>
        </w:rPr>
      </w:pPr>
    </w:p>
    <w:p>
      <w:pPr>
        <w:jc w:val="both"/>
        <w:ind w:firstLine="420"/>
        <w:spacing w:after="0" w:line="277" w:lineRule="auto"/>
        <w:rPr>
          <w:sz w:val="20"/>
          <w:szCs w:val="20"/>
          <w:color w:val="auto"/>
        </w:rPr>
      </w:pPr>
      <w:r>
        <w:rPr>
          <w:rFonts w:ascii="Arial" w:cs="Arial" w:eastAsia="Arial" w:hAnsi="Arial"/>
          <w:sz w:val="16"/>
          <w:szCs w:val="16"/>
          <w:color w:val="auto"/>
        </w:rPr>
        <w:t>Statements in this Quarterly Report on Form 10-Q about LivePerson, Inc. (“LivePerson”) that are not historical facts are forward-looking statements. These forward-looking statements are based on our current expectations, assumptions, estimates and projections about LivePerson and our industry. Our expectations, assumptions, estimates and projections are expressed in good faith, and we believe there is a reasonable basis for them, but we cannot assure you that our expectations, assumptions, estimates and projections will be realized. Examples of forward-looking statements include, but are not limited to, statements regarding future business, future results of operations or financial condition (including based on examinations of historical operating trends), management strategies and the COVID-19 pandemic. Many of these statements are found in the “Management’s Discussion and Analysis of Financial Condition and Results of Operations” section of this Quarterly Report on Form 10-Q. When used in this Quarterly Report on Form 10-Q, the words “estimates,” “expects,” “anticipates,” “projects,” “plans,” “intends,” “believes” and variations of such words or similar expressions are intended to identify forward-looking statements. However, not all forward-looking statements contain these words. Forward-looking statements are subject to risks and uncertainties that could cause actual future events or results to differ materially from those expressed or implied in the forward-looking statements. Important factors that could cause our actual results to differ materially from the forward-looking statements we make in this Quarterly Report on Form 10-Q include those set forth in our Annual Report on Form 10-K filed with the SEC on March 8, 2021 in the section entitled “Item 1A — Risk Factors.” It is routine for our internal projections and expectations to change as the year or each quarter in the year progresses, and therefore it should be clearly understood that the internal projections and beliefs upon which we base our expectations may change prior to the end of each quarter or the year. Although these expectations may change, we are under no obligation to inform you if they do. Our policy is generally to provide our expectations only once per quarter, and not to update that information until the next quarter. We do not undertake any obligation to revise forward-looking statements to reflect future events or circumstances. All forward-looking statements are made pursuant to the safe harbor provisions of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 w:name="page4"/>
    <w:bookmarkEnd w:id="3"/>
    <w:p>
      <w:pPr>
        <w:jc w:val="center"/>
        <w:ind w:left="400"/>
        <w:spacing w:after="0"/>
        <w:rPr>
          <w:sz w:val="20"/>
          <w:szCs w:val="20"/>
          <w:color w:val="auto"/>
        </w:rPr>
      </w:pPr>
      <w:r>
        <w:rPr>
          <w:rFonts w:ascii="Arial" w:cs="Arial" w:eastAsia="Arial" w:hAnsi="Arial"/>
          <w:sz w:val="18"/>
          <w:szCs w:val="18"/>
          <w:b w:val="1"/>
          <w:bCs w:val="1"/>
          <w:color w:val="auto"/>
        </w:rPr>
        <w:t>Part I. Financial Information</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Item 1. Financial Statements</w:t>
      </w:r>
    </w:p>
    <w:p>
      <w:pPr>
        <w:spacing w:after="0" w:line="38"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LIVEPERSON, INC.</w:t>
      </w:r>
    </w:p>
    <w:p>
      <w:pPr>
        <w:spacing w:after="0" w:line="108"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202"/>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8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8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jc w:val="right"/>
              <w:ind w:right="922"/>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1"/>
        </w:trPr>
        <w:tc>
          <w:tcPr>
            <w:tcW w:w="8300" w:type="dxa"/>
            <w:vAlign w:val="bottom"/>
            <w:shd w:val="clear" w:color="auto" w:fill="CCEEFF"/>
          </w:tcPr>
          <w:p>
            <w:pPr>
              <w:ind w:left="3840"/>
              <w:spacing w:after="0"/>
              <w:rPr>
                <w:sz w:val="20"/>
                <w:szCs w:val="20"/>
                <w:color w:val="auto"/>
              </w:rPr>
            </w:pPr>
            <w:r>
              <w:rPr>
                <w:rFonts w:ascii="Arial" w:cs="Arial" w:eastAsia="Arial" w:hAnsi="Arial"/>
                <w:sz w:val="16"/>
                <w:szCs w:val="16"/>
                <w:b w:val="1"/>
                <w:bCs w:val="1"/>
                <w:color w:val="auto"/>
              </w:rPr>
              <w:t>ASSETS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633,042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654,152</w:t>
            </w: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w w:val="91"/>
              </w:rPr>
              <w:t>Accounts receivable, net of allowances of $5,601 and $5,344 as of September 30, 2021 and December 31, 2020, respectively</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83,160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80,423</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26,489</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14,236</w:t>
            </w:r>
          </w:p>
        </w:tc>
        <w:tc>
          <w:tcPr>
            <w:tcW w:w="0" w:type="dxa"/>
            <w:vAlign w:val="bottom"/>
          </w:tcPr>
          <w:p>
            <w:pPr>
              <w:spacing w:after="0"/>
              <w:rPr>
                <w:sz w:val="1"/>
                <w:szCs w:val="1"/>
                <w:color w:val="auto"/>
              </w:rPr>
            </w:pPr>
          </w:p>
        </w:tc>
      </w:tr>
      <w:tr>
        <w:trPr>
          <w:trHeight w:val="200"/>
        </w:trPr>
        <w:tc>
          <w:tcPr>
            <w:tcW w:w="8300" w:type="dxa"/>
            <w:vAlign w:val="bottom"/>
          </w:tcPr>
          <w:p>
            <w:pPr>
              <w:ind w:left="40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742,691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748,811</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 (Note 10)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1,957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Property and equipment, net (Note 6)</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118,726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106,055</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Contract acquisition costs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43,705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41,021</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Intangibles, net (Note 5)</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18,134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10,927</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Goodwill (Note 5)</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139,149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95,192</w:t>
            </w:r>
          </w:p>
        </w:tc>
        <w:tc>
          <w:tcPr>
            <w:tcW w:w="0" w:type="dxa"/>
            <w:vAlign w:val="bottom"/>
          </w:tcPr>
          <w:p>
            <w:pPr>
              <w:spacing w:after="0"/>
              <w:rPr>
                <w:sz w:val="1"/>
                <w:szCs w:val="1"/>
                <w:color w:val="auto"/>
              </w:rPr>
            </w:pPr>
          </w:p>
        </w:tc>
      </w:tr>
      <w:tr>
        <w:trPr>
          <w:trHeight w:val="207"/>
        </w:trPr>
        <w:tc>
          <w:tcPr>
            <w:tcW w:w="8300" w:type="dxa"/>
            <w:vAlign w:val="bottom"/>
          </w:tcPr>
          <w:p>
            <w:pPr>
              <w:spacing w:after="0"/>
              <w:rPr>
                <w:sz w:val="20"/>
                <w:szCs w:val="20"/>
                <w:color w:val="auto"/>
              </w:rPr>
            </w:pPr>
            <w:r>
              <w:rPr>
                <w:rFonts w:ascii="Arial" w:cs="Arial" w:eastAsia="Arial" w:hAnsi="Arial"/>
                <w:sz w:val="16"/>
                <w:szCs w:val="16"/>
                <w:color w:val="auto"/>
              </w:rPr>
              <w:t>Deferred tax assets</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3,534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2,032</w:t>
            </w:r>
          </w:p>
        </w:tc>
        <w:tc>
          <w:tcPr>
            <w:tcW w:w="0" w:type="dxa"/>
            <w:vAlign w:val="bottom"/>
          </w:tcPr>
          <w:p>
            <w:pPr>
              <w:spacing w:after="0"/>
              <w:rPr>
                <w:sz w:val="1"/>
                <w:szCs w:val="1"/>
                <w:color w:val="auto"/>
              </w:rPr>
            </w:pPr>
          </w:p>
        </w:tc>
      </w:tr>
      <w:tr>
        <w:trPr>
          <w:trHeight w:val="210"/>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c>
          <w:tcPr>
            <w:tcW w:w="0" w:type="dxa"/>
            <w:vAlign w:val="bottom"/>
          </w:tcPr>
          <w:p>
            <w:pPr>
              <w:spacing w:after="0"/>
              <w:rPr>
                <w:sz w:val="1"/>
                <w:szCs w:val="1"/>
                <w:color w:val="auto"/>
              </w:rPr>
            </w:pPr>
          </w:p>
        </w:tc>
      </w:tr>
      <w:tr>
        <w:trPr>
          <w:trHeight w:val="206"/>
        </w:trPr>
        <w:tc>
          <w:tcPr>
            <w:tcW w:w="8300" w:type="dxa"/>
            <w:vAlign w:val="bottom"/>
          </w:tcPr>
          <w:p>
            <w:pPr>
              <w:ind w:left="20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1,068,909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1,006,432</w:t>
            </w:r>
          </w:p>
        </w:tc>
        <w:tc>
          <w:tcPr>
            <w:tcW w:w="0" w:type="dxa"/>
            <w:vAlign w:val="bottom"/>
          </w:tcPr>
          <w:p>
            <w:pPr>
              <w:spacing w:after="0"/>
              <w:rPr>
                <w:sz w:val="1"/>
                <w:szCs w:val="1"/>
                <w:color w:val="auto"/>
              </w:rPr>
            </w:pP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3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8300" w:type="dxa"/>
            <w:vAlign w:val="bottom"/>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14,599</w:t>
            </w:r>
          </w:p>
        </w:tc>
        <w:tc>
          <w:tcPr>
            <w:tcW w:w="1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14,115</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expenses and other current liabilities (Note 7)</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105,596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99,870</w:t>
            </w: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Deferred revenue (Note 2)</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102,905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88,848</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liability (Note 10)</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3,257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00"/>
        </w:trPr>
        <w:tc>
          <w:tcPr>
            <w:tcW w:w="8300" w:type="dxa"/>
            <w:vAlign w:val="bottom"/>
          </w:tcPr>
          <w:p>
            <w:pPr>
              <w:ind w:left="40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226,357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208,551</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net of current portion (Note 2)</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Convertible senior notes, net (Note 8)</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565,059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538,432</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liability, net of current portion (Note 10)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07"/>
        </w:trPr>
        <w:tc>
          <w:tcPr>
            <w:tcW w:w="83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1,995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1,622</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9,795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6,304</w:t>
            </w:r>
          </w:p>
        </w:tc>
        <w:tc>
          <w:tcPr>
            <w:tcW w:w="0" w:type="dxa"/>
            <w:vAlign w:val="bottom"/>
          </w:tcPr>
          <w:p>
            <w:pPr>
              <w:spacing w:after="0"/>
              <w:rPr>
                <w:sz w:val="1"/>
                <w:szCs w:val="1"/>
                <w:color w:val="auto"/>
              </w:rPr>
            </w:pPr>
          </w:p>
        </w:tc>
      </w:tr>
      <w:tr>
        <w:trPr>
          <w:trHeight w:val="200"/>
        </w:trPr>
        <w:tc>
          <w:tcPr>
            <w:tcW w:w="8300" w:type="dxa"/>
            <w:vAlign w:val="bottom"/>
          </w:tcPr>
          <w:p>
            <w:pPr>
              <w:ind w:left="200"/>
              <w:spacing w:after="0"/>
              <w:rPr>
                <w:sz w:val="20"/>
                <w:szCs w:val="20"/>
                <w:color w:val="auto"/>
              </w:rPr>
            </w:pPr>
            <w:r>
              <w:rPr>
                <w:rFonts w:ascii="Arial" w:cs="Arial" w:eastAsia="Arial" w:hAnsi="Arial"/>
                <w:sz w:val="16"/>
                <w:szCs w:val="16"/>
                <w:color w:val="auto"/>
              </w:rPr>
              <w:t>Total liabilities</w:t>
            </w:r>
          </w:p>
        </w:tc>
        <w:tc>
          <w:tcPr>
            <w:tcW w:w="180" w:type="dxa"/>
            <w:vAlign w:val="bottom"/>
          </w:tcPr>
          <w:p>
            <w:pPr>
              <w:spacing w:after="0"/>
              <w:rPr>
                <w:sz w:val="17"/>
                <w:szCs w:val="17"/>
                <w:color w:val="auto"/>
              </w:rPr>
            </w:pPr>
          </w:p>
        </w:tc>
        <w:tc>
          <w:tcPr>
            <w:tcW w:w="1220" w:type="dxa"/>
            <w:vAlign w:val="bottom"/>
          </w:tcPr>
          <w:p>
            <w:pPr>
              <w:jc w:val="right"/>
              <w:ind w:right="2"/>
              <w:spacing w:after="0"/>
              <w:rPr>
                <w:sz w:val="20"/>
                <w:szCs w:val="20"/>
                <w:color w:val="auto"/>
              </w:rPr>
            </w:pPr>
            <w:r>
              <w:rPr>
                <w:rFonts w:ascii="Arial" w:cs="Arial" w:eastAsia="Arial" w:hAnsi="Arial"/>
                <w:sz w:val="16"/>
                <w:szCs w:val="16"/>
                <w:color w:val="auto"/>
              </w:rPr>
              <w:t>806,800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762,498</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 (Note 12)</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00" w:type="dxa"/>
            <w:vAlign w:val="bottom"/>
          </w:tcPr>
          <w:p>
            <w:pPr>
              <w:spacing w:after="0"/>
              <w:rPr>
                <w:sz w:val="20"/>
                <w:szCs w:val="20"/>
                <w:color w:val="auto"/>
              </w:rPr>
            </w:pPr>
            <w:r>
              <w:rPr>
                <w:rFonts w:ascii="Arial" w:cs="Arial" w:eastAsia="Arial" w:hAnsi="Arial"/>
                <w:sz w:val="16"/>
                <w:szCs w:val="16"/>
                <w:color w:val="auto"/>
              </w:rPr>
              <w:t>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$0.001 par value - 5,000,000 shares authorized, none issued</w:t>
            </w:r>
          </w:p>
        </w:tc>
        <w:tc>
          <w:tcPr>
            <w:tcW w:w="1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1"/>
        </w:trPr>
        <w:tc>
          <w:tcPr>
            <w:tcW w:w="8300" w:type="dxa"/>
            <w:vAlign w:val="bottom"/>
          </w:tcPr>
          <w:p>
            <w:pPr>
              <w:ind w:left="120"/>
              <w:spacing w:after="0" w:line="161" w:lineRule="exact"/>
              <w:rPr>
                <w:sz w:val="20"/>
                <w:szCs w:val="20"/>
                <w:color w:val="auto"/>
              </w:rPr>
            </w:pPr>
            <w:r>
              <w:rPr>
                <w:rFonts w:ascii="Arial" w:cs="Arial" w:eastAsia="Arial" w:hAnsi="Arial"/>
                <w:sz w:val="16"/>
                <w:szCs w:val="16"/>
                <w:color w:val="auto"/>
                <w:w w:val="90"/>
              </w:rPr>
              <w:t>Common stock, $0.001 par value - 200,000,000 shares authorized, 72,723,049 and 70,264,265 shares issued, 70,013,219 and</w:t>
            </w:r>
          </w:p>
        </w:tc>
        <w:tc>
          <w:tcPr>
            <w:tcW w:w="180" w:type="dxa"/>
            <w:vAlign w:val="bottom"/>
          </w:tcPr>
          <w:p>
            <w:pPr>
              <w:spacing w:after="0"/>
              <w:rPr>
                <w:sz w:val="13"/>
                <w:szCs w:val="13"/>
                <w:color w:val="auto"/>
              </w:rPr>
            </w:pPr>
          </w:p>
        </w:tc>
        <w:tc>
          <w:tcPr>
            <w:tcW w:w="1220" w:type="dxa"/>
            <w:vAlign w:val="bottom"/>
            <w:vMerge w:val="restart"/>
          </w:tcPr>
          <w:p>
            <w:pPr>
              <w:jc w:val="right"/>
              <w:ind w:right="2"/>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4"/>
        </w:trPr>
        <w:tc>
          <w:tcPr>
            <w:tcW w:w="8300" w:type="dxa"/>
            <w:vAlign w:val="bottom"/>
          </w:tcPr>
          <w:p>
            <w:pPr>
              <w:ind w:left="120"/>
              <w:spacing w:after="0"/>
              <w:rPr>
                <w:sz w:val="20"/>
                <w:szCs w:val="20"/>
                <w:color w:val="auto"/>
              </w:rPr>
            </w:pPr>
            <w:r>
              <w:rPr>
                <w:rFonts w:ascii="Arial" w:cs="Arial" w:eastAsia="Arial" w:hAnsi="Arial"/>
                <w:sz w:val="16"/>
                <w:szCs w:val="16"/>
                <w:color w:val="auto"/>
              </w:rPr>
              <w:t>67,554,435 shares outstanding as of September 30, 2021 and December 31, 2020, respectively</w:t>
            </w:r>
          </w:p>
        </w:tc>
        <w:tc>
          <w:tcPr>
            <w:tcW w:w="18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733,202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635,672</w:t>
            </w:r>
          </w:p>
        </w:tc>
        <w:tc>
          <w:tcPr>
            <w:tcW w:w="0" w:type="dxa"/>
            <w:vAlign w:val="bottom"/>
          </w:tcPr>
          <w:p>
            <w:pPr>
              <w:spacing w:after="0"/>
              <w:rPr>
                <w:sz w:val="1"/>
                <w:szCs w:val="1"/>
                <w:color w:val="auto"/>
              </w:rPr>
            </w:pPr>
          </w:p>
        </w:tc>
      </w:tr>
      <w:tr>
        <w:trPr>
          <w:trHeight w:val="207"/>
        </w:trPr>
        <w:tc>
          <w:tcPr>
            <w:tcW w:w="8300" w:type="dxa"/>
            <w:vAlign w:val="bottom"/>
          </w:tcPr>
          <w:p>
            <w:pPr>
              <w:ind w:left="120"/>
              <w:spacing w:after="0"/>
              <w:rPr>
                <w:sz w:val="20"/>
                <w:szCs w:val="20"/>
                <w:color w:val="auto"/>
              </w:rPr>
            </w:pPr>
            <w:r>
              <w:rPr>
                <w:rFonts w:ascii="Arial" w:cs="Arial" w:eastAsia="Arial" w:hAnsi="Arial"/>
                <w:sz w:val="16"/>
                <w:szCs w:val="16"/>
                <w:color w:val="auto"/>
              </w:rPr>
              <w:t>Treasury stock - 2,709,830 shares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3"/>
        </w:trPr>
        <w:tc>
          <w:tcPr>
            <w:tcW w:w="8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Accumulated deficit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(391,885)</w:t>
            </w:r>
          </w:p>
        </w:tc>
        <w:tc>
          <w:tcPr>
            <w:tcW w:w="0" w:type="dxa"/>
            <w:vAlign w:val="bottom"/>
          </w:tcPr>
          <w:p>
            <w:pPr>
              <w:spacing w:after="0"/>
              <w:rPr>
                <w:sz w:val="1"/>
                <w:szCs w:val="1"/>
                <w:color w:val="auto"/>
              </w:rPr>
            </w:pPr>
          </w:p>
        </w:tc>
      </w:tr>
      <w:tr>
        <w:trPr>
          <w:trHeight w:val="207"/>
        </w:trPr>
        <w:tc>
          <w:tcPr>
            <w:tcW w:w="83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Accumulated other comprehensive (loss) income</w:t>
            </w: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(4,157)</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6"/>
        </w:trPr>
        <w:tc>
          <w:tcPr>
            <w:tcW w:w="83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262,109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243,934</w:t>
            </w:r>
          </w:p>
        </w:tc>
        <w:tc>
          <w:tcPr>
            <w:tcW w:w="0" w:type="dxa"/>
            <w:vAlign w:val="bottom"/>
          </w:tcPr>
          <w:p>
            <w:pPr>
              <w:spacing w:after="0"/>
              <w:rPr>
                <w:sz w:val="1"/>
                <w:szCs w:val="1"/>
                <w:color w:val="auto"/>
              </w:rPr>
            </w:pPr>
          </w:p>
        </w:tc>
      </w:tr>
      <w:tr>
        <w:trPr>
          <w:trHeight w:val="203"/>
        </w:trPr>
        <w:tc>
          <w:tcPr>
            <w:tcW w:w="8300" w:type="dxa"/>
            <w:vAlign w:val="bottom"/>
          </w:tcPr>
          <w:p>
            <w:pPr>
              <w:spacing w:after="0"/>
              <w:rPr>
                <w:sz w:val="20"/>
                <w:szCs w:val="20"/>
                <w:color w:val="auto"/>
              </w:rPr>
            </w:pPr>
            <w:r>
              <w:rPr>
                <w:rFonts w:ascii="Arial" w:cs="Arial" w:eastAsia="Arial" w:hAnsi="Arial"/>
                <w:sz w:val="16"/>
                <w:szCs w:val="16"/>
                <w:color w:val="auto"/>
              </w:rPr>
              <w:t>Total liabilities and stockholders</w:t>
            </w:r>
            <w:r>
              <w:rPr>
                <w:rFonts w:ascii="Arial" w:cs="Arial" w:eastAsia="Arial" w:hAnsi="Arial"/>
                <w:sz w:val="17"/>
                <w:szCs w:val="17"/>
                <w:color w:val="auto"/>
              </w:rPr>
              <w:t>’</w:t>
            </w:r>
            <w:r>
              <w:rPr>
                <w:rFonts w:ascii="Arial" w:cs="Arial" w:eastAsia="Arial" w:hAnsi="Arial"/>
                <w:sz w:val="16"/>
                <w:szCs w:val="16"/>
                <w:color w:val="auto"/>
              </w:rPr>
              <w:t xml:space="preserve"> equity</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1,068,909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1,006,432</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63500</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80"/>
          </w:cols>
          <w:pgMar w:left="360" w:top="1066" w:right="359" w:bottom="1440" w:gutter="0" w:footer="0" w:header="0"/>
        </w:sectPr>
      </w:pPr>
    </w:p>
    <w:bookmarkStart w:id="4" w:name="page5"/>
    <w:bookmarkEnd w:id="4"/>
    <w:p>
      <w:pPr>
        <w:ind w:left="5040"/>
        <w:spacing w:after="0"/>
        <w:rPr>
          <w:sz w:val="20"/>
          <w:szCs w:val="20"/>
          <w:color w:val="auto"/>
        </w:rPr>
      </w:pPr>
      <w:r>
        <w:rPr>
          <w:rFonts w:ascii="Arial" w:cs="Arial" w:eastAsia="Arial" w:hAnsi="Arial"/>
          <w:sz w:val="18"/>
          <w:szCs w:val="18"/>
          <w:b w:val="1"/>
          <w:bCs w:val="1"/>
          <w:color w:val="auto"/>
        </w:rPr>
        <w:t>LIVEPERSON, INC.</w:t>
      </w:r>
    </w:p>
    <w:p>
      <w:pPr>
        <w:spacing w:after="0" w:line="108"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2"/>
              </w:rPr>
              <w:t>Three Months Ended</w:t>
            </w:r>
          </w:p>
        </w:tc>
        <w:tc>
          <w:tcPr>
            <w:tcW w:w="320" w:type="dxa"/>
            <w:vAlign w:val="bottom"/>
          </w:tcPr>
          <w:p>
            <w:pPr>
              <w:spacing w:after="0"/>
              <w:rPr>
                <w:sz w:val="15"/>
                <w:szCs w:val="15"/>
                <w:color w:val="auto"/>
              </w:rPr>
            </w:pPr>
          </w:p>
        </w:tc>
        <w:tc>
          <w:tcPr>
            <w:tcW w:w="1740" w:type="dxa"/>
            <w:vAlign w:val="bottom"/>
            <w:gridSpan w:val="3"/>
          </w:tcPr>
          <w:p>
            <w:pPr>
              <w:jc w:val="center"/>
              <w:ind w:left="465"/>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545"/>
              <w:spacing w:after="0"/>
              <w:rPr>
                <w:sz w:val="20"/>
                <w:szCs w:val="20"/>
                <w:color w:val="auto"/>
              </w:rPr>
            </w:pPr>
            <w:r>
              <w:rPr>
                <w:rFonts w:ascii="Arial" w:cs="Arial" w:eastAsia="Arial" w:hAnsi="Arial"/>
                <w:sz w:val="14"/>
                <w:szCs w:val="14"/>
                <w:b w:val="1"/>
                <w:bCs w:val="1"/>
                <w:color w:val="auto"/>
                <w:w w:val="87"/>
              </w:rPr>
              <w:t>September 30,</w:t>
            </w: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65"/>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5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w w:val="89"/>
              </w:rPr>
              <w:t>2020</w:t>
            </w:r>
          </w:p>
        </w:tc>
      </w:tr>
      <w:tr>
        <w:trPr>
          <w:trHeight w:val="182"/>
        </w:trPr>
        <w:tc>
          <w:tcPr>
            <w:tcW w:w="5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180" w:type="dxa"/>
            <w:vAlign w:val="bottom"/>
            <w:gridSpan w:val="7"/>
          </w:tcPr>
          <w:p>
            <w:pPr>
              <w:ind w:left="40"/>
              <w:spacing w:after="0"/>
              <w:rPr>
                <w:sz w:val="20"/>
                <w:szCs w:val="20"/>
                <w:color w:val="auto"/>
              </w:rPr>
            </w:pPr>
            <w:r>
              <w:rPr>
                <w:rFonts w:ascii="Arial" w:cs="Arial" w:eastAsia="Arial" w:hAnsi="Arial"/>
                <w:sz w:val="14"/>
                <w:szCs w:val="14"/>
                <w:b w:val="1"/>
                <w:bCs w:val="1"/>
                <w:color w:val="auto"/>
                <w:w w:val="89"/>
              </w:rPr>
              <w:t>(In thousands, except share and per share amounts)</w:t>
            </w: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118,327</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94,804</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345,823</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264,495</w:t>
            </w:r>
          </w:p>
        </w:tc>
      </w:tr>
      <w:tr>
        <w:trPr>
          <w:trHeight w:val="210"/>
        </w:trPr>
        <w:tc>
          <w:tcPr>
            <w:tcW w:w="522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Costs and expenses: </w:t>
            </w:r>
            <w:r>
              <w:rPr>
                <w:rFonts w:ascii="Arial" w:cs="Arial" w:eastAsia="Arial" w:hAnsi="Arial"/>
                <w:sz w:val="20"/>
                <w:szCs w:val="20"/>
                <w:color w:val="auto"/>
                <w:vertAlign w:val="superscript"/>
              </w:rPr>
              <w:t>(1) (2)</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0"/>
        </w:trPr>
        <w:tc>
          <w:tcPr>
            <w:tcW w:w="5220" w:type="dxa"/>
            <w:vAlign w:val="bottom"/>
            <w:shd w:val="clear" w:color="auto" w:fill="CCEEFF"/>
          </w:tcPr>
          <w:p>
            <w:pPr>
              <w:ind w:left="240"/>
              <w:spacing w:after="0" w:line="210" w:lineRule="exact"/>
              <w:rPr>
                <w:sz w:val="20"/>
                <w:szCs w:val="20"/>
                <w:color w:val="auto"/>
              </w:rPr>
            </w:pPr>
            <w:r>
              <w:rPr>
                <w:rFonts w:ascii="Arial" w:cs="Arial" w:eastAsia="Arial" w:hAnsi="Arial"/>
                <w:sz w:val="16"/>
                <w:szCs w:val="16"/>
                <w:color w:val="auto"/>
              </w:rPr>
              <w:t xml:space="preserve">Cost of revenue </w:t>
            </w:r>
            <w:r>
              <w:rPr>
                <w:rFonts w:ascii="Arial" w:cs="Arial" w:eastAsia="Arial" w:hAnsi="Arial"/>
                <w:sz w:val="20"/>
                <w:szCs w:val="20"/>
                <w:color w:val="auto"/>
                <w:vertAlign w:val="superscript"/>
              </w:rPr>
              <w:t>(3)</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38,795</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27,692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112,377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78,218</w:t>
            </w: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Sales and marketing</w:t>
            </w: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40,852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32,775</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116,427</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110,073</w:t>
            </w:r>
          </w:p>
        </w:tc>
      </w:tr>
      <w:tr>
        <w:trPr>
          <w:trHeight w:val="213"/>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17,193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14,891</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47,784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47,713</w:t>
            </w: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41,734</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27,736</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ind w:right="5"/>
              <w:spacing w:after="0"/>
              <w:rPr>
                <w:sz w:val="20"/>
                <w:szCs w:val="20"/>
                <w:color w:val="auto"/>
              </w:rPr>
            </w:pPr>
            <w:r>
              <w:rPr>
                <w:rFonts w:ascii="Arial" w:cs="Arial" w:eastAsia="Arial" w:hAnsi="Arial"/>
                <w:sz w:val="16"/>
                <w:szCs w:val="16"/>
                <w:color w:val="auto"/>
              </w:rPr>
              <w:t>112,715</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80,417</w:t>
            </w:r>
          </w:p>
        </w:tc>
      </w:tr>
      <w:tr>
        <w:trPr>
          <w:trHeight w:val="213"/>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Restructuring costs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26,442</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3,269</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29,635</w:t>
            </w:r>
          </w:p>
        </w:tc>
      </w:tr>
      <w:tr>
        <w:trPr>
          <w:trHeight w:val="207"/>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Amortization of purchased intangibles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488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1,237</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w:t>
            </w:r>
          </w:p>
        </w:tc>
      </w:tr>
      <w:tr>
        <w:trPr>
          <w:trHeight w:val="206"/>
        </w:trPr>
        <w:tc>
          <w:tcPr>
            <w:tcW w:w="52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costs and expenses</w:t>
            </w: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139,106</w:t>
            </w:r>
          </w:p>
        </w:tc>
        <w:tc>
          <w:tcPr>
            <w:tcW w:w="8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129,947</w:t>
            </w:r>
          </w:p>
        </w:tc>
        <w:tc>
          <w:tcPr>
            <w:tcW w:w="18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393,809</w:t>
            </w:r>
          </w:p>
        </w:tc>
        <w:tc>
          <w:tcPr>
            <w:tcW w:w="80" w:type="dxa"/>
            <w:vAlign w:val="bottom"/>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347,275</w:t>
            </w:r>
          </w:p>
        </w:tc>
      </w:tr>
      <w:tr>
        <w:trPr>
          <w:trHeight w:val="200"/>
        </w:trPr>
        <w:tc>
          <w:tcPr>
            <w:tcW w:w="5220" w:type="dxa"/>
            <w:vAlign w:val="bottom"/>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(20,779)</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(35,143)</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(47,986)</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(82,780)</w:t>
            </w:r>
          </w:p>
        </w:tc>
      </w:tr>
      <w:tr>
        <w:trPr>
          <w:trHeight w:val="213"/>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income, net:</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5220" w:type="dxa"/>
            <w:vAlign w:val="bottom"/>
          </w:tcPr>
          <w:p>
            <w:pPr>
              <w:ind w:left="240"/>
              <w:spacing w:after="0"/>
              <w:rPr>
                <w:sz w:val="20"/>
                <w:szCs w:val="20"/>
                <w:color w:val="auto"/>
              </w:rPr>
            </w:pPr>
            <w:r>
              <w:rPr>
                <w:rFonts w:ascii="Arial" w:cs="Arial" w:eastAsia="Arial" w:hAnsi="Arial"/>
                <w:sz w:val="16"/>
                <w:szCs w:val="16"/>
                <w:color w:val="auto"/>
              </w:rPr>
              <w:t>Interest expense, net</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(9,442)</w:t>
            </w: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(3,159)</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(27,852)</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(9,161)</w:t>
            </w:r>
          </w:p>
        </w:tc>
      </w:tr>
      <w:tr>
        <w:trPr>
          <w:trHeight w:val="213"/>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(expense) income, net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3,002</w:t>
            </w:r>
          </w:p>
        </w:tc>
        <w:tc>
          <w:tcPr>
            <w:tcW w:w="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(2,484)</w:t>
            </w:r>
          </w:p>
        </w:tc>
      </w:tr>
      <w:tr>
        <w:trPr>
          <w:trHeight w:val="200"/>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other expense, net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(9,490)</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(3,667)</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(24,850)</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(11,645)</w:t>
            </w: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provision for (benefit from) income taxes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(30,269)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(38,810)</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(72,836)</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(94,425)</w:t>
            </w:r>
          </w:p>
        </w:tc>
      </w:tr>
      <w:tr>
        <w:trPr>
          <w:trHeight w:val="207"/>
        </w:trPr>
        <w:tc>
          <w:tcPr>
            <w:tcW w:w="52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Provision for (benefit from) income taxes</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2,538</w:t>
            </w:r>
          </w:p>
        </w:tc>
        <w:tc>
          <w:tcPr>
            <w:tcW w:w="8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1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2,285</w:t>
            </w:r>
          </w:p>
        </w:tc>
        <w:tc>
          <w:tcPr>
            <w:tcW w:w="8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w:t>
            </w:r>
          </w:p>
        </w:tc>
      </w:tr>
      <w:tr>
        <w:trPr>
          <w:trHeight w:val="22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(32,807)</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(75,121)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(94,338)</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of common stock:</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5220" w:type="dxa"/>
            <w:vAlign w:val="bottom"/>
          </w:tcPr>
          <w:p>
            <w:pPr>
              <w:ind w:left="240"/>
              <w:spacing w:after="0"/>
              <w:rPr>
                <w:sz w:val="20"/>
                <w:szCs w:val="20"/>
                <w:color w:val="auto"/>
              </w:rPr>
            </w:pPr>
            <w:r>
              <w:rPr>
                <w:rFonts w:ascii="Arial" w:cs="Arial" w:eastAsia="Arial" w:hAnsi="Arial"/>
                <w:sz w:val="16"/>
                <w:szCs w:val="16"/>
                <w:color w:val="auto"/>
              </w:rPr>
              <w:t>Basic</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(0.47)</w:t>
            </w:r>
          </w:p>
        </w:tc>
        <w:tc>
          <w:tcPr>
            <w:tcW w:w="5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(0.58)</w:t>
            </w:r>
          </w:p>
        </w:tc>
        <w:tc>
          <w:tcPr>
            <w:tcW w:w="180" w:type="dxa"/>
            <w:vAlign w:val="bottom"/>
          </w:tcPr>
          <w:p>
            <w:pPr>
              <w:spacing w:after="0"/>
              <w:rPr>
                <w:sz w:val="18"/>
                <w:szCs w:val="18"/>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56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5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0"/>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shares used to compute net loss per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0"/>
        </w:trPr>
        <w:tc>
          <w:tcPr>
            <w:tcW w:w="5220" w:type="dxa"/>
            <w:vAlign w:val="bottom"/>
          </w:tcPr>
          <w:p>
            <w:pPr>
              <w:ind w:left="240"/>
              <w:spacing w:after="0"/>
              <w:rPr>
                <w:sz w:val="20"/>
                <w:szCs w:val="20"/>
                <w:color w:val="auto"/>
              </w:rPr>
            </w:pPr>
            <w:r>
              <w:rPr>
                <w:rFonts w:ascii="Arial" w:cs="Arial" w:eastAsia="Arial" w:hAnsi="Arial"/>
                <w:sz w:val="16"/>
                <w:szCs w:val="16"/>
                <w:color w:val="auto"/>
              </w:rPr>
              <w:t>Basic</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69,798,839</w:t>
            </w: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66,451,414</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68,926,203</w:t>
            </w:r>
          </w:p>
        </w:tc>
        <w:tc>
          <w:tcPr>
            <w:tcW w:w="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65,504,571</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3"/>
        </w:trPr>
        <w:tc>
          <w:tcPr>
            <w:tcW w:w="52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Diluted</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69,798,839</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66,451,414</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68,926,203</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65,504,571</w:t>
            </w:r>
          </w:p>
        </w:tc>
      </w:tr>
      <w:tr>
        <w:trPr>
          <w:trHeight w:val="249"/>
        </w:trPr>
        <w:tc>
          <w:tcPr>
            <w:tcW w:w="522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940" w:type="dxa"/>
            <w:vAlign w:val="bottom"/>
            <w:tcBorders>
              <w:bottom w:val="single" w:sz="8" w:color="CCEEFF"/>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110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r>
      <w:tr>
        <w:trPr>
          <w:trHeight w:val="177"/>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  Amounts include stock-based compensation expense, as follows: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522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1,337</w:t>
            </w: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2,288</w:t>
            </w:r>
          </w:p>
        </w:tc>
        <w:tc>
          <w:tcPr>
            <w:tcW w:w="1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4,618</w:t>
            </w: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5,735</w:t>
            </w:r>
          </w:p>
        </w:tc>
      </w:tr>
      <w:tr>
        <w:trPr>
          <w:trHeight w:val="186"/>
        </w:trPr>
        <w:tc>
          <w:tcPr>
            <w:tcW w:w="5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4,228</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11,383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9,536</w:t>
            </w:r>
          </w:p>
        </w:tc>
      </w:tr>
      <w:tr>
        <w:trPr>
          <w:trHeight w:val="181"/>
        </w:trPr>
        <w:tc>
          <w:tcPr>
            <w:tcW w:w="522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4,103</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3,618</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9,863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10,428</w:t>
            </w:r>
          </w:p>
        </w:tc>
      </w:tr>
      <w:tr>
        <w:trPr>
          <w:trHeight w:val="186"/>
        </w:trPr>
        <w:tc>
          <w:tcPr>
            <w:tcW w:w="5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7,753</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22,103</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20,472</w:t>
            </w:r>
          </w:p>
        </w:tc>
      </w:tr>
      <w:tr>
        <w:trPr>
          <w:trHeight w:val="210"/>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4"/>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  Amounts include depreciation expense, as follows: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81"/>
        </w:trPr>
        <w:tc>
          <w:tcPr>
            <w:tcW w:w="522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2,552</w:t>
            </w: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2,710</w:t>
            </w:r>
          </w:p>
        </w:tc>
        <w:tc>
          <w:tcPr>
            <w:tcW w:w="1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7,720</w:t>
            </w: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7,619</w:t>
            </w:r>
          </w:p>
        </w:tc>
      </w:tr>
      <w:tr>
        <w:trPr>
          <w:trHeight w:val="186"/>
        </w:trPr>
        <w:tc>
          <w:tcPr>
            <w:tcW w:w="5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Sales and marketing</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1,820</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1,798</w:t>
            </w:r>
          </w:p>
        </w:tc>
      </w:tr>
      <w:tr>
        <w:trPr>
          <w:trHeight w:val="181"/>
        </w:trPr>
        <w:tc>
          <w:tcPr>
            <w:tcW w:w="5220" w:type="dxa"/>
            <w:vAlign w:val="bottom"/>
          </w:tcPr>
          <w:p>
            <w:pPr>
              <w:ind w:left="340"/>
              <w:spacing w:after="0"/>
              <w:rPr>
                <w:sz w:val="20"/>
                <w:szCs w:val="20"/>
                <w:color w:val="auto"/>
              </w:rPr>
            </w:pPr>
            <w:r>
              <w:rPr>
                <w:rFonts w:ascii="Arial" w:cs="Arial" w:eastAsia="Arial" w:hAnsi="Arial"/>
                <w:sz w:val="14"/>
                <w:szCs w:val="14"/>
                <w:color w:val="auto"/>
              </w:rPr>
              <w:t>General and administrative</w:t>
            </w: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207</w:t>
            </w:r>
          </w:p>
        </w:tc>
      </w:tr>
      <w:tr>
        <w:trPr>
          <w:trHeight w:val="186"/>
        </w:trPr>
        <w:tc>
          <w:tcPr>
            <w:tcW w:w="5220" w:type="dxa"/>
            <w:vAlign w:val="bottom"/>
            <w:shd w:val="clear" w:color="auto" w:fill="CCEEFF"/>
          </w:tcPr>
          <w:p>
            <w:pPr>
              <w:ind w:left="340"/>
              <w:spacing w:after="0"/>
              <w:rPr>
                <w:sz w:val="20"/>
                <w:szCs w:val="20"/>
                <w:color w:val="auto"/>
              </w:rPr>
            </w:pPr>
            <w:r>
              <w:rPr>
                <w:rFonts w:ascii="Arial" w:cs="Arial" w:eastAsia="Arial" w:hAnsi="Arial"/>
                <w:sz w:val="14"/>
                <w:szCs w:val="14"/>
                <w:color w:val="auto"/>
              </w:rPr>
              <w:t>Product development</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3,724</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2,674</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10,828</w:t>
            </w: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7,599</w:t>
            </w:r>
          </w:p>
        </w:tc>
      </w:tr>
      <w:tr>
        <w:trPr>
          <w:trHeight w:val="210"/>
        </w:trPr>
        <w:tc>
          <w:tcPr>
            <w:tcW w:w="5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184"/>
        </w:trPr>
        <w:tc>
          <w:tcPr>
            <w:tcW w:w="5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  Amounts include amortization of purchased intangibles, as follows:</w:t>
            </w: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79"/>
        </w:trPr>
        <w:tc>
          <w:tcPr>
            <w:tcW w:w="5220" w:type="dxa"/>
            <w:vAlign w:val="bottom"/>
          </w:tcPr>
          <w:p>
            <w:pPr>
              <w:ind w:left="340"/>
              <w:spacing w:after="0"/>
              <w:rPr>
                <w:sz w:val="20"/>
                <w:szCs w:val="20"/>
                <w:color w:val="auto"/>
              </w:rPr>
            </w:pPr>
            <w:r>
              <w:rPr>
                <w:rFonts w:ascii="Arial" w:cs="Arial" w:eastAsia="Arial" w:hAnsi="Arial"/>
                <w:sz w:val="14"/>
                <w:szCs w:val="14"/>
                <w:color w:val="auto"/>
              </w:rPr>
              <w:t>Cost of revenue</w:t>
            </w: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1,343</w:t>
            </w:r>
          </w:p>
        </w:tc>
        <w:tc>
          <w:tcPr>
            <w:tcW w:w="56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286</w:t>
            </w:r>
          </w:p>
        </w:tc>
        <w:tc>
          <w:tcPr>
            <w:tcW w:w="180" w:type="dxa"/>
            <w:vAlign w:val="bottom"/>
          </w:tcPr>
          <w:p>
            <w:pPr>
              <w:spacing w:after="0"/>
              <w:rPr>
                <w:sz w:val="15"/>
                <w:szCs w:val="15"/>
                <w:color w:val="auto"/>
              </w:rPr>
            </w:pPr>
          </w:p>
        </w:tc>
        <w:tc>
          <w:tcPr>
            <w:tcW w:w="32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3,702</w:t>
            </w:r>
          </w:p>
        </w:tc>
        <w:tc>
          <w:tcPr>
            <w:tcW w:w="8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854</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 w:name="page6"/>
    <w:bookmarkEnd w:id="5"/>
    <w:p>
      <w:pPr>
        <w:ind w:left="4820"/>
        <w:spacing w:after="0"/>
        <w:rPr>
          <w:sz w:val="20"/>
          <w:szCs w:val="20"/>
          <w:color w:val="auto"/>
        </w:rPr>
      </w:pPr>
      <w:r>
        <w:rPr>
          <w:rFonts w:ascii="Arial" w:cs="Arial" w:eastAsia="Arial" w:hAnsi="Arial"/>
          <w:sz w:val="18"/>
          <w:szCs w:val="18"/>
          <w:b w:val="1"/>
          <w:bCs w:val="1"/>
          <w:color w:val="auto"/>
        </w:rPr>
        <w:t>LIVEPERSON, INC.</w:t>
      </w:r>
    </w:p>
    <w:p>
      <w:pPr>
        <w:spacing w:after="0" w:line="108"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60" w:type="dxa"/>
            <w:vAlign w:val="bottom"/>
          </w:tcPr>
          <w:p>
            <w:pPr>
              <w:spacing w:after="0"/>
              <w:rPr>
                <w:sz w:val="15"/>
                <w:szCs w:val="15"/>
                <w:color w:val="auto"/>
              </w:rPr>
            </w:pPr>
          </w:p>
        </w:tc>
        <w:tc>
          <w:tcPr>
            <w:tcW w:w="2380" w:type="dxa"/>
            <w:vAlign w:val="bottom"/>
            <w:gridSpan w:val="4"/>
          </w:tcPr>
          <w:p>
            <w:pPr>
              <w:jc w:val="right"/>
              <w:ind w:right="184"/>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9"/>
        </w:trPr>
        <w:tc>
          <w:tcPr>
            <w:tcW w:w="51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0"/>
        </w:trPr>
        <w:tc>
          <w:tcPr>
            <w:tcW w:w="5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3"/>
              </w:rPr>
              <w:t>2020</w:t>
            </w:r>
          </w:p>
        </w:tc>
      </w:tr>
      <w:tr>
        <w:trPr>
          <w:trHeight w:val="182"/>
        </w:trPr>
        <w:tc>
          <w:tcPr>
            <w:tcW w:w="5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gridSpan w:val="3"/>
          </w:tcPr>
          <w:p>
            <w:pPr>
              <w:jc w:val="right"/>
              <w:ind w:right="41"/>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(32,807)</w:t>
            </w: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(38,710)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(75,121)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(94,338)</w:t>
            </w:r>
          </w:p>
        </w:tc>
      </w:tr>
      <w:tr>
        <w:trPr>
          <w:trHeight w:val="207"/>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Foreign currency translation adjustment</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(3,056)</w:t>
            </w:r>
          </w:p>
        </w:tc>
        <w:tc>
          <w:tcPr>
            <w:tcW w:w="8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2,292</w:t>
            </w:r>
          </w:p>
        </w:tc>
        <w:tc>
          <w:tcPr>
            <w:tcW w:w="16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(4,237)</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w:t>
            </w:r>
          </w:p>
        </w:tc>
      </w:tr>
      <w:tr>
        <w:trPr>
          <w:trHeight w:val="231"/>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7"/>
              </w:rPr>
              <w:t>(35,863)</w:t>
            </w:r>
          </w:p>
        </w:tc>
        <w:tc>
          <w:tcPr>
            <w:tcW w:w="8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(36,418)</w:t>
            </w:r>
          </w:p>
        </w:tc>
        <w:tc>
          <w:tcPr>
            <w:tcW w:w="16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(79,358)</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(92,584)</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6" w:name="page7"/>
    <w:bookmarkEnd w:id="6"/>
    <w:p>
      <w:pPr>
        <w:ind w:left="5040"/>
        <w:spacing w:after="0"/>
        <w:rPr>
          <w:sz w:val="20"/>
          <w:szCs w:val="20"/>
          <w:color w:val="auto"/>
        </w:rPr>
      </w:pPr>
      <w:r>
        <w:rPr>
          <w:rFonts w:ascii="Arial" w:cs="Arial" w:eastAsia="Arial" w:hAnsi="Arial"/>
          <w:sz w:val="18"/>
          <w:szCs w:val="18"/>
          <w:b w:val="1"/>
          <w:bCs w:val="1"/>
          <w:color w:val="auto"/>
        </w:rPr>
        <w:t>LIVEPERSON, INC.</w:t>
      </w:r>
    </w:p>
    <w:p>
      <w:pPr>
        <w:spacing w:after="0" w:line="108"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2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120" w:type="dxa"/>
            <w:vAlign w:val="bottom"/>
            <w:gridSpan w:val="5"/>
          </w:tcPr>
          <w:p>
            <w:pPr>
              <w:ind w:left="620"/>
              <w:spacing w:after="0"/>
              <w:rPr>
                <w:sz w:val="20"/>
                <w:szCs w:val="20"/>
                <w:color w:val="auto"/>
              </w:rPr>
            </w:pPr>
            <w:r>
              <w:rPr>
                <w:rFonts w:ascii="Arial" w:cs="Arial" w:eastAsia="Arial" w:hAnsi="Arial"/>
                <w:sz w:val="12"/>
                <w:szCs w:val="12"/>
                <w:b w:val="1"/>
                <w:bCs w:val="1"/>
                <w:color w:val="auto"/>
              </w:rPr>
              <w:t>Common Stock</w:t>
            </w:r>
          </w:p>
        </w:tc>
        <w:tc>
          <w:tcPr>
            <w:tcW w:w="1820" w:type="dxa"/>
            <w:vAlign w:val="bottom"/>
            <w:gridSpan w:val="3"/>
          </w:tcPr>
          <w:p>
            <w:pPr>
              <w:ind w:left="640"/>
              <w:spacing w:after="0"/>
              <w:rPr>
                <w:sz w:val="20"/>
                <w:szCs w:val="20"/>
                <w:color w:val="auto"/>
              </w:rPr>
            </w:pPr>
            <w:r>
              <w:rPr>
                <w:rFonts w:ascii="Arial" w:cs="Arial" w:eastAsia="Arial" w:hAnsi="Arial"/>
                <w:sz w:val="12"/>
                <w:szCs w:val="12"/>
                <w:b w:val="1"/>
                <w:bCs w:val="1"/>
                <w:color w:val="auto"/>
              </w:rPr>
              <w:t>Treasury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96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16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Comprehensive</w:t>
            </w: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5"/>
              </w:rPr>
              <w:t>Loss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73"/>
              <w:spacing w:after="0"/>
              <w:rPr>
                <w:sz w:val="20"/>
                <w:szCs w:val="20"/>
                <w:color w:val="auto"/>
              </w:rPr>
            </w:pPr>
            <w:r>
              <w:rPr>
                <w:rFonts w:ascii="Arial" w:cs="Arial" w:eastAsia="Arial" w:hAnsi="Arial"/>
                <w:sz w:val="12"/>
                <w:szCs w:val="12"/>
                <w:b w:val="1"/>
                <w:bCs w:val="1"/>
                <w:color w:val="auto"/>
                <w:w w:val="91"/>
              </w:rPr>
              <w:t>(In thousands, except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70,264,265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70</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635,672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(391,885)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243,934</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5"/>
              </w:rPr>
              <w:t>Common stock issued upon exercise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209,185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2,617</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w w:val="98"/>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454,508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units (RSU)</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9,225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9,225</w:t>
            </w: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rPr>
              <w:t>Cash awards settled in shares of the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400,700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25,925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25,925</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Company's common stock</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6"/>
              </w:rPr>
              <w:t>Common stock issued under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22,544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1,257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1,257</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(21,195)</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(1,746)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(1,746)</w:t>
            </w:r>
          </w:p>
        </w:tc>
        <w:tc>
          <w:tcPr>
            <w:tcW w:w="0" w:type="dxa"/>
            <w:vAlign w:val="bottom"/>
          </w:tcPr>
          <w:p>
            <w:pPr>
              <w:spacing w:after="0"/>
              <w:rPr>
                <w:sz w:val="1"/>
                <w:szCs w:val="1"/>
                <w:color w:val="auto"/>
              </w:rPr>
            </w:pPr>
          </w:p>
        </w:tc>
      </w:tr>
      <w:tr>
        <w:trPr>
          <w:trHeight w:val="17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71,351,202</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674,695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(413,080)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(1,666)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260,017</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5"/>
              </w:rPr>
              <w:t>Common stock issued upon exercise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252,155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3,999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3,999</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w w:val="98"/>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252,218</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9,524</w:t>
            </w: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rPr>
              <w:t>Cash awards settled in shares of the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137,300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7,578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7,578</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Company's common stock</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6"/>
              </w:rPr>
              <w:t>Common stock issued under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24,270</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1,128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1,128</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(21,119)</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7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72,017,145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696,923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(434,199)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261,692</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5"/>
              </w:rPr>
              <w:t>Common stock issued upon exercise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191,693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w w:val="98"/>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142,867</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2"/>
              </w:rPr>
              <w:t>Issuance of common stock in connection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351,462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20,012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20,013</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with acquisitions (Note 9)</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12,148</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6"/>
              </w:rPr>
              <w:t>Common stock issued under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19,882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1,083</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(32,807)</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(32,807)</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(3,056)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(3,056)</w:t>
            </w:r>
          </w:p>
        </w:tc>
        <w:tc>
          <w:tcPr>
            <w:tcW w:w="0" w:type="dxa"/>
            <w:vAlign w:val="bottom"/>
          </w:tcPr>
          <w:p>
            <w:pPr>
              <w:spacing w:after="0"/>
              <w:rPr>
                <w:sz w:val="1"/>
                <w:szCs w:val="1"/>
                <w:color w:val="auto"/>
              </w:rPr>
            </w:pPr>
          </w:p>
        </w:tc>
      </w:tr>
      <w:tr>
        <w:trPr>
          <w:trHeight w:val="204"/>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2021</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72,723,049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733,202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(467,006)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262,109</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869"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38"/>
        </w:trPr>
        <w:tc>
          <w:tcPr>
            <w:tcW w:w="2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0"/>
              </w:rPr>
              <w:t>Accumulated</w:t>
            </w: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580" w:type="dxa"/>
            <w:vAlign w:val="bottom"/>
          </w:tcPr>
          <w:p>
            <w:pPr>
              <w:spacing w:after="0"/>
              <w:rPr>
                <w:sz w:val="13"/>
                <w:szCs w:val="13"/>
                <w:color w:val="auto"/>
              </w:rPr>
            </w:pPr>
          </w:p>
        </w:tc>
        <w:tc>
          <w:tcPr>
            <w:tcW w:w="2120" w:type="dxa"/>
            <w:vAlign w:val="bottom"/>
            <w:gridSpan w:val="5"/>
          </w:tcPr>
          <w:p>
            <w:pPr>
              <w:ind w:left="620"/>
              <w:spacing w:after="0"/>
              <w:rPr>
                <w:sz w:val="20"/>
                <w:szCs w:val="20"/>
                <w:color w:val="auto"/>
              </w:rPr>
            </w:pPr>
            <w:r>
              <w:rPr>
                <w:rFonts w:ascii="Arial" w:cs="Arial" w:eastAsia="Arial" w:hAnsi="Arial"/>
                <w:sz w:val="12"/>
                <w:szCs w:val="12"/>
                <w:b w:val="1"/>
                <w:bCs w:val="1"/>
                <w:color w:val="auto"/>
              </w:rPr>
              <w:t>Common Stock</w:t>
            </w:r>
          </w:p>
        </w:tc>
        <w:tc>
          <w:tcPr>
            <w:tcW w:w="1820" w:type="dxa"/>
            <w:vAlign w:val="bottom"/>
            <w:gridSpan w:val="3"/>
          </w:tcPr>
          <w:p>
            <w:pPr>
              <w:ind w:left="640"/>
              <w:spacing w:after="0"/>
              <w:rPr>
                <w:sz w:val="20"/>
                <w:szCs w:val="20"/>
                <w:color w:val="auto"/>
              </w:rPr>
            </w:pPr>
            <w:r>
              <w:rPr>
                <w:rFonts w:ascii="Arial" w:cs="Arial" w:eastAsia="Arial" w:hAnsi="Arial"/>
                <w:sz w:val="12"/>
                <w:szCs w:val="12"/>
                <w:b w:val="1"/>
                <w:bCs w:val="1"/>
                <w:color w:val="auto"/>
              </w:rPr>
              <w:t>Treasury Stock</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Additional</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9"/>
              </w:rPr>
              <w:t>Other</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580" w:type="dxa"/>
            <w:vAlign w:val="bottom"/>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90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Paid-in</w:t>
            </w:r>
          </w:p>
        </w:tc>
        <w:tc>
          <w:tcPr>
            <w:tcW w:w="120" w:type="dxa"/>
            <w:vAlign w:val="bottom"/>
          </w:tcPr>
          <w:p>
            <w:pPr>
              <w:spacing w:after="0"/>
              <w:rPr>
                <w:sz w:val="4"/>
                <w:szCs w:val="4"/>
                <w:color w:val="auto"/>
              </w:rPr>
            </w:pPr>
          </w:p>
        </w:tc>
        <w:tc>
          <w:tcPr>
            <w:tcW w:w="960" w:type="dxa"/>
            <w:vAlign w:val="bottom"/>
            <w:gridSpan w:val="2"/>
          </w:tcPr>
          <w:p>
            <w:pPr>
              <w:ind w:left="40"/>
              <w:spacing w:after="0" w:line="53" w:lineRule="exact"/>
              <w:rPr>
                <w:sz w:val="20"/>
                <w:szCs w:val="20"/>
                <w:color w:val="auto"/>
              </w:rPr>
            </w:pPr>
            <w:r>
              <w:rPr>
                <w:rFonts w:ascii="Arial" w:cs="Arial" w:eastAsia="Arial" w:hAnsi="Arial"/>
                <w:sz w:val="6"/>
                <w:szCs w:val="6"/>
                <w:b w:val="1"/>
                <w:bCs w:val="1"/>
                <w:color w:val="auto"/>
              </w:rPr>
              <w:t>Accumulated</w:t>
            </w:r>
          </w:p>
        </w:tc>
        <w:tc>
          <w:tcPr>
            <w:tcW w:w="140" w:type="dxa"/>
            <w:vAlign w:val="bottom"/>
          </w:tcPr>
          <w:p>
            <w:pPr>
              <w:spacing w:after="0"/>
              <w:rPr>
                <w:sz w:val="4"/>
                <w:szCs w:val="4"/>
                <w:color w:val="auto"/>
              </w:rPr>
            </w:pPr>
          </w:p>
        </w:tc>
        <w:tc>
          <w:tcPr>
            <w:tcW w:w="1160" w:type="dxa"/>
            <w:vAlign w:val="bottom"/>
            <w:gridSpan w:val="2"/>
          </w:tcPr>
          <w:p>
            <w:pPr>
              <w:jc w:val="center"/>
              <w:ind w:right="240"/>
              <w:spacing w:after="0" w:line="53" w:lineRule="exact"/>
              <w:rPr>
                <w:sz w:val="20"/>
                <w:szCs w:val="20"/>
                <w:color w:val="auto"/>
              </w:rPr>
            </w:pPr>
            <w:r>
              <w:rPr>
                <w:rFonts w:ascii="Arial" w:cs="Arial" w:eastAsia="Arial" w:hAnsi="Arial"/>
                <w:sz w:val="6"/>
                <w:szCs w:val="6"/>
                <w:b w:val="1"/>
                <w:bCs w:val="1"/>
                <w:color w:val="auto"/>
              </w:rPr>
              <w:t>Comprehensive</w:t>
            </w:r>
          </w:p>
        </w:tc>
        <w:tc>
          <w:tcPr>
            <w:tcW w:w="22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060" w:type="dxa"/>
            <w:vAlign w:val="bottom"/>
            <w:tcBorders>
              <w:bottom w:val="single" w:sz="8" w:color="auto"/>
            </w:tcBorders>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4"/>
              </w:rPr>
              <w:t>Capital</w:t>
            </w: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200"/>
              <w:spacing w:after="0"/>
              <w:rPr>
                <w:sz w:val="20"/>
                <w:szCs w:val="20"/>
                <w:color w:val="auto"/>
              </w:rPr>
            </w:pPr>
            <w:r>
              <w:rPr>
                <w:rFonts w:ascii="Arial" w:cs="Arial" w:eastAsia="Arial" w:hAnsi="Arial"/>
                <w:sz w:val="12"/>
                <w:szCs w:val="12"/>
                <w:b w:val="1"/>
                <w:bCs w:val="1"/>
                <w:color w:val="auto"/>
              </w:rPr>
              <w:t>Deficit</w:t>
            </w: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85"/>
              </w:rPr>
              <w:t>Loss</w:t>
            </w: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4"/>
        </w:trPr>
        <w:tc>
          <w:tcPr>
            <w:tcW w:w="2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6"/>
          </w:tcPr>
          <w:p>
            <w:pPr>
              <w:jc w:val="center"/>
              <w:ind w:left="73"/>
              <w:spacing w:after="0"/>
              <w:rPr>
                <w:sz w:val="20"/>
                <w:szCs w:val="20"/>
                <w:color w:val="auto"/>
              </w:rPr>
            </w:pPr>
            <w:r>
              <w:rPr>
                <w:rFonts w:ascii="Arial" w:cs="Arial" w:eastAsia="Arial" w:hAnsi="Arial"/>
                <w:sz w:val="12"/>
                <w:szCs w:val="12"/>
                <w:b w:val="1"/>
                <w:bCs w:val="1"/>
                <w:color w:val="auto"/>
                <w:w w:val="91"/>
              </w:rPr>
              <w:t>(In thousands, except share data)</w:t>
            </w: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5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66,543,073</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w:t>
            </w: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436,557</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(283,562)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(4,524)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148,535</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5"/>
              </w:rPr>
              <w:t>Common stock issued upon exercise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199,215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w w:val="98"/>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203,690</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7"/>
              </w:rPr>
              <w:t>Common stock as earn-out payment in</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11,508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293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connection with AdvantageTec Inc.</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9,519</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rPr>
              <w:t>Cash awards settled in shares of the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991,905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24,656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24,656</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Company's common stock</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rPr>
              <w:t>ASU 2016-13 (Topic 326) Adjustment</w:t>
            </w: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(Note 1)</w:t>
            </w:r>
          </w:p>
        </w:tc>
        <w:tc>
          <w:tcPr>
            <w:tcW w:w="10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6"/>
              </w:rPr>
              <w:t>Common stock issued under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50,818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1,626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1,626</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(37,001)</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(2,469)</w:t>
            </w:r>
          </w:p>
        </w:tc>
        <w:tc>
          <w:tcPr>
            <w:tcW w:w="0" w:type="dxa"/>
            <w:vAlign w:val="bottom"/>
          </w:tcPr>
          <w:p>
            <w:pPr>
              <w:spacing w:after="0"/>
              <w:rPr>
                <w:sz w:val="1"/>
                <w:szCs w:val="1"/>
                <w:color w:val="auto"/>
              </w:rPr>
            </w:pPr>
          </w:p>
        </w:tc>
      </w:tr>
      <w:tr>
        <w:trPr>
          <w:trHeight w:val="179"/>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68,000,209</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w:t>
            </w:r>
          </w:p>
        </w:tc>
        <w:tc>
          <w:tcPr>
            <w:tcW w:w="8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474,606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(321,292)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(6,993)</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146,386</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5"/>
              </w:rPr>
              <w:t>Common stock issued upon exercise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403,443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5,079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5,079</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options</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w w:val="98"/>
              </w:rPr>
              <w:t>Common stock issued upon vesting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298,114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RSU</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7,433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7,433</w:t>
            </w:r>
          </w:p>
        </w:tc>
        <w:tc>
          <w:tcPr>
            <w:tcW w:w="0" w:type="dxa"/>
            <w:vAlign w:val="bottom"/>
          </w:tcPr>
          <w:p>
            <w:pPr>
              <w:spacing w:after="0"/>
              <w:rPr>
                <w:sz w:val="1"/>
                <w:szCs w:val="1"/>
                <w:color w:val="auto"/>
              </w:rPr>
            </w:pPr>
          </w:p>
        </w:tc>
      </w:tr>
      <w:tr>
        <w:trPr>
          <w:trHeight w:val="134"/>
        </w:trPr>
        <w:tc>
          <w:tcPr>
            <w:tcW w:w="2580" w:type="dxa"/>
            <w:vAlign w:val="bottom"/>
            <w:shd w:val="clear" w:color="auto" w:fill="CCEEFF"/>
          </w:tcPr>
          <w:p>
            <w:pPr>
              <w:ind w:left="220"/>
              <w:spacing w:after="0" w:line="134" w:lineRule="exact"/>
              <w:rPr>
                <w:sz w:val="20"/>
                <w:szCs w:val="20"/>
                <w:color w:val="auto"/>
              </w:rPr>
            </w:pPr>
            <w:r>
              <w:rPr>
                <w:rFonts w:ascii="Arial" w:cs="Arial" w:eastAsia="Arial" w:hAnsi="Arial"/>
                <w:sz w:val="14"/>
                <w:szCs w:val="14"/>
                <w:color w:val="auto"/>
                <w:w w:val="96"/>
              </w:rPr>
              <w:t>Common stock issued under Employee</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29,711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Purchase Plan</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Net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(18,627)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(18,627)</w:t>
            </w: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68,731,477</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69</w:t>
            </w:r>
          </w:p>
        </w:tc>
        <w:tc>
          <w:tcPr>
            <w:tcW w:w="80" w:type="dxa"/>
            <w:vAlign w:val="bottom"/>
          </w:tcPr>
          <w:p>
            <w:pPr>
              <w:spacing w:after="0"/>
              <w:rPr>
                <w:sz w:val="15"/>
                <w:szCs w:val="15"/>
                <w:color w:val="auto"/>
              </w:rPr>
            </w:pPr>
          </w:p>
        </w:tc>
        <w:tc>
          <w:tcPr>
            <w:tcW w:w="980" w:type="dxa"/>
            <w:vAlign w:val="bottom"/>
            <w:tcBorders>
              <w:top w:val="single" w:sz="8" w:color="auto"/>
            </w:tcBorders>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tcPr>
          <w:p>
            <w:pPr>
              <w:spacing w:after="0"/>
              <w:rPr>
                <w:sz w:val="15"/>
                <w:szCs w:val="15"/>
                <w:color w:val="auto"/>
              </w:rPr>
            </w:pPr>
          </w:p>
        </w:tc>
        <w:tc>
          <w:tcPr>
            <w:tcW w:w="740" w:type="dxa"/>
            <w:vAlign w:val="bottom"/>
            <w:tcBorders>
              <w:top w:val="single" w:sz="8" w:color="auto"/>
            </w:tcBorders>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5"/>
                <w:szCs w:val="15"/>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488,229</w:t>
            </w:r>
          </w:p>
        </w:tc>
        <w:tc>
          <w:tcPr>
            <w:tcW w:w="8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(339,919)</w:t>
            </w:r>
          </w:p>
        </w:tc>
        <w:tc>
          <w:tcPr>
            <w:tcW w:w="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(5,062)</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143,314</w:t>
            </w:r>
          </w:p>
        </w:tc>
        <w:tc>
          <w:tcPr>
            <w:tcW w:w="0" w:type="dxa"/>
            <w:vAlign w:val="bottom"/>
          </w:tcPr>
          <w:p>
            <w:pPr>
              <w:spacing w:after="0"/>
              <w:rPr>
                <w:sz w:val="1"/>
                <w:szCs w:val="1"/>
                <w:color w:val="auto"/>
              </w:rPr>
            </w:pPr>
          </w:p>
        </w:tc>
      </w:tr>
      <w:tr>
        <w:trPr>
          <w:trHeight w:val="132"/>
        </w:trPr>
        <w:tc>
          <w:tcPr>
            <w:tcW w:w="2580" w:type="dxa"/>
            <w:vAlign w:val="bottom"/>
            <w:shd w:val="clear" w:color="auto" w:fill="CCEEFF"/>
          </w:tcPr>
          <w:p>
            <w:pPr>
              <w:ind w:left="220"/>
              <w:spacing w:after="0" w:line="132" w:lineRule="exact"/>
              <w:rPr>
                <w:sz w:val="20"/>
                <w:szCs w:val="20"/>
                <w:color w:val="auto"/>
              </w:rPr>
            </w:pPr>
            <w:r>
              <w:rPr>
                <w:rFonts w:ascii="Arial" w:cs="Arial" w:eastAsia="Arial" w:hAnsi="Arial"/>
                <w:sz w:val="14"/>
                <w:szCs w:val="14"/>
                <w:color w:val="auto"/>
                <w:w w:val="95"/>
              </w:rPr>
              <w:t>Common stock issued upon exercise of</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544,693</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7,072</w:t>
            </w:r>
          </w:p>
        </w:tc>
        <w:tc>
          <w:tcPr>
            <w:tcW w:w="0" w:type="dxa"/>
            <w:vAlign w:val="bottom"/>
          </w:tcPr>
          <w:p>
            <w:pPr>
              <w:spacing w:after="0"/>
              <w:rPr>
                <w:sz w:val="1"/>
                <w:szCs w:val="1"/>
                <w:color w:val="auto"/>
              </w:rPr>
            </w:pPr>
          </w:p>
        </w:tc>
      </w:tr>
      <w:tr>
        <w:trPr>
          <w:trHeight w:val="184"/>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w:t>
            </w:r>
          </w:p>
        </w:tc>
        <w:tc>
          <w:tcPr>
            <w:tcW w:w="9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80" w:type="dxa"/>
            <w:vAlign w:val="bottom"/>
            <w:gridSpan w:val="2"/>
            <w:vMerge w:val="continue"/>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8"/>
              </w:rPr>
              <w:t>Common stock issued upon vesting of</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162,346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RSU</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9,423</w:t>
            </w:r>
          </w:p>
        </w:tc>
        <w:tc>
          <w:tcPr>
            <w:tcW w:w="0" w:type="dxa"/>
            <w:vAlign w:val="bottom"/>
          </w:tcPr>
          <w:p>
            <w:pPr>
              <w:spacing w:after="0"/>
              <w:rPr>
                <w:sz w:val="1"/>
                <w:szCs w:val="1"/>
                <w:color w:val="auto"/>
              </w:rPr>
            </w:pPr>
          </w:p>
        </w:tc>
      </w:tr>
      <w:tr>
        <w:trPr>
          <w:trHeight w:val="131"/>
        </w:trPr>
        <w:tc>
          <w:tcPr>
            <w:tcW w:w="2580" w:type="dxa"/>
            <w:vAlign w:val="bottom"/>
          </w:tcPr>
          <w:p>
            <w:pPr>
              <w:ind w:left="220"/>
              <w:spacing w:after="0" w:line="131" w:lineRule="exact"/>
              <w:rPr>
                <w:sz w:val="20"/>
                <w:szCs w:val="20"/>
                <w:color w:val="auto"/>
              </w:rPr>
            </w:pPr>
            <w:r>
              <w:rPr>
                <w:rFonts w:ascii="Arial" w:cs="Arial" w:eastAsia="Arial" w:hAnsi="Arial"/>
                <w:sz w:val="14"/>
                <w:szCs w:val="14"/>
                <w:color w:val="auto"/>
                <w:w w:val="96"/>
              </w:rPr>
              <w:t>Common stock issued under Employee</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18,783</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1"/>
                <w:szCs w:val="11"/>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Purchase Plan</w:t>
            </w: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(38,710)</w:t>
            </w:r>
          </w:p>
        </w:tc>
        <w:tc>
          <w:tcPr>
            <w:tcW w:w="0" w:type="dxa"/>
            <w:vAlign w:val="bottom"/>
          </w:tcPr>
          <w:p>
            <w:pPr>
              <w:spacing w:after="0"/>
              <w:rPr>
                <w:sz w:val="1"/>
                <w:szCs w:val="1"/>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Other comprehensive loss</w:t>
            </w: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2,292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2,292</w:t>
            </w:r>
          </w:p>
        </w:tc>
        <w:tc>
          <w:tcPr>
            <w:tcW w:w="0" w:type="dxa"/>
            <w:vAlign w:val="bottom"/>
          </w:tcPr>
          <w:p>
            <w:pPr>
              <w:spacing w:after="0"/>
              <w:rPr>
                <w:sz w:val="1"/>
                <w:szCs w:val="1"/>
                <w:color w:val="auto"/>
              </w:rPr>
            </w:pPr>
          </w:p>
        </w:tc>
      </w:tr>
      <w:tr>
        <w:trPr>
          <w:trHeight w:val="204"/>
        </w:trPr>
        <w:tc>
          <w:tcPr>
            <w:tcW w:w="2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69,457,299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4"/>
                <w:szCs w:val="14"/>
                <w:b w:val="1"/>
                <w:bCs w:val="1"/>
                <w:color w:val="auto"/>
                <w:w w:val="89"/>
              </w:rPr>
              <w:t>(2,709,830)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4"/>
                <w:szCs w:val="14"/>
                <w:b w:val="1"/>
                <w:bCs w:val="1"/>
                <w:color w:val="auto"/>
                <w:w w:val="76"/>
              </w:rPr>
              <w:t>$</w:t>
            </w:r>
          </w:p>
        </w:tc>
        <w:tc>
          <w:tcPr>
            <w:tcW w:w="24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505,028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(378,629)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123,695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9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920" w:right="339" w:bottom="1440" w:gutter="0" w:footer="0" w:header="0"/>
        </w:sectPr>
      </w:pPr>
    </w:p>
    <w:bookmarkStart w:id="8" w:name="page9"/>
    <w:bookmarkEnd w:id="8"/>
    <w:p>
      <w:pPr>
        <w:jc w:val="center"/>
        <w:ind w:left="400"/>
        <w:spacing w:after="0"/>
        <w:rPr>
          <w:sz w:val="20"/>
          <w:szCs w:val="20"/>
          <w:color w:val="auto"/>
        </w:rPr>
      </w:pPr>
      <w:r>
        <w:rPr>
          <w:rFonts w:ascii="Arial" w:cs="Arial" w:eastAsia="Arial" w:hAnsi="Arial"/>
          <w:sz w:val="18"/>
          <w:szCs w:val="18"/>
          <w:b w:val="1"/>
          <w:bCs w:val="1"/>
          <w:color w:val="auto"/>
        </w:rPr>
        <w:t>LIVEPERSON, INC.</w:t>
      </w:r>
    </w:p>
    <w:p>
      <w:pPr>
        <w:spacing w:after="0" w:line="10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1"/>
              </w:rPr>
              <w:t>Nine Months Ended</w:t>
            </w:r>
          </w:p>
        </w:tc>
        <w:tc>
          <w:tcPr>
            <w:tcW w:w="840" w:type="dxa"/>
            <w:vAlign w:val="bottom"/>
          </w:tcPr>
          <w:p>
            <w:pPr>
              <w:spacing w:after="0"/>
              <w:rPr>
                <w:sz w:val="15"/>
                <w:szCs w:val="15"/>
                <w:color w:val="auto"/>
              </w:rPr>
            </w:pPr>
          </w:p>
        </w:tc>
      </w:tr>
      <w:tr>
        <w:trPr>
          <w:trHeight w:val="189"/>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42"/>
              <w:spacing w:after="0"/>
              <w:rPr>
                <w:sz w:val="20"/>
                <w:szCs w:val="20"/>
                <w:color w:val="auto"/>
              </w:rPr>
            </w:pPr>
            <w:r>
              <w:rPr>
                <w:rFonts w:ascii="Arial" w:cs="Arial" w:eastAsia="Arial" w:hAnsi="Arial"/>
                <w:sz w:val="14"/>
                <w:szCs w:val="14"/>
                <w:b w:val="1"/>
                <w:bCs w:val="1"/>
                <w:color w:val="auto"/>
                <w:w w:val="87"/>
              </w:rPr>
              <w:t>September 30,</w:t>
            </w:r>
          </w:p>
        </w:tc>
        <w:tc>
          <w:tcPr>
            <w:tcW w:w="840" w:type="dxa"/>
            <w:vAlign w:val="bottom"/>
            <w:tcBorders>
              <w:bottom w:val="single" w:sz="8" w:color="auto"/>
            </w:tcBorders>
          </w:tcPr>
          <w:p>
            <w:pPr>
              <w:spacing w:after="0"/>
              <w:rPr>
                <w:sz w:val="16"/>
                <w:szCs w:val="16"/>
                <w:color w:val="auto"/>
              </w:rPr>
            </w:pPr>
          </w:p>
        </w:tc>
      </w:tr>
      <w:tr>
        <w:trPr>
          <w:trHeight w:val="190"/>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w w:val="83"/>
              </w:rPr>
              <w:t>2020</w:t>
            </w:r>
          </w:p>
        </w:tc>
      </w:tr>
      <w:tr>
        <w:trPr>
          <w:trHeight w:val="182"/>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center"/>
              <w:ind w:left="442"/>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8360" w:type="dxa"/>
            <w:vAlign w:val="bottom"/>
          </w:tcPr>
          <w:p>
            <w:pPr>
              <w:ind w:left="34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(75,121)</w:t>
            </w:r>
          </w:p>
        </w:tc>
        <w:tc>
          <w:tcPr>
            <w:tcW w:w="120" w:type="dxa"/>
            <w:vAlign w:val="bottom"/>
          </w:tcPr>
          <w:p>
            <w:pPr>
              <w:spacing w:after="0"/>
              <w:rPr>
                <w:sz w:val="17"/>
                <w:szCs w:val="17"/>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(94,338)</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47,967</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46,171</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20,471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17,223</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Non-cash restructuring costs</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19,085</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Amortization of purchased intangibles and finance leases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2,073</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Amortization of debt issuance costs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Accretion of debt discount on convertible senior notes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24,770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7,227</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Changes in fair value of contingent consideration</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(263)</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Allowance for credit losses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2,627</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Gain on settlement of leases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(3,483)</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Deferred income taxes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8360" w:type="dxa"/>
            <w:vAlign w:val="bottom"/>
          </w:tcPr>
          <w:p>
            <w:pPr>
              <w:ind w:left="46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19,231</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(10,269)</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(6,055)</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Contract acquisition costs noncurrent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Accounts payable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(4,572)</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Accrued expenses and other current liabilities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22,176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36,904</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07"/>
        </w:trPr>
        <w:tc>
          <w:tcPr>
            <w:tcW w:w="8360" w:type="dxa"/>
            <w:vAlign w:val="bottom"/>
          </w:tcPr>
          <w:p>
            <w:pPr>
              <w:ind w:left="660"/>
              <w:spacing w:after="0"/>
              <w:rPr>
                <w:sz w:val="20"/>
                <w:szCs w:val="20"/>
                <w:color w:val="auto"/>
              </w:rPr>
            </w:pPr>
            <w:r>
              <w:rPr>
                <w:rFonts w:ascii="Arial" w:cs="Arial" w:eastAsia="Arial" w:hAnsi="Arial"/>
                <w:sz w:val="16"/>
                <w:szCs w:val="16"/>
                <w:color w:val="auto"/>
              </w:rPr>
              <w:t>Operating lease liabilities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(4,018)</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w:t>
            </w:r>
          </w:p>
        </w:tc>
      </w:tr>
      <w:tr>
        <w:trPr>
          <w:trHeight w:val="213"/>
        </w:trPr>
        <w:tc>
          <w:tcPr>
            <w:tcW w:w="8360" w:type="dxa"/>
            <w:vAlign w:val="bottom"/>
            <w:shd w:val="clear" w:color="auto" w:fill="CCEEFF"/>
          </w:tcPr>
          <w:p>
            <w:pPr>
              <w:ind w:left="66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00"/>
        </w:trPr>
        <w:tc>
          <w:tcPr>
            <w:tcW w:w="8360" w:type="dxa"/>
            <w:vAlign w:val="bottom"/>
            <w:tcBorders>
              <w:bottom w:val="single" w:sz="8" w:color="CCEEFF"/>
            </w:tcBorders>
          </w:tcPr>
          <w:p>
            <w:pPr>
              <w:ind w:left="84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35,642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37,655</w:t>
            </w:r>
          </w:p>
        </w:tc>
      </w:tr>
      <w:tr>
        <w:trPr>
          <w:trHeight w:val="88"/>
        </w:trPr>
        <w:tc>
          <w:tcPr>
            <w:tcW w:w="836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Purchases of property and equipment, including capitalized software</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(33,821)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(32,904)</w:t>
            </w:r>
          </w:p>
        </w:tc>
      </w:tr>
      <w:tr>
        <w:trPr>
          <w:trHeight w:val="207"/>
        </w:trPr>
        <w:tc>
          <w:tcPr>
            <w:tcW w:w="8360" w:type="dxa"/>
            <w:vAlign w:val="bottom"/>
          </w:tcPr>
          <w:p>
            <w:pPr>
              <w:ind w:left="360"/>
              <w:spacing w:after="0"/>
              <w:rPr>
                <w:sz w:val="20"/>
                <w:szCs w:val="20"/>
                <w:color w:val="auto"/>
              </w:rPr>
            </w:pPr>
            <w:r>
              <w:rPr>
                <w:rFonts w:ascii="Arial" w:cs="Arial" w:eastAsia="Arial" w:hAnsi="Arial"/>
                <w:sz w:val="16"/>
                <w:szCs w:val="16"/>
                <w:color w:val="auto"/>
              </w:rPr>
              <w:t>Payments for acquisition, net of cash acquired</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(23,014)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Repayment of debt acquired in acquisition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(1,955)</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for intangible assets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(1,931)</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(1,259)</w:t>
            </w:r>
          </w:p>
        </w:tc>
      </w:tr>
      <w:tr>
        <w:trPr>
          <w:trHeight w:val="203"/>
        </w:trPr>
        <w:tc>
          <w:tcPr>
            <w:tcW w:w="83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(60,721)</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(34,163)</w:t>
            </w:r>
          </w:p>
        </w:tc>
      </w:tr>
      <w:tr>
        <w:trPr>
          <w:trHeight w:val="88"/>
        </w:trPr>
        <w:tc>
          <w:tcPr>
            <w:tcW w:w="83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40" w:type="dxa"/>
            <w:vAlign w:val="bottom"/>
          </w:tcPr>
          <w:p>
            <w:pPr>
              <w:spacing w:after="0"/>
              <w:rPr>
                <w:sz w:val="7"/>
                <w:szCs w:val="7"/>
                <w:color w:val="auto"/>
              </w:rPr>
            </w:pPr>
          </w:p>
        </w:tc>
      </w:tr>
      <w:tr>
        <w:trPr>
          <w:trHeight w:val="210"/>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8360" w:type="dxa"/>
            <w:vAlign w:val="bottom"/>
          </w:tcPr>
          <w:p>
            <w:pPr>
              <w:ind w:left="360"/>
              <w:spacing w:after="0"/>
              <w:rPr>
                <w:sz w:val="20"/>
                <w:szCs w:val="20"/>
                <w:color w:val="auto"/>
              </w:rPr>
            </w:pPr>
            <w:r>
              <w:rPr>
                <w:rFonts w:ascii="Arial" w:cs="Arial" w:eastAsia="Arial" w:hAnsi="Arial"/>
                <w:sz w:val="16"/>
                <w:szCs w:val="16"/>
                <w:color w:val="auto"/>
              </w:rPr>
              <w:t>Principal payments for financing leases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(2,604)</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Proceeds from issuance of common stock in connection with the exercise of options and ESPP</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13,127</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17,147</w:t>
            </w:r>
          </w:p>
        </w:tc>
      </w:tr>
      <w:tr>
        <w:trPr>
          <w:trHeight w:val="207"/>
        </w:trPr>
        <w:tc>
          <w:tcPr>
            <w:tcW w:w="8360" w:type="dxa"/>
            <w:vAlign w:val="bottom"/>
            <w:tcBorders>
              <w:bottom w:val="single" w:sz="8" w:color="CCEEFF"/>
            </w:tcBorders>
          </w:tcPr>
          <w:p>
            <w:pPr>
              <w:ind w:left="360"/>
              <w:spacing w:after="0"/>
              <w:rPr>
                <w:sz w:val="20"/>
                <w:szCs w:val="20"/>
                <w:color w:val="auto"/>
              </w:rPr>
            </w:pPr>
            <w:r>
              <w:rPr>
                <w:rFonts w:ascii="Arial" w:cs="Arial" w:eastAsia="Arial" w:hAnsi="Arial"/>
                <w:sz w:val="16"/>
                <w:szCs w:val="16"/>
                <w:color w:val="auto"/>
              </w:rPr>
              <w:t>Payments on conversion of convertible senior notes</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60" w:type="dxa"/>
            <w:vAlign w:val="bottom"/>
            <w:shd w:val="clear" w:color="auto" w:fill="CCEEFF"/>
          </w:tcPr>
          <w:p>
            <w:pPr>
              <w:ind w:left="84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10,521</w:t>
            </w:r>
          </w:p>
        </w:tc>
        <w:tc>
          <w:tcPr>
            <w:tcW w:w="120" w:type="dxa"/>
            <w:vAlign w:val="bottom"/>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17,147</w:t>
            </w:r>
          </w:p>
        </w:tc>
      </w:tr>
      <w:tr>
        <w:trPr>
          <w:trHeight w:val="200"/>
        </w:trPr>
        <w:tc>
          <w:tcPr>
            <w:tcW w:w="8360" w:type="dxa"/>
            <w:vAlign w:val="bottom"/>
          </w:tcPr>
          <w:p>
            <w:pPr>
              <w:ind w:left="20"/>
              <w:spacing w:after="0"/>
              <w:rPr>
                <w:sz w:val="20"/>
                <w:szCs w:val="20"/>
                <w:color w:val="auto"/>
              </w:rPr>
            </w:pPr>
            <w:r>
              <w:rPr>
                <w:rFonts w:ascii="Arial" w:cs="Arial" w:eastAsia="Arial" w:hAnsi="Arial"/>
                <w:sz w:val="16"/>
                <w:szCs w:val="16"/>
                <w:color w:val="auto"/>
              </w:rPr>
              <w:t>Effect of foreign exchange rate changes on cash and cash equivalents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(5,072)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1,532</w:t>
            </w:r>
          </w:p>
        </w:tc>
      </w:tr>
      <w:tr>
        <w:trPr>
          <w:trHeight w:val="213"/>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increase (decrease) in cash, cash equivalents, and restricted cash</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(19,630)</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22,171</w:t>
            </w:r>
          </w:p>
        </w:tc>
      </w:tr>
      <w:tr>
        <w:trPr>
          <w:trHeight w:val="20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 beginning of year</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654,152</w:t>
            </w:r>
          </w:p>
        </w:tc>
        <w:tc>
          <w:tcPr>
            <w:tcW w:w="12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176,523</w:t>
            </w:r>
          </w:p>
        </w:tc>
      </w:tr>
      <w:tr>
        <w:trPr>
          <w:trHeight w:val="231"/>
        </w:trPr>
        <w:tc>
          <w:tcPr>
            <w:tcW w:w="8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 end of year</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634,522</w:t>
            </w: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198,694</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3"/>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r>
      <w:tr>
        <w:trPr>
          <w:trHeight w:val="189"/>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0"/>
        </w:trPr>
        <w:tc>
          <w:tcPr>
            <w:tcW w:w="83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w w:val="83"/>
              </w:rPr>
              <w:t>2020</w:t>
            </w:r>
          </w:p>
        </w:tc>
      </w:tr>
      <w:tr>
        <w:trPr>
          <w:trHeight w:val="182"/>
        </w:trPr>
        <w:tc>
          <w:tcPr>
            <w:tcW w:w="8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r>
      <w:tr>
        <w:trPr>
          <w:trHeight w:val="211"/>
        </w:trPr>
        <w:tc>
          <w:tcPr>
            <w:tcW w:w="8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Reconciliation of cash, cash equivalents, and restricted cash to condensed consolidated balance sheets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836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633,042</w:t>
            </w:r>
          </w:p>
        </w:tc>
        <w:tc>
          <w:tcPr>
            <w:tcW w:w="120" w:type="dxa"/>
            <w:vAlign w:val="bottom"/>
          </w:tcPr>
          <w:p>
            <w:pPr>
              <w:spacing w:after="0"/>
              <w:rPr>
                <w:sz w:val="17"/>
                <w:szCs w:val="17"/>
                <w:color w:val="auto"/>
              </w:rPr>
            </w:pPr>
          </w:p>
        </w:tc>
        <w:tc>
          <w:tcPr>
            <w:tcW w:w="540" w:type="dxa"/>
            <w:vAlign w:val="bottom"/>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198,694</w:t>
            </w:r>
          </w:p>
        </w:tc>
      </w:tr>
      <w:tr>
        <w:trPr>
          <w:trHeight w:val="210"/>
        </w:trPr>
        <w:tc>
          <w:tcPr>
            <w:tcW w:w="83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Restricted cash in prepaid expenses and other current assets</w:t>
            </w: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1,480</w:t>
            </w:r>
          </w:p>
        </w:tc>
        <w:tc>
          <w:tcPr>
            <w:tcW w:w="1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360" w:type="dxa"/>
            <w:vAlign w:val="bottom"/>
          </w:tcPr>
          <w:p>
            <w:pPr>
              <w:ind w:left="120"/>
              <w:spacing w:after="0"/>
              <w:rPr>
                <w:sz w:val="20"/>
                <w:szCs w:val="20"/>
                <w:color w:val="auto"/>
              </w:rPr>
            </w:pPr>
            <w:r>
              <w:rPr>
                <w:rFonts w:ascii="Arial" w:cs="Arial" w:eastAsia="Arial" w:hAnsi="Arial"/>
                <w:sz w:val="16"/>
                <w:szCs w:val="16"/>
                <w:color w:val="auto"/>
              </w:rPr>
              <w:t>Total cash, cash equivalents, and restricted cash</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634,522</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198,694</w:t>
            </w:r>
          </w:p>
        </w:tc>
      </w:tr>
      <w:tr>
        <w:trPr>
          <w:trHeight w:val="20"/>
        </w:trPr>
        <w:tc>
          <w:tcPr>
            <w:tcW w:w="8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1"/>
        </w:trPr>
        <w:tc>
          <w:tcPr>
            <w:tcW w:w="83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Supplemental disclosure of other cash flow information:</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paid for income taxes</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4,321</w:t>
            </w: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Cash paid for interest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1,981</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1,843</w:t>
            </w:r>
          </w:p>
        </w:tc>
      </w:tr>
      <w:tr>
        <w:trPr>
          <w:trHeight w:val="108"/>
        </w:trPr>
        <w:tc>
          <w:tcPr>
            <w:tcW w:w="83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r>
      <w:tr>
        <w:trPr>
          <w:trHeight w:val="207"/>
        </w:trPr>
        <w:tc>
          <w:tcPr>
            <w:tcW w:w="8360" w:type="dxa"/>
            <w:vAlign w:val="bottom"/>
          </w:tcPr>
          <w:p>
            <w:pPr>
              <w:ind w:left="20"/>
              <w:spacing w:after="0"/>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 recorded in accounts payable</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Issuance of 11,508 shares of common stock as earn-out payment in connection with AdvantageTec Inc.</w:t>
            </w:r>
          </w:p>
        </w:tc>
        <w:tc>
          <w:tcPr>
            <w:tcW w:w="3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shares of common stock to settle cash awards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33,503</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24,656</w:t>
            </w: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Right of use assets obtained in exchange for operating lease liabilities</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1,856</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Supplemental disclosure of non-cash financing activities related to the e-bot7 acquisition:</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07"/>
        </w:trPr>
        <w:tc>
          <w:tcPr>
            <w:tcW w:w="8360" w:type="dxa"/>
            <w:vAlign w:val="bottom"/>
          </w:tcPr>
          <w:p>
            <w:pPr>
              <w:ind w:left="140"/>
              <w:spacing w:after="0"/>
              <w:rPr>
                <w:sz w:val="20"/>
                <w:szCs w:val="20"/>
                <w:color w:val="auto"/>
              </w:rPr>
            </w:pPr>
            <w:r>
              <w:rPr>
                <w:rFonts w:ascii="Arial" w:cs="Arial" w:eastAsia="Arial" w:hAnsi="Arial"/>
                <w:sz w:val="16"/>
                <w:szCs w:val="16"/>
                <w:color w:val="auto"/>
              </w:rPr>
              <w:t>Issuance of 351,462 shares of common stock</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20,012</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contingent earn-out recorded in other long-term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185"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0" w:name="page11"/>
    <w:bookmarkEnd w:id="10"/>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 and Basis of Presentation</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LivePerson, Inc. (“LivePerson”, the “Company”, “we”, “our” or “us”)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The Company's technology enables consumers to connect with businesses through these same preferred conversational interfaces, including Facebook Messenger, SMS, WhatsApp, Apple Business Chat, Google Rich Business Messenger, and Alexa. These messaging conversations harness human agents, bots, and Artificial Intelligence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203"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The Conversational Cloud, LivePerson's enterprise-class cloud-based platform,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short message service (“SMS”), social media, and third-party consumer messaging platforms. Brands can also use the Conversational Cloud to message consumers when they dial a 1-800 number instead of forcing them to navigate interactive voice response systems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93"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Payment Card Industry (“PCI”) compliance, cobrowsing, and a sophisticated proactive targeting engine. An extensible application programming interface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90" w:lineRule="exact"/>
        <w:rPr>
          <w:sz w:val="20"/>
          <w:szCs w:val="20"/>
          <w:color w:val="auto"/>
        </w:rPr>
      </w:pPr>
    </w:p>
    <w:p>
      <w:pPr>
        <w:jc w:val="both"/>
        <w:ind w:firstLine="420"/>
        <w:spacing w:after="0" w:line="246" w:lineRule="auto"/>
        <w:rPr>
          <w:sz w:val="20"/>
          <w:szCs w:val="20"/>
          <w:color w:val="auto"/>
        </w:rPr>
      </w:pPr>
      <w:r>
        <w:rPr>
          <w:rFonts w:ascii="Arial" w:cs="Arial" w:eastAsia="Arial" w:hAnsi="Arial"/>
          <w:sz w:val="18"/>
          <w:szCs w:val="18"/>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LivePerson calls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222"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LivePerson’s consumer services offering is an online marketplace that connects independent service providers (“Experts”) who provide information and knowledge for a fee via mobile and online messaging with individual consumers (“Users”). Users seek assistance and advice in various categories including personal counseling and coaching, computers and programming, education and tutoring, spirituality and religion, and other topics.</w:t>
      </w:r>
    </w:p>
    <w:p>
      <w:pPr>
        <w:spacing w:after="0" w:line="181"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LivePerson was incorporated in the State of Delaware in November 1995 and the LivePerson service was introduced in November 1998. In April 2000, the Company completed an initial public offering and is currently traded on the NASDAQ Global Select Market and the Tel Aviv Stock Exchange. LivePerson is headquartered in New York City. In light of the COVID-19 pandemic and the Company’s strong performance working remotely, the Company has adopted an “employee-centric” workforce model that does not rely on traditional offices. During the second quarter of 2021, the Company decided to reoccupy some of its leased space to provide its employees with the option of working in an office space environment if they choose to do so.</w:t>
      </w:r>
    </w:p>
    <w:p>
      <w:pPr>
        <w:spacing w:after="0" w:line="200" w:lineRule="exact"/>
        <w:rPr>
          <w:sz w:val="20"/>
          <w:szCs w:val="20"/>
          <w:color w:val="auto"/>
        </w:rPr>
      </w:pPr>
    </w:p>
    <w:p>
      <w:pPr>
        <w:spacing w:after="0" w:line="33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1" w:name="page12"/>
    <w:bookmarkEnd w:id="11"/>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39"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The accompanying condensed consolidated financial statements as of September 30, 2021 and for the three and nine months ended September 30, 2021 and 2020 are unaudited. In the opinion of management, the unaudited condensed consolidated financial statements have been prepared on the same basis as the annual financial statements and reflect all adjustments, which include only normal recurring adjustments, necessary to present fairly the consolidated financial position of LivePerson as of September 30, 2021, and the consolidated results of operations, comprehensive loss, and cash flows for the interim periods ended September 30, 2021 and 2020. The financial data and other information disclosed in these notes to the condensed consolidated financial statements related to these periods are unaudited. The results of operations for any interim period are not necessarily indicative of the results of operations for any other future interim period or for a full fiscal year. The condensed consolidated balance sheet as of December 31, 2020 has been derived from audited consolidated financial statements at that date.</w:t>
      </w:r>
    </w:p>
    <w:p>
      <w:pPr>
        <w:spacing w:after="0" w:line="193"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Certain information and note disclosures normally included in financial statements prepared in accordance with generally accepted accounting principles in the United States (“GAAP”) have been condensed or omitted pursuant to the rules and regulations of the Securities and Exchange Commission (the “SEC”). These unaudited interim condensed consolidated financial statements should be read in conjunction with the Company’s audited consolidated financial statements and notes thereto for the year ended December 31, 2020 included in the Company’s Annual Report on Form 10-K filed with the SEC on March 8,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condensed consolidated financial statements include the Company and its wholly-owned subsidiaries. All intercompany balances and transactions have been eliminated.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preparation of the Company’s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income and expenses during the reporting period. These estimates are based on information available as of the date of the condensed consolidated financial statements; therefore, actual results could differ from management’s estimates.</w:t>
      </w:r>
    </w:p>
    <w:p>
      <w:pPr>
        <w:spacing w:after="0" w:line="18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Many of the Company’s estimates require increased judgment due to the significant volatility, uncertainty and economic disruption of the COVID-19 pandemic. The Company continues to monitor the effects of the COVID-19 pandemic, and its estimates and judgments may change materially as new events occur or additional information becomes available.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Translation</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Company’s operations are conducted in various countries around the world and the financial statements of its foreign subsidiaries are reported in the applicable foreign currencies (functional currencies). Financial information is translated from the applicable functional currency to the U.S. dollar (the reporting currency) for inclusion in the Company’s consolidated financial statements. Income, expenses, and cash flows are translated at weighted average exchange rates prevailing during the fiscal period, and assets and liabilities are translated at fiscal period-end exchange rates. Resulting translation adjustments are included as a component of Accumulated other comprehensive income (loss) in stockholders’ equity. Foreign exchange transaction gain or losses are included in Other income (expense), net in the accompanying consolidated statements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i w:val="1"/>
          <w:iCs w:val="1"/>
          <w:color w:val="auto"/>
        </w:rPr>
        <w:t xml:space="preserve">Debt - Debt with Conversion and Other Options (Subtopic 470-20) and Derivatives and Hedging - Contracts in Entity's Own Equity (Subtopic 815-40): Accounting for Convertible Instruments and Contracts in an Entity’s Own Equity. </w:t>
      </w:r>
      <w:r>
        <w:rPr>
          <w:rFonts w:ascii="Arial" w:cs="Arial" w:eastAsia="Arial" w:hAnsi="Arial"/>
          <w:sz w:val="16"/>
          <w:szCs w:val="16"/>
          <w:color w:val="auto"/>
        </w:rPr>
        <w:t>In August 2020, the Financial Accounting Standards Board (“FASB”) issued</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Standards Update (“ASU”) 2020-06 which simplifies the accounting for convertible instruments by eliminating existing accounting models that require separation of a cash conversion or beneficial conversion feature from the host contract. Accordingly, a convertible debt instrument will be accounted as a single liability measured at its amortized cost and a convertible preferred stock will be accounted as a single equity instrument measured at its historical cost, as long as no other embedded features require bifurcation as derivatives and</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2" w:name="page13"/>
    <w:bookmarkEnd w:id="12"/>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convertible debt was not issued at a substantial premium. The ASU also simplifies the derivative scope exception for accounting for contracts in an entity’s own equity by:</w:t>
      </w:r>
    </w:p>
    <w:p>
      <w:pPr>
        <w:spacing w:after="0" w:line="77" w:lineRule="exact"/>
        <w:rPr>
          <w:sz w:val="20"/>
          <w:szCs w:val="20"/>
          <w:color w:val="auto"/>
        </w:rPr>
      </w:pPr>
    </w:p>
    <w:p>
      <w:pPr>
        <w:ind w:left="1260" w:hanging="41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removing certain conditions required to meet the settlement criterion</w:t>
      </w:r>
    </w:p>
    <w:p>
      <w:pPr>
        <w:spacing w:after="0" w:line="108" w:lineRule="exact"/>
        <w:rPr>
          <w:rFonts w:ascii="Arial" w:cs="Arial" w:eastAsia="Arial" w:hAnsi="Arial"/>
          <w:sz w:val="18"/>
          <w:szCs w:val="18"/>
          <w:color w:val="auto"/>
        </w:rPr>
      </w:pPr>
    </w:p>
    <w:p>
      <w:pPr>
        <w:ind w:left="1260" w:right="160" w:hanging="415"/>
        <w:spacing w:after="0" w:line="260" w:lineRule="auto"/>
        <w:tabs>
          <w:tab w:leader="none" w:pos="1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clarifying that instruments that are not indexed to the issuer’s own stock must be remeasured at fair value through earnings at each reporting period</w:t>
      </w:r>
    </w:p>
    <w:p>
      <w:pPr>
        <w:spacing w:after="0" w:line="76" w:lineRule="exact"/>
        <w:rPr>
          <w:rFonts w:ascii="Arial" w:cs="Arial" w:eastAsia="Arial" w:hAnsi="Arial"/>
          <w:sz w:val="18"/>
          <w:szCs w:val="18"/>
          <w:color w:val="auto"/>
        </w:rPr>
      </w:pPr>
    </w:p>
    <w:p>
      <w:pPr>
        <w:ind w:left="1260" w:hanging="415"/>
        <w:spacing w:after="0"/>
        <w:tabs>
          <w:tab w:leader="none" w:pos="1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clarifying the scope of reassessment guidance and disclosure requirements in Subtopic 815-40.</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ASU also makes targeted improvements to the disclosure requirements for convertible instruments and earnings-per-share guidance.</w:t>
      </w:r>
    </w:p>
    <w:p>
      <w:pPr>
        <w:spacing w:after="0" w:line="262" w:lineRule="exact"/>
        <w:rPr>
          <w:sz w:val="20"/>
          <w:szCs w:val="20"/>
          <w:color w:val="auto"/>
        </w:rPr>
      </w:pPr>
    </w:p>
    <w:p>
      <w:pPr>
        <w:ind w:right="20" w:firstLine="420"/>
        <w:spacing w:after="0" w:line="252" w:lineRule="auto"/>
        <w:rPr>
          <w:sz w:val="20"/>
          <w:szCs w:val="20"/>
          <w:color w:val="auto"/>
        </w:rPr>
      </w:pPr>
      <w:r>
        <w:rPr>
          <w:rFonts w:ascii="Arial" w:cs="Arial" w:eastAsia="Arial" w:hAnsi="Arial"/>
          <w:sz w:val="18"/>
          <w:szCs w:val="18"/>
          <w:color w:val="auto"/>
        </w:rPr>
        <w:t>For SEC filers, excluding smaller reporting companies, the ASU is effective for fiscal years beginning after December 15, 2021, including interim periods within those fiscal years. The ASU specifies that the guidance should be adopted as of the beginning of the annual fiscal year. The Company is assessing what impact ASU 2020-06 will have on its condensed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9"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i w:val="1"/>
          <w:iCs w:val="1"/>
          <w:color w:val="auto"/>
        </w:rPr>
        <w:t xml:space="preserve">Income Taxes (Topic 740): Simplifying the Accounting for Income Taxes. </w:t>
      </w:r>
      <w:r>
        <w:rPr>
          <w:rFonts w:ascii="Arial" w:cs="Arial" w:eastAsia="Arial" w:hAnsi="Arial"/>
          <w:sz w:val="16"/>
          <w:szCs w:val="16"/>
          <w:color w:val="auto"/>
        </w:rPr>
        <w:t>In December 2019, the FASB issued ASU 2019-12, which is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simplify the accounting for income taxes by removing certain exceptions and by updating accounting requirements around franchise taxes, goodwill recognized for tax purposes, the allocation of current and deferred tax expenses among legal entities, among other minor changes. The ASU is effective for fiscal years beginning after December 15, 2020, including interim periods within those fiscal years. Early adoption is permitted. The Company adopted ASU 2019-12 in the first quarter of 2021 and determined that the ASU had no material impact on its condensed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Revenue Recognition</w:t>
      </w:r>
    </w:p>
    <w:p>
      <w:pPr>
        <w:spacing w:after="0" w:line="24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The majority of the Company's revenue is generated from monthly service revenues, which is inclusive of its platform usage pricing model, and related professional services from the sale of its services. Revenues are recognized when control of these services is transferred to its customers, in an amount that reflects the consideration it expects to be entitled to in exchange for those services. No single customer accounted for 10% or more of its total revenue for the nine months ended September 30, 2021.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39"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As of September 30, 2021, the aggregate amount of the total transaction price allocated in contracts with original duration of greater than one year to the remaining performance obligations was $370.3 million. Approximately 92% of the Company's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39"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Company records deferred revenues when cash payments are received or due in advance of our performance. The increase in the deferred revenue balance as of September 30, 2021 is primarily driven by cash payments received or due in advance of its performance obligations, partially offset by $70.5 million of revenues recognized that were included in the deferred revenue balance as of December 31, 2020.</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3" w:name="page14"/>
    <w:bookmarkEnd w:id="13"/>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deferred revenue by revenue source: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63"/>
              <w:spacing w:after="0"/>
              <w:rPr>
                <w:sz w:val="20"/>
                <w:szCs w:val="20"/>
                <w:color w:val="auto"/>
              </w:rPr>
            </w:pPr>
            <w:r>
              <w:rPr>
                <w:rFonts w:ascii="Arial" w:cs="Arial" w:eastAsia="Arial" w:hAnsi="Arial"/>
                <w:sz w:val="14"/>
                <w:szCs w:val="14"/>
                <w:b w:val="1"/>
                <w:bCs w:val="1"/>
                <w:color w:val="auto"/>
              </w:rPr>
              <w:t>Deferred Revenue</w:t>
            </w:r>
          </w:p>
        </w:tc>
      </w:tr>
      <w:tr>
        <w:trPr>
          <w:trHeight w:val="130"/>
        </w:trPr>
        <w:tc>
          <w:tcPr>
            <w:tcW w:w="8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tcPr>
          <w:p>
            <w:pPr>
              <w:ind w:left="100"/>
              <w:spacing w:after="0" w:line="13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1"/>
                <w:szCs w:val="11"/>
                <w:color w:val="auto"/>
              </w:rPr>
            </w:pPr>
          </w:p>
        </w:tc>
        <w:tc>
          <w:tcPr>
            <w:tcW w:w="1220" w:type="dxa"/>
            <w:vAlign w:val="bottom"/>
          </w:tcPr>
          <w:p>
            <w:pPr>
              <w:jc w:val="right"/>
              <w:ind w:right="223"/>
              <w:spacing w:after="0" w:line="130" w:lineRule="exact"/>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77"/>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Hosted services – Business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100,694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86,144</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Hosted services – Consumer</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835</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 – Business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1,869</w:t>
            </w:r>
          </w:p>
        </w:tc>
      </w:tr>
      <w:tr>
        <w:trPr>
          <w:trHeight w:val="206"/>
        </w:trPr>
        <w:tc>
          <w:tcPr>
            <w:tcW w:w="8280" w:type="dxa"/>
            <w:vAlign w:val="bottom"/>
          </w:tcPr>
          <w:p>
            <w:pPr>
              <w:ind w:left="220"/>
              <w:spacing w:after="0"/>
              <w:rPr>
                <w:sz w:val="20"/>
                <w:szCs w:val="20"/>
                <w:color w:val="auto"/>
              </w:rPr>
            </w:pPr>
            <w:r>
              <w:rPr>
                <w:rFonts w:ascii="Arial" w:cs="Arial" w:eastAsia="Arial" w:hAnsi="Arial"/>
                <w:sz w:val="16"/>
                <w:szCs w:val="16"/>
                <w:color w:val="auto"/>
              </w:rPr>
              <w:t>Total deferred revenue - short term</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102,905</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88,848</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6"/>
        </w:trPr>
        <w:tc>
          <w:tcPr>
            <w:tcW w:w="8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Professional services – Business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409</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deferred revenue - long term</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revenues disaggregated by revenue source: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440" w:type="dxa"/>
            <w:vAlign w:val="bottom"/>
            <w:gridSpan w:val="4"/>
          </w:tcPr>
          <w:p>
            <w:pPr>
              <w:jc w:val="right"/>
              <w:ind w:right="24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Hosted services – Business</w:t>
            </w:r>
          </w:p>
        </w:tc>
        <w:tc>
          <w:tcPr>
            <w:tcW w:w="860" w:type="dxa"/>
            <w:vAlign w:val="bottom"/>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ind w:right="3"/>
              <w:spacing w:after="0"/>
              <w:rPr>
                <w:sz w:val="20"/>
                <w:szCs w:val="20"/>
                <w:color w:val="auto"/>
              </w:rPr>
            </w:pPr>
            <w:r>
              <w:rPr>
                <w:rFonts w:ascii="Arial" w:cs="Arial" w:eastAsia="Arial" w:hAnsi="Arial"/>
                <w:sz w:val="16"/>
                <w:szCs w:val="16"/>
                <w:color w:val="auto"/>
                <w:w w:val="98"/>
              </w:rPr>
              <w:t>93,234</w:t>
            </w:r>
          </w:p>
        </w:tc>
        <w:tc>
          <w:tcPr>
            <w:tcW w:w="100" w:type="dxa"/>
            <w:vAlign w:val="bottom"/>
          </w:tcPr>
          <w:p>
            <w:pPr>
              <w:spacing w:after="0"/>
              <w:rPr>
                <w:sz w:val="17"/>
                <w:szCs w:val="17"/>
                <w:color w:val="auto"/>
              </w:rPr>
            </w:pPr>
          </w:p>
        </w:tc>
        <w:tc>
          <w:tcPr>
            <w:tcW w:w="900" w:type="dxa"/>
            <w:vAlign w:val="bottom"/>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3"/>
              <w:spacing w:after="0"/>
              <w:rPr>
                <w:sz w:val="20"/>
                <w:szCs w:val="20"/>
                <w:color w:val="auto"/>
              </w:rPr>
            </w:pPr>
            <w:r>
              <w:rPr>
                <w:rFonts w:ascii="Arial" w:cs="Arial" w:eastAsia="Arial" w:hAnsi="Arial"/>
                <w:sz w:val="16"/>
                <w:szCs w:val="16"/>
                <w:color w:val="auto"/>
                <w:w w:val="89"/>
              </w:rPr>
              <w:t>74,396</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271,966</w:t>
            </w:r>
          </w:p>
        </w:tc>
        <w:tc>
          <w:tcPr>
            <w:tcW w:w="120" w:type="dxa"/>
            <w:vAlign w:val="bottom"/>
          </w:tcPr>
          <w:p>
            <w:pPr>
              <w:spacing w:after="0"/>
              <w:rPr>
                <w:sz w:val="17"/>
                <w:szCs w:val="17"/>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207,832</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8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9,123</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7,881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27,944</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21,707</w:t>
            </w:r>
          </w:p>
        </w:tc>
      </w:tr>
      <w:tr>
        <w:trPr>
          <w:trHeight w:val="207"/>
        </w:trPr>
        <w:tc>
          <w:tcPr>
            <w:tcW w:w="52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Professional services – Business</w:t>
            </w:r>
          </w:p>
        </w:tc>
        <w:tc>
          <w:tcPr>
            <w:tcW w:w="8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8"/>
              </w:rPr>
              <w:t>15,970</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12,527</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34,956</w:t>
            </w:r>
          </w:p>
        </w:tc>
      </w:tr>
      <w:tr>
        <w:trPr>
          <w:trHeight w:val="231"/>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860" w:type="dxa"/>
            <w:vAlign w:val="bottom"/>
            <w:tcBorders>
              <w:bottom w:val="single" w:sz="8" w:color="auto"/>
            </w:tcBorders>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2"/>
              </w:rPr>
              <w:t>118,327</w:t>
            </w:r>
          </w:p>
        </w:tc>
        <w:tc>
          <w:tcPr>
            <w:tcW w:w="10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94,804</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345,823</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264,495</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by Geographic Location</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revenues attributable to domestic and foreign operations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440" w:type="dxa"/>
            <w:vAlign w:val="bottom"/>
            <w:gridSpan w:val="4"/>
          </w:tcPr>
          <w:p>
            <w:pPr>
              <w:jc w:val="right"/>
              <w:ind w:right="244"/>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8"/>
              </w:rPr>
              <w:t>80,096</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58,561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229,802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166,668</w:t>
            </w:r>
          </w:p>
        </w:tc>
      </w:tr>
      <w:tr>
        <w:trPr>
          <w:trHeight w:val="210"/>
        </w:trPr>
        <w:tc>
          <w:tcPr>
            <w:tcW w:w="520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Other Americas </w:t>
            </w:r>
            <w:r>
              <w:rPr>
                <w:rFonts w:ascii="Arial" w:cs="Arial" w:eastAsia="Arial" w:hAnsi="Arial"/>
                <w:sz w:val="20"/>
                <w:szCs w:val="20"/>
                <w:color w:val="auto"/>
                <w:vertAlign w:val="superscript"/>
              </w:rPr>
              <w:t>(1)</w:t>
            </w:r>
          </w:p>
        </w:tc>
        <w:tc>
          <w:tcPr>
            <w:tcW w:w="8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4,009</w:t>
            </w: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3,979</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11,917</w:t>
            </w:r>
          </w:p>
        </w:tc>
        <w:tc>
          <w:tcPr>
            <w:tcW w:w="12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9,047</w:t>
            </w:r>
          </w:p>
        </w:tc>
      </w:tr>
      <w:tr>
        <w:trPr>
          <w:trHeight w:val="203"/>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Americas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98"/>
              </w:rPr>
              <w:t>84,105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62,540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241,719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175,715</w:t>
            </w:r>
          </w:p>
        </w:tc>
      </w:tr>
      <w:tr>
        <w:trPr>
          <w:trHeight w:val="210"/>
        </w:trPr>
        <w:tc>
          <w:tcPr>
            <w:tcW w:w="5200" w:type="dxa"/>
            <w:vAlign w:val="bottom"/>
          </w:tcPr>
          <w:p>
            <w:pPr>
              <w:ind w:left="20"/>
              <w:spacing w:after="0" w:line="210" w:lineRule="exact"/>
              <w:rPr>
                <w:sz w:val="20"/>
                <w:szCs w:val="20"/>
                <w:color w:val="auto"/>
              </w:rPr>
            </w:pPr>
            <w:r>
              <w:rPr>
                <w:rFonts w:ascii="Arial" w:cs="Arial" w:eastAsia="Arial" w:hAnsi="Arial"/>
                <w:sz w:val="24"/>
                <w:szCs w:val="24"/>
                <w:color w:val="auto"/>
                <w:vertAlign w:val="subscript"/>
              </w:rPr>
              <w:t>EMEA</w:t>
            </w:r>
            <w:r>
              <w:rPr>
                <w:rFonts w:ascii="Arial" w:cs="Arial" w:eastAsia="Arial" w:hAnsi="Arial"/>
                <w:sz w:val="9"/>
                <w:szCs w:val="9"/>
                <w:color w:val="auto"/>
              </w:rPr>
              <w:t xml:space="preserve"> (2) (4)</w:t>
            </w:r>
          </w:p>
        </w:tc>
        <w:tc>
          <w:tcPr>
            <w:tcW w:w="860" w:type="dxa"/>
            <w:vAlign w:val="bottom"/>
          </w:tcPr>
          <w:p>
            <w:pPr>
              <w:spacing w:after="0"/>
              <w:rPr>
                <w:sz w:val="18"/>
                <w:szCs w:val="18"/>
                <w:color w:val="auto"/>
              </w:rPr>
            </w:pPr>
          </w:p>
        </w:tc>
        <w:tc>
          <w:tcPr>
            <w:tcW w:w="580" w:type="dxa"/>
            <w:vAlign w:val="bottom"/>
          </w:tcPr>
          <w:p>
            <w:pPr>
              <w:jc w:val="right"/>
              <w:ind w:right="2"/>
              <w:spacing w:after="0"/>
              <w:rPr>
                <w:sz w:val="20"/>
                <w:szCs w:val="20"/>
                <w:color w:val="auto"/>
              </w:rPr>
            </w:pPr>
            <w:r>
              <w:rPr>
                <w:rFonts w:ascii="Arial" w:cs="Arial" w:eastAsia="Arial" w:hAnsi="Arial"/>
                <w:sz w:val="16"/>
                <w:szCs w:val="16"/>
                <w:color w:val="auto"/>
                <w:w w:val="98"/>
              </w:rPr>
              <w:t>23,399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jc w:val="right"/>
              <w:ind w:right="2"/>
              <w:spacing w:after="0"/>
              <w:rPr>
                <w:sz w:val="20"/>
                <w:szCs w:val="20"/>
                <w:color w:val="auto"/>
              </w:rPr>
            </w:pPr>
            <w:r>
              <w:rPr>
                <w:rFonts w:ascii="Arial" w:cs="Arial" w:eastAsia="Arial" w:hAnsi="Arial"/>
                <w:sz w:val="16"/>
                <w:szCs w:val="16"/>
                <w:color w:val="auto"/>
                <w:w w:val="89"/>
              </w:rPr>
              <w:t>22,290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68,092</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61,473</w:t>
            </w:r>
          </w:p>
        </w:tc>
      </w:tr>
      <w:tr>
        <w:trPr>
          <w:trHeight w:val="210"/>
        </w:trPr>
        <w:tc>
          <w:tcPr>
            <w:tcW w:w="520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 xml:space="preserve">APAC </w:t>
            </w:r>
            <w:r>
              <w:rPr>
                <w:rFonts w:ascii="Arial" w:cs="Arial" w:eastAsia="Arial" w:hAnsi="Arial"/>
                <w:sz w:val="20"/>
                <w:szCs w:val="20"/>
                <w:color w:val="auto"/>
                <w:vertAlign w:val="superscript"/>
              </w:rPr>
              <w:t>(3)</w:t>
            </w:r>
          </w:p>
        </w:tc>
        <w:tc>
          <w:tcPr>
            <w:tcW w:w="8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98"/>
              </w:rPr>
              <w:t>10,823</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9,974</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36,012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27,307</w:t>
            </w:r>
          </w:p>
        </w:tc>
      </w:tr>
      <w:tr>
        <w:trPr>
          <w:trHeight w:val="203"/>
        </w:trPr>
        <w:tc>
          <w:tcPr>
            <w:tcW w:w="5200" w:type="dxa"/>
            <w:vAlign w:val="bottom"/>
          </w:tcPr>
          <w:p>
            <w:pPr>
              <w:ind w:left="220"/>
              <w:spacing w:after="0"/>
              <w:rPr>
                <w:sz w:val="20"/>
                <w:szCs w:val="20"/>
                <w:color w:val="auto"/>
              </w:rPr>
            </w:pPr>
            <w:r>
              <w:rPr>
                <w:rFonts w:ascii="Arial" w:cs="Arial" w:eastAsia="Arial" w:hAnsi="Arial"/>
                <w:sz w:val="16"/>
                <w:szCs w:val="16"/>
                <w:color w:val="auto"/>
              </w:rPr>
              <w:t>Total revenue</w:t>
            </w:r>
          </w:p>
        </w:tc>
        <w:tc>
          <w:tcPr>
            <w:tcW w:w="860" w:type="dxa"/>
            <w:vAlign w:val="bottom"/>
            <w:tcBorders>
              <w:bottom w:val="single" w:sz="8" w:color="auto"/>
            </w:tcBorders>
          </w:tcPr>
          <w:p>
            <w:pPr>
              <w:jc w:val="right"/>
              <w:ind w:right="686"/>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2"/>
              </w:rPr>
              <w:t>118,327</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94,804</w:t>
            </w:r>
          </w:p>
        </w:tc>
        <w:tc>
          <w:tcPr>
            <w:tcW w:w="100" w:type="dxa"/>
            <w:vAlign w:val="bottom"/>
          </w:tcPr>
          <w:p>
            <w:pPr>
              <w:spacing w:after="0"/>
              <w:rPr>
                <w:sz w:val="17"/>
                <w:szCs w:val="17"/>
                <w:color w:val="auto"/>
              </w:rPr>
            </w:pP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345,823</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264,495</w:t>
            </w:r>
          </w:p>
        </w:tc>
      </w:tr>
      <w:tr>
        <w:trPr>
          <w:trHeight w:val="20"/>
        </w:trPr>
        <w:tc>
          <w:tcPr>
            <w:tcW w:w="52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9" w:lineRule="exact"/>
        <w:rPr>
          <w:sz w:val="20"/>
          <w:szCs w:val="20"/>
          <w:color w:val="auto"/>
        </w:rPr>
      </w:pPr>
    </w:p>
    <w:p>
      <w:pPr>
        <w:ind w:left="320" w:hanging="315"/>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Canada, Latin America and South America</w:t>
      </w:r>
    </w:p>
    <w:p>
      <w:pPr>
        <w:spacing w:after="0" w:line="37" w:lineRule="exact"/>
        <w:rPr>
          <w:rFonts w:ascii="Arial" w:cs="Arial" w:eastAsia="Arial" w:hAnsi="Arial"/>
          <w:sz w:val="14"/>
          <w:szCs w:val="14"/>
          <w:color w:val="auto"/>
        </w:rPr>
      </w:pPr>
    </w:p>
    <w:p>
      <w:pPr>
        <w:ind w:left="320" w:hanging="315"/>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Europe, the Middle East and Africa (“EMEA”)</w:t>
      </w:r>
    </w:p>
    <w:p>
      <w:pPr>
        <w:spacing w:after="0" w:line="49" w:lineRule="exact"/>
        <w:rPr>
          <w:rFonts w:ascii="Arial" w:cs="Arial" w:eastAsia="Arial" w:hAnsi="Arial"/>
          <w:sz w:val="14"/>
          <w:szCs w:val="14"/>
          <w:color w:val="auto"/>
        </w:rPr>
      </w:pPr>
    </w:p>
    <w:p>
      <w:pPr>
        <w:ind w:left="320" w:hanging="315"/>
        <w:spacing w:after="0"/>
        <w:tabs>
          <w:tab w:leader="none" w:pos="320" w:val="left"/>
        </w:tabs>
        <w:numPr>
          <w:ilvl w:val="0"/>
          <w:numId w:val="4"/>
        </w:numPr>
        <w:rPr>
          <w:rFonts w:ascii="Arial" w:cs="Arial" w:eastAsia="Arial" w:hAnsi="Arial"/>
          <w:sz w:val="14"/>
          <w:szCs w:val="14"/>
          <w:color w:val="auto"/>
        </w:rPr>
      </w:pPr>
      <w:r>
        <w:rPr>
          <w:rFonts w:ascii="Arial" w:cs="Arial" w:eastAsia="Arial" w:hAnsi="Arial"/>
          <w:sz w:val="14"/>
          <w:szCs w:val="14"/>
          <w:color w:val="auto"/>
        </w:rPr>
        <w:t>Asia-Pacific (“APAC”)</w:t>
      </w:r>
    </w:p>
    <w:p>
      <w:pPr>
        <w:spacing w:after="0" w:line="49" w:lineRule="exact"/>
        <w:rPr>
          <w:rFonts w:ascii="Arial" w:cs="Arial" w:eastAsia="Arial" w:hAnsi="Arial"/>
          <w:sz w:val="14"/>
          <w:szCs w:val="14"/>
          <w:color w:val="auto"/>
        </w:rPr>
      </w:pPr>
    </w:p>
    <w:p>
      <w:pPr>
        <w:jc w:val="both"/>
        <w:ind w:left="320" w:hanging="315"/>
        <w:spacing w:after="0" w:line="307" w:lineRule="auto"/>
        <w:tabs>
          <w:tab w:leader="none" w:pos="312" w:val="left"/>
        </w:tabs>
        <w:numPr>
          <w:ilvl w:val="0"/>
          <w:numId w:val="4"/>
        </w:numPr>
        <w:rPr>
          <w:rFonts w:ascii="Arial" w:cs="Arial" w:eastAsia="Arial" w:hAnsi="Arial"/>
          <w:sz w:val="13"/>
          <w:szCs w:val="13"/>
          <w:color w:val="auto"/>
        </w:rPr>
      </w:pPr>
      <w:r>
        <w:rPr>
          <w:rFonts w:ascii="Arial" w:cs="Arial" w:eastAsia="Arial" w:hAnsi="Arial"/>
          <w:sz w:val="13"/>
          <w:szCs w:val="13"/>
          <w:color w:val="auto"/>
        </w:rPr>
        <w:t>Includes revenues from the United Kingdom of $14.3 million and $14.6 million for the three months ended September 30, 2021 and 2020, respectively, and from the Netherlands of $1.2 million and $0.6 million for the three months ended September 30, 2021 and 2020, respectively. Includes revenues from the United Kingdom of $42.4 million and $39.7 million for the nine months ended September 30, 2021 and 2020, respectively, and from the Netherlands of $3.7 million and $2.5 million for the nine months ended September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4" w:name="page15"/>
    <w:bookmarkEnd w:id="14"/>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about Contract Balances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Amounts collected in advance of services being provided are accounted for as deferred revenue. Nearly all of the Company's deferred revenue balance is related to Hosted services - Business revenue</w:t>
      </w:r>
      <w:r>
        <w:rPr>
          <w:rFonts w:ascii="Arial" w:cs="Arial" w:eastAsia="Arial" w:hAnsi="Arial"/>
          <w:sz w:val="18"/>
          <w:szCs w:val="18"/>
          <w:i w:val="1"/>
          <w:iCs w:val="1"/>
          <w:color w:val="auto"/>
        </w:rPr>
        <w:t>.</w:t>
      </w:r>
    </w:p>
    <w:p>
      <w:pPr>
        <w:spacing w:after="0" w:line="208"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In some arrangements, the Company allows customers to pay for access to the Conversational Cloud over the term of the software license. The Company refers to these as subscription transactions. Amounts recognized as revenue in excess of amounts billed are recorded as unbilled receivables. Unbilled receivables, anticipated to be invoiced in the next twelve months, are included in accounts receivable on the condensed consolidated balance sheet. Contract acquisition costs represent prepaid sales commissions. The opening and closing balances of its accounts receivable, unbilled receivables, contract acquisition costs, and deferred revenues are as follows:</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Contract Acquisition</w:t>
            </w:r>
          </w:p>
        </w:tc>
        <w:tc>
          <w:tcPr>
            <w:tcW w:w="120" w:type="dxa"/>
            <w:vAlign w:val="bottom"/>
          </w:tcPr>
          <w:p>
            <w:pPr>
              <w:spacing w:after="0"/>
              <w:rPr>
                <w:sz w:val="14"/>
                <w:szCs w:val="1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Deferred Revenue</w:t>
            </w:r>
          </w:p>
        </w:tc>
        <w:tc>
          <w:tcPr>
            <w:tcW w:w="120" w:type="dxa"/>
            <w:vAlign w:val="bottom"/>
          </w:tcPr>
          <w:p>
            <w:pPr>
              <w:spacing w:after="0"/>
              <w:rPr>
                <w:sz w:val="14"/>
                <w:szCs w:val="14"/>
                <w:color w:val="auto"/>
              </w:rPr>
            </w:pPr>
          </w:p>
        </w:tc>
        <w:tc>
          <w:tcPr>
            <w:tcW w:w="1300" w:type="dxa"/>
            <w:vAlign w:val="bottom"/>
            <w:vMerge w:val="restart"/>
          </w:tcPr>
          <w:p>
            <w:pPr>
              <w:jc w:val="center"/>
              <w:ind w:right="65"/>
              <w:spacing w:after="0"/>
              <w:rPr>
                <w:sz w:val="20"/>
                <w:szCs w:val="20"/>
                <w:color w:val="auto"/>
              </w:rPr>
            </w:pPr>
            <w:r>
              <w:rPr>
                <w:rFonts w:ascii="Arial" w:cs="Arial" w:eastAsia="Arial" w:hAnsi="Arial"/>
                <w:sz w:val="14"/>
                <w:szCs w:val="14"/>
                <w:b w:val="1"/>
                <w:bCs w:val="1"/>
                <w:color w:val="auto"/>
                <w:w w:val="90"/>
              </w:rPr>
              <w:t>Deferred Revenue</w:t>
            </w:r>
          </w:p>
        </w:tc>
        <w:tc>
          <w:tcPr>
            <w:tcW w:w="0" w:type="dxa"/>
            <w:vAlign w:val="bottom"/>
          </w:tcPr>
          <w:p>
            <w:pPr>
              <w:spacing w:after="0"/>
              <w:rPr>
                <w:sz w:val="1"/>
                <w:szCs w:val="1"/>
                <w:color w:val="auto"/>
              </w:rPr>
            </w:pPr>
          </w:p>
        </w:tc>
      </w:tr>
      <w:tr>
        <w:trPr>
          <w:trHeight w:val="131"/>
        </w:trPr>
        <w:tc>
          <w:tcPr>
            <w:tcW w:w="3680" w:type="dxa"/>
            <w:vAlign w:val="bottom"/>
          </w:tcPr>
          <w:p>
            <w:pPr>
              <w:spacing w:after="0"/>
              <w:rPr>
                <w:sz w:val="11"/>
                <w:szCs w:val="11"/>
                <w:color w:val="auto"/>
              </w:rPr>
            </w:pPr>
          </w:p>
        </w:tc>
        <w:tc>
          <w:tcPr>
            <w:tcW w:w="15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Accounts Receivable</w:t>
            </w:r>
          </w:p>
        </w:tc>
        <w:tc>
          <w:tcPr>
            <w:tcW w:w="100" w:type="dxa"/>
            <w:vAlign w:val="bottom"/>
          </w:tcPr>
          <w:p>
            <w:pPr>
              <w:spacing w:after="0"/>
              <w:rPr>
                <w:sz w:val="11"/>
                <w:szCs w:val="11"/>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Unbilled Receivable</w:t>
            </w:r>
          </w:p>
        </w:tc>
        <w:tc>
          <w:tcPr>
            <w:tcW w:w="200" w:type="dxa"/>
            <w:vAlign w:val="bottom"/>
          </w:tcPr>
          <w:p>
            <w:pPr>
              <w:spacing w:after="0"/>
              <w:rPr>
                <w:sz w:val="11"/>
                <w:szCs w:val="11"/>
                <w:color w:val="auto"/>
              </w:rPr>
            </w:pPr>
          </w:p>
        </w:tc>
        <w:tc>
          <w:tcPr>
            <w:tcW w:w="1340" w:type="dxa"/>
            <w:vAlign w:val="bottom"/>
            <w:gridSpan w:val="2"/>
          </w:tcPr>
          <w:p>
            <w:pPr>
              <w:jc w:val="center"/>
              <w:ind w:right="340"/>
              <w:spacing w:after="0" w:line="131" w:lineRule="exact"/>
              <w:rPr>
                <w:sz w:val="20"/>
                <w:szCs w:val="20"/>
                <w:color w:val="auto"/>
              </w:rPr>
            </w:pPr>
            <w:r>
              <w:rPr>
                <w:rFonts w:ascii="Arial" w:cs="Arial" w:eastAsia="Arial" w:hAnsi="Arial"/>
                <w:sz w:val="14"/>
                <w:szCs w:val="14"/>
                <w:b w:val="1"/>
                <w:bCs w:val="1"/>
                <w:color w:val="auto"/>
                <w:w w:val="82"/>
              </w:rPr>
              <w:t>Costs</w:t>
            </w: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3"/>
              </w:rPr>
              <w:t>(Non-current)</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(Current)</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93"/>
              </w:rPr>
              <w:t>(Non-current)</w:t>
            </w:r>
          </w:p>
        </w:tc>
        <w:tc>
          <w:tcPr>
            <w:tcW w:w="0" w:type="dxa"/>
            <w:vAlign w:val="bottom"/>
          </w:tcPr>
          <w:p>
            <w:pPr>
              <w:spacing w:after="0"/>
              <w:rPr>
                <w:sz w:val="1"/>
                <w:szCs w:val="1"/>
                <w:color w:val="auto"/>
              </w:rPr>
            </w:pPr>
          </w:p>
        </w:tc>
      </w:tr>
      <w:tr>
        <w:trPr>
          <w:trHeight w:val="177"/>
        </w:trPr>
        <w:tc>
          <w:tcPr>
            <w:tcW w:w="3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balance as of December 31, 2020</w:t>
            </w:r>
          </w:p>
        </w:tc>
        <w:tc>
          <w:tcPr>
            <w:tcW w:w="460" w:type="dxa"/>
            <w:vAlign w:val="bottom"/>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center"/>
              <w:ind w:left="301"/>
              <w:spacing w:after="0"/>
              <w:rPr>
                <w:sz w:val="20"/>
                <w:szCs w:val="20"/>
                <w:color w:val="auto"/>
              </w:rPr>
            </w:pPr>
            <w:r>
              <w:rPr>
                <w:rFonts w:ascii="Arial" w:cs="Arial" w:eastAsia="Arial" w:hAnsi="Arial"/>
                <w:sz w:val="16"/>
                <w:szCs w:val="16"/>
                <w:color w:val="auto"/>
                <w:w w:val="85"/>
              </w:rPr>
              <w:t>61,801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18,622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41,021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88,848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center"/>
              <w:ind w:left="865"/>
              <w:spacing w:after="0"/>
              <w:rPr>
                <w:sz w:val="20"/>
                <w:szCs w:val="20"/>
                <w:color w:val="auto"/>
              </w:rPr>
            </w:pPr>
            <w:r>
              <w:rPr>
                <w:rFonts w:ascii="Arial" w:cs="Arial" w:eastAsia="Arial" w:hAnsi="Arial"/>
                <w:sz w:val="16"/>
                <w:szCs w:val="16"/>
                <w:color w:val="auto"/>
                <w:w w:val="89"/>
              </w:rPr>
              <w:t>409</w:t>
            </w:r>
          </w:p>
        </w:tc>
        <w:tc>
          <w:tcPr>
            <w:tcW w:w="0" w:type="dxa"/>
            <w:vAlign w:val="bottom"/>
          </w:tcPr>
          <w:p>
            <w:pPr>
              <w:spacing w:after="0"/>
              <w:rPr>
                <w:sz w:val="1"/>
                <w:szCs w:val="1"/>
                <w:color w:val="auto"/>
              </w:rPr>
            </w:pPr>
          </w:p>
        </w:tc>
      </w:tr>
      <w:tr>
        <w:trPr>
          <w:trHeight w:val="207"/>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(Decrease) increase, net</w:t>
            </w:r>
          </w:p>
        </w:tc>
        <w:tc>
          <w:tcPr>
            <w:tcW w:w="4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w w:val="90"/>
              </w:rPr>
              <w:t>(12,164)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14,901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2,684</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14,057</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left="845"/>
              <w:spacing w:after="0"/>
              <w:rPr>
                <w:sz w:val="20"/>
                <w:szCs w:val="20"/>
                <w:color w:val="auto"/>
              </w:rPr>
            </w:pPr>
            <w:r>
              <w:rPr>
                <w:rFonts w:ascii="Arial" w:cs="Arial" w:eastAsia="Arial" w:hAnsi="Arial"/>
                <w:sz w:val="16"/>
                <w:szCs w:val="16"/>
                <w:color w:val="auto"/>
                <w:w w:val="90"/>
              </w:rPr>
              <w:t>(230)</w:t>
            </w:r>
          </w:p>
        </w:tc>
        <w:tc>
          <w:tcPr>
            <w:tcW w:w="0" w:type="dxa"/>
            <w:vAlign w:val="bottom"/>
          </w:tcPr>
          <w:p>
            <w:pPr>
              <w:spacing w:after="0"/>
              <w:rPr>
                <w:sz w:val="1"/>
                <w:szCs w:val="1"/>
                <w:color w:val="auto"/>
              </w:rPr>
            </w:pPr>
          </w:p>
        </w:tc>
      </w:tr>
      <w:tr>
        <w:trPr>
          <w:trHeight w:val="231"/>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Ending balance as of September 30, 2021</w:t>
            </w:r>
          </w:p>
        </w:tc>
        <w:tc>
          <w:tcPr>
            <w:tcW w:w="46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center"/>
              <w:ind w:left="301"/>
              <w:spacing w:after="0"/>
              <w:rPr>
                <w:sz w:val="20"/>
                <w:szCs w:val="20"/>
                <w:color w:val="auto"/>
              </w:rPr>
            </w:pPr>
            <w:r>
              <w:rPr>
                <w:rFonts w:ascii="Arial" w:cs="Arial" w:eastAsia="Arial" w:hAnsi="Arial"/>
                <w:sz w:val="16"/>
                <w:szCs w:val="16"/>
                <w:color w:val="auto"/>
                <w:w w:val="85"/>
              </w:rPr>
              <w:t>49,637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33,523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6"/>
                <w:szCs w:val="16"/>
                <w:color w:val="auto"/>
              </w:rPr>
              <w:t>43,705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102,905</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center"/>
              <w:ind w:left="865"/>
              <w:spacing w:after="0"/>
              <w:rPr>
                <w:sz w:val="20"/>
                <w:szCs w:val="20"/>
                <w:color w:val="auto"/>
              </w:rPr>
            </w:pPr>
            <w:r>
              <w:rPr>
                <w:rFonts w:ascii="Arial" w:cs="Arial" w:eastAsia="Arial" w:hAnsi="Arial"/>
                <w:sz w:val="16"/>
                <w:szCs w:val="16"/>
                <w:color w:val="auto"/>
                <w:w w:val="89"/>
              </w:rPr>
              <w:t>179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39"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Accounts receivable are recorded at the invoiced amount and do not bear interest. The allowance for doubtful accounts is the Company’s best estimate of the amount of probable credit losses in the Company’s existing accounts receivable. The Company determines the allowance based on historical write-off experience. The Company reviews its allowance for doubtful accounts monthly. Past due balances over 90 days and over a specified amount are reviewed individually for collectability. All other balances are reviewed on a pooled basis. Account balances are charged off against the allowance after all means of collection have been exhausted and the potential for recovery is considered remote. Accounts receivable are written off against the allowance for uncollectible accounts when we determine amounts are no longer collectible.</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as of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-118110</wp:posOffset>
            </wp:positionV>
            <wp:extent cx="7136130" cy="1333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6" w:lineRule="exact"/>
        <w:rPr>
          <w:sz w:val="20"/>
          <w:szCs w:val="20"/>
          <w:color w:val="auto"/>
        </w:rPr>
      </w:pPr>
    </w:p>
    <w:p>
      <w:pPr>
        <w:ind w:left="240"/>
        <w:spacing w:after="0"/>
        <w:rPr>
          <w:sz w:val="20"/>
          <w:szCs w:val="20"/>
          <w:color w:val="auto"/>
        </w:rPr>
      </w:pPr>
      <w:r>
        <w:rPr>
          <w:rFonts w:ascii="Arial" w:cs="Arial" w:eastAsia="Arial" w:hAnsi="Arial"/>
          <w:sz w:val="14"/>
          <w:szCs w:val="14"/>
          <w:color w:val="auto"/>
        </w:rPr>
        <w:t>Additions charged to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6130" cy="133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Deductions/write-offs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as of September 30, 2021</w:t>
      </w:r>
    </w:p>
    <w:p>
      <w:pPr>
        <w:spacing w:after="0" w:line="20" w:lineRule="exact"/>
        <w:rPr>
          <w:sz w:val="20"/>
          <w:szCs w:val="20"/>
          <w:color w:val="auto"/>
        </w:rPr>
      </w:pPr>
      <w:r>
        <w:rPr>
          <w:sz w:val="20"/>
          <w:szCs w:val="20"/>
          <w:color w:val="auto"/>
        </w:rPr>
        <w:br w:type="column"/>
      </w:r>
    </w:p>
    <w:p>
      <w:pPr>
        <w:jc w:val="center"/>
        <w:spacing w:after="0" w:line="222" w:lineRule="auto"/>
        <w:rPr>
          <w:sz w:val="20"/>
          <w:szCs w:val="20"/>
          <w:color w:val="auto"/>
        </w:rPr>
      </w:pPr>
      <w:r>
        <w:rPr>
          <w:rFonts w:ascii="Arial" w:cs="Arial" w:eastAsia="Arial" w:hAnsi="Arial"/>
          <w:sz w:val="14"/>
          <w:szCs w:val="14"/>
          <w:b w:val="1"/>
          <w:bCs w:val="1"/>
          <w:color w:val="auto"/>
        </w:rPr>
        <w:t>Allowance for</w:t>
      </w:r>
    </w:p>
    <w:p>
      <w:pPr>
        <w:jc w:val="center"/>
        <w:spacing w:after="0"/>
        <w:rPr>
          <w:sz w:val="20"/>
          <w:szCs w:val="20"/>
          <w:color w:val="auto"/>
        </w:rPr>
      </w:pPr>
      <w:r>
        <w:rPr>
          <w:rFonts w:ascii="Arial" w:cs="Arial" w:eastAsia="Arial" w:hAnsi="Arial"/>
          <w:sz w:val="14"/>
          <w:szCs w:val="14"/>
          <w:b w:val="1"/>
          <w:bCs w:val="1"/>
          <w:color w:val="auto"/>
        </w:rPr>
        <w:t>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9086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p>
      <w:pPr>
        <w:ind w:left="1000" w:hanging="991"/>
        <w:spacing w:after="0"/>
        <w:tabs>
          <w:tab w:leader="none" w:pos="1000" w:val="left"/>
        </w:tabs>
        <w:numPr>
          <w:ilvl w:val="0"/>
          <w:numId w:val="5"/>
        </w:numPr>
        <w:rPr>
          <w:rFonts w:ascii="Arial" w:cs="Arial" w:eastAsia="Arial" w:hAnsi="Arial"/>
          <w:sz w:val="15"/>
          <w:szCs w:val="15"/>
          <w:color w:val="auto"/>
        </w:rPr>
      </w:pPr>
      <w:r>
        <w:rPr>
          <w:rFonts w:ascii="Arial" w:cs="Arial" w:eastAsia="Arial" w:hAnsi="Arial"/>
          <w:sz w:val="15"/>
          <w:szCs w:val="15"/>
          <w:color w:val="auto"/>
        </w:rPr>
        <w:t>5,344</w:t>
      </w:r>
    </w:p>
    <w:p>
      <w:pPr>
        <w:spacing w:after="0" w:line="37" w:lineRule="exact"/>
        <w:rPr>
          <w:rFonts w:ascii="Arial" w:cs="Arial" w:eastAsia="Arial" w:hAnsi="Arial"/>
          <w:sz w:val="15"/>
          <w:szCs w:val="15"/>
          <w:color w:val="auto"/>
        </w:rPr>
      </w:pPr>
    </w:p>
    <w:p>
      <w:pPr>
        <w:ind w:left="1000"/>
        <w:spacing w:after="0"/>
        <w:rPr>
          <w:rFonts w:ascii="Arial" w:cs="Arial" w:eastAsia="Arial" w:hAnsi="Arial"/>
          <w:sz w:val="15"/>
          <w:szCs w:val="15"/>
          <w:color w:val="auto"/>
        </w:rPr>
      </w:pPr>
      <w:r>
        <w:rPr>
          <w:rFonts w:ascii="Arial" w:cs="Arial" w:eastAsia="Arial" w:hAnsi="Arial"/>
          <w:sz w:val="15"/>
          <w:szCs w:val="15"/>
          <w:color w:val="auto"/>
        </w:rPr>
        <w:t>2,431</w:t>
      </w:r>
    </w:p>
    <w:p>
      <w:pPr>
        <w:spacing w:after="0" w:line="38"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(2,174)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0868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9" w:lineRule="exact"/>
        <w:rPr>
          <w:sz w:val="20"/>
          <w:szCs w:val="20"/>
          <w:color w:val="auto"/>
        </w:rPr>
      </w:pPr>
    </w:p>
    <w:p>
      <w:pPr>
        <w:ind w:left="1000" w:hanging="991"/>
        <w:spacing w:after="0"/>
        <w:tabs>
          <w:tab w:leader="none" w:pos="1000" w:val="left"/>
        </w:tabs>
        <w:numPr>
          <w:ilvl w:val="0"/>
          <w:numId w:val="6"/>
        </w:numPr>
        <w:rPr>
          <w:rFonts w:ascii="Arial" w:cs="Arial" w:eastAsia="Arial" w:hAnsi="Arial"/>
          <w:sz w:val="15"/>
          <w:szCs w:val="15"/>
          <w:color w:val="auto"/>
        </w:rPr>
      </w:pPr>
      <w:r>
        <w:rPr>
          <w:rFonts w:ascii="Arial" w:cs="Arial" w:eastAsia="Arial" w:hAnsi="Arial"/>
          <w:sz w:val="15"/>
          <w:szCs w:val="15"/>
          <w:color w:val="auto"/>
        </w:rPr>
        <w:t>5,601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21590</wp:posOffset>
            </wp:positionV>
            <wp:extent cx="9086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868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46990</wp:posOffset>
            </wp:positionV>
            <wp:extent cx="90868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100" w:space="720"/>
            <w:col w:w="1420"/>
          </w:cols>
          <w:pgMar w:left="320" w:top="174" w:right="3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w:t>
      </w:r>
    </w:p>
    <w:p>
      <w:pPr>
        <w:spacing w:after="0" w:line="245"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Basic earnings per share (“EPS”) excludes dilution for common stock equivalents and is computed by dividing net income or loss attributable to common stockholders by the weighted average number of shares of common stock outstanding for the period. All options, warrants, or other potentially dilutive instruments issued for nominal consideration are required to be included in the calculation of basic and diluted net income attributable to common stockholders. Diluted EPS is calculated using the "if-converted" method. The "if-converted" method is only assumed in periods where such application would be dilutive. In applying the “if-converted” method for diluted net income per share, the Company would assume conversion of the Notes at a ratio of 25.9182 shares of our common stock per $1,000 principal amount of the Notes. Assumed converted shares of our common stock are weighted for the period the Notes were outstanding. The shares of common stock underlying the conversion option of the Notes were not included in the calculation of diluted income per share for the three and nine months ended September 30, 2021.</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8 – Convertible Senior Notes and Capped Call Transactions for a full description of the Notes.</w:t>
      </w:r>
    </w:p>
    <w:p>
      <w:pPr>
        <w:spacing w:after="0" w:line="200" w:lineRule="exact"/>
        <w:rPr>
          <w:sz w:val="20"/>
          <w:szCs w:val="20"/>
          <w:color w:val="auto"/>
        </w:rPr>
      </w:pPr>
    </w:p>
    <w:p>
      <w:pPr>
        <w:spacing w:after="0" w:line="38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15" w:name="page16"/>
    <w:bookmarkEnd w:id="15"/>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reconciliation of shares used in calculating basic and diluted net loss per share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21"/>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3"/>
              </w:rPr>
              <w:t>2020</w:t>
            </w:r>
          </w:p>
        </w:tc>
      </w:tr>
      <w:tr>
        <w:trPr>
          <w:trHeight w:val="204"/>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 thousands)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(32,807)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(38,710)</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(75,121)</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(94,338)</w:t>
            </w:r>
          </w:p>
        </w:tc>
      </w:tr>
      <w:tr>
        <w:trPr>
          <w:trHeight w:val="207"/>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number of shares outstanding, basic and diluted</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
              <w:spacing w:after="0"/>
              <w:rPr>
                <w:sz w:val="20"/>
                <w:szCs w:val="20"/>
                <w:color w:val="auto"/>
              </w:rPr>
            </w:pPr>
            <w:r>
              <w:rPr>
                <w:rFonts w:ascii="Arial" w:cs="Arial" w:eastAsia="Arial" w:hAnsi="Arial"/>
                <w:sz w:val="16"/>
                <w:szCs w:val="16"/>
                <w:color w:val="auto"/>
              </w:rPr>
              <w:t>69,798,839</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66,451,414</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68,926,203</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65,504,571</w:t>
            </w:r>
          </w:p>
        </w:tc>
      </w:tr>
      <w:tr>
        <w:trPr>
          <w:trHeight w:val="23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basic and diluted</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(0.47)</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(0.58)</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anti-dilutive securities excluded from the shares used to calculate diluted net loss per share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1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w w:val="89"/>
              </w:rPr>
              <w:t>As of September 30,</w:t>
            </w:r>
          </w:p>
        </w:tc>
        <w:tc>
          <w:tcPr>
            <w:tcW w:w="860" w:type="dxa"/>
            <w:vAlign w:val="bottom"/>
            <w:tcBorders>
              <w:bottom w:val="single" w:sz="8" w:color="auto"/>
            </w:tcBorders>
          </w:tcPr>
          <w:p>
            <w:pPr>
              <w:spacing w:after="0"/>
              <w:rPr>
                <w:sz w:val="16"/>
                <w:szCs w:val="16"/>
                <w:color w:val="auto"/>
              </w:rPr>
            </w:pPr>
          </w:p>
        </w:tc>
      </w:tr>
      <w:tr>
        <w:trPr>
          <w:trHeight w:val="182"/>
        </w:trPr>
        <w:tc>
          <w:tcPr>
            <w:tcW w:w="828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3"/>
              </w:rPr>
              <w:t>2020</w:t>
            </w:r>
          </w:p>
        </w:tc>
      </w:tr>
      <w:tr>
        <w:trPr>
          <w:trHeight w:val="204"/>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subject to outstanding common stock options and employee stock purchase plan</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4,291,829</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4,830,154</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Restricted stock units</w:t>
            </w:r>
          </w:p>
        </w:tc>
        <w:tc>
          <w:tcPr>
            <w:tcW w:w="1420" w:type="dxa"/>
            <w:vAlign w:val="bottom"/>
          </w:tcPr>
          <w:p>
            <w:pPr>
              <w:jc w:val="right"/>
              <w:spacing w:after="0"/>
              <w:rPr>
                <w:sz w:val="20"/>
                <w:szCs w:val="20"/>
                <w:color w:val="auto"/>
              </w:rPr>
            </w:pPr>
            <w:r>
              <w:rPr>
                <w:rFonts w:ascii="Arial" w:cs="Arial" w:eastAsia="Arial" w:hAnsi="Arial"/>
                <w:sz w:val="16"/>
                <w:szCs w:val="16"/>
                <w:color w:val="auto"/>
              </w:rPr>
              <w:t>3,063,156</w:t>
            </w: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3,231,261</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Conversion option of the 2024 Notes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5,961,186</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5,961,186</w:t>
            </w:r>
          </w:p>
        </w:tc>
      </w:tr>
      <w:tr>
        <w:trPr>
          <w:trHeight w:val="203"/>
        </w:trPr>
        <w:tc>
          <w:tcPr>
            <w:tcW w:w="828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13,316,171</w:t>
            </w:r>
          </w:p>
        </w:tc>
        <w:tc>
          <w:tcPr>
            <w:tcW w:w="12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14,022,601</w:t>
            </w:r>
          </w:p>
        </w:tc>
      </w:tr>
      <w:tr>
        <w:trPr>
          <w:trHeight w:val="23"/>
        </w:trPr>
        <w:tc>
          <w:tcPr>
            <w:tcW w:w="82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Segment Information</w:t>
      </w:r>
    </w:p>
    <w:p>
      <w:pPr>
        <w:spacing w:after="0" w:line="245" w:lineRule="exact"/>
        <w:rPr>
          <w:sz w:val="20"/>
          <w:szCs w:val="20"/>
          <w:color w:val="auto"/>
        </w:rPr>
      </w:pPr>
    </w:p>
    <w:p>
      <w:pPr>
        <w:jc w:val="both"/>
        <w:ind w:firstLine="420"/>
        <w:spacing w:after="0" w:line="300" w:lineRule="auto"/>
        <w:rPr>
          <w:sz w:val="20"/>
          <w:szCs w:val="20"/>
          <w:color w:val="auto"/>
        </w:rPr>
      </w:pPr>
      <w:r>
        <w:rPr>
          <w:rFonts w:ascii="Arial" w:cs="Arial" w:eastAsia="Arial" w:hAnsi="Arial"/>
          <w:sz w:val="15"/>
          <w:szCs w:val="15"/>
          <w:color w:val="auto"/>
        </w:rPr>
        <w:t>The Company is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 Both segments currently generate their revenue primarily in the United States. The chief operating decision maker, who is the chief executive officer, evaluates performance, makes operating decisions, and allocates resources based on the operating income of each segment. The reporting segments follow the same accounting polices used in the preparation of our condensed consolidated financial statements which are described in Note 1 –Description of Business and Basis of Presentation. The Company allocates cost of revenue, sales and marketing, and amortization of purchased intangibles to the segments, but it does not allocate product development expenses, general and administrative expenses, restructuring costs, or income tax expense because management does not use this information to measure performance of the operating segments. There are currently no inter-segment sales.</w:t>
      </w:r>
    </w:p>
    <w:p>
      <w:pPr>
        <w:spacing w:after="0" w:line="186"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Summarized financial information by segment for the three months ended September 30, 2021, based on the Company's internal financial reporting system utilized by its chief operating decision maker,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93,234</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93,234</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9,123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9,123</w:t>
            </w: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15,970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15,970</w:t>
            </w:r>
          </w:p>
        </w:tc>
      </w:tr>
      <w:tr>
        <w:trPr>
          <w:trHeight w:val="20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109,204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9,123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118,327</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37,057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1,738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38,795</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34,640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6,212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40,852</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488</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58,971</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37,019</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(58,971)</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(20,779)</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6" w:name="page17"/>
    <w:bookmarkEnd w:id="16"/>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firstLine="420"/>
        <w:spacing w:after="0" w:line="260" w:lineRule="auto"/>
        <w:rPr>
          <w:sz w:val="20"/>
          <w:szCs w:val="20"/>
          <w:color w:val="auto"/>
        </w:rPr>
      </w:pPr>
      <w:r>
        <w:rPr>
          <w:rFonts w:ascii="Arial" w:cs="Arial" w:eastAsia="Arial" w:hAnsi="Arial"/>
          <w:sz w:val="18"/>
          <w:szCs w:val="18"/>
          <w:color w:val="auto"/>
        </w:rPr>
        <w:t>Summarized financial information by segment for the three months ended September 30, 2020, based on the Company's internal financial reporting system utilized by its chief operating decision maker,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74,396</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74,396</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7,881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7,881</w:t>
            </w: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12,527</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12,527</w:t>
            </w:r>
          </w:p>
        </w:tc>
      </w:tr>
      <w:tr>
        <w:trPr>
          <w:trHeight w:val="20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86,923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7,881</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94,804</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25,862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1,830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27,692</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27,525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5,250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32,775</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411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411</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69,069</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33,125</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801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(69,069)</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(35,143)</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Summarized financial information by segment for the nine months ended September 30, 2021, based on the Company's internal financial reporting system utilized by its chief operating decision maker,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271,966</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271,966</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27,944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27,944</w:t>
            </w: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45,913</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45,913</w:t>
            </w:r>
          </w:p>
        </w:tc>
      </w:tr>
      <w:tr>
        <w:trPr>
          <w:trHeight w:val="20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317,879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27,944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345,823</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106,932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5,445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112,377</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96,758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19,669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116,427</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1,237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1,237</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163,768</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112,952</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2,830</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(163,768)</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(47,986)</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Summarized financial information by segment for the nine months ended September 30, 2020, based on the Company's internal financial reporting system utilized by its chief operating decision maker,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Consumer</w:t>
            </w: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Hosted services – Business</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207,832</w:t>
            </w:r>
          </w:p>
        </w:tc>
        <w:tc>
          <w:tcPr>
            <w:tcW w:w="100" w:type="dxa"/>
            <w:vAlign w:val="bottom"/>
          </w:tcPr>
          <w:p>
            <w:pPr>
              <w:spacing w:after="0"/>
              <w:rPr>
                <w:sz w:val="17"/>
                <w:szCs w:val="17"/>
                <w:color w:val="auto"/>
              </w:rPr>
            </w:pP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207,832</w:t>
            </w: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Hosted services – Consumer</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21,707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21,707</w:t>
            </w: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Professional services – Business</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34,956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34,956</w:t>
            </w:r>
          </w:p>
        </w:tc>
      </w:tr>
      <w:tr>
        <w:trPr>
          <w:trHeight w:val="206"/>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revenue</w:t>
            </w: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242,788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21,707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264,495</w:t>
            </w:r>
          </w:p>
        </w:tc>
      </w:tr>
      <w:tr>
        <w:trPr>
          <w:trHeight w:val="200"/>
        </w:trPr>
        <w:tc>
          <w:tcPr>
            <w:tcW w:w="5200" w:type="dxa"/>
            <w:vAlign w:val="bottom"/>
          </w:tcPr>
          <w:p>
            <w:pPr>
              <w:ind w:left="20"/>
              <w:spacing w:after="0"/>
              <w:rPr>
                <w:sz w:val="20"/>
                <w:szCs w:val="20"/>
                <w:color w:val="auto"/>
              </w:rPr>
            </w:pPr>
            <w:r>
              <w:rPr>
                <w:rFonts w:ascii="Arial" w:cs="Arial" w:eastAsia="Arial" w:hAnsi="Arial"/>
                <w:sz w:val="16"/>
                <w:szCs w:val="16"/>
                <w:color w:val="auto"/>
              </w:rPr>
              <w:t>Cost of revenue</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73,291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4,927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78,218</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93,920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16,153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110,073</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Amortization of purchased intangibles</w:t>
            </w:r>
          </w:p>
        </w:tc>
        <w:tc>
          <w:tcPr>
            <w:tcW w:w="280" w:type="dxa"/>
            <w:vAlign w:val="bottom"/>
          </w:tcPr>
          <w:p>
            <w:pPr>
              <w:spacing w:after="0"/>
              <w:rPr>
                <w:sz w:val="17"/>
                <w:szCs w:val="17"/>
                <w:color w:val="auto"/>
              </w:rPr>
            </w:pPr>
          </w:p>
        </w:tc>
        <w:tc>
          <w:tcPr>
            <w:tcW w:w="1160" w:type="dxa"/>
            <w:vAlign w:val="bottom"/>
          </w:tcPr>
          <w:p>
            <w:pPr>
              <w:jc w:val="right"/>
              <w:ind w:right="2"/>
              <w:spacing w:after="0"/>
              <w:rPr>
                <w:sz w:val="20"/>
                <w:szCs w:val="20"/>
                <w:color w:val="auto"/>
              </w:rPr>
            </w:pPr>
            <w:r>
              <w:rPr>
                <w:rFonts w:ascii="Arial" w:cs="Arial" w:eastAsia="Arial" w:hAnsi="Arial"/>
                <w:sz w:val="16"/>
                <w:szCs w:val="16"/>
                <w:color w:val="auto"/>
              </w:rPr>
              <w:t>1,219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1,219</w:t>
            </w:r>
          </w:p>
        </w:tc>
      </w:tr>
      <w:tr>
        <w:trPr>
          <w:trHeight w:val="210"/>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expenses</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157,765</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Operating income (loss)</w:t>
            </w:r>
          </w:p>
        </w:tc>
        <w:tc>
          <w:tcPr>
            <w:tcW w:w="28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rPr>
              <w:t>74,358</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(157,765)</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(82,780)</w:t>
            </w: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7" w:name="page18"/>
    <w:bookmarkEnd w:id="17"/>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Information</w:t>
      </w:r>
    </w:p>
    <w:p>
      <w:pPr>
        <w:spacing w:after="0" w:line="239" w:lineRule="exact"/>
        <w:rPr>
          <w:sz w:val="20"/>
          <w:szCs w:val="20"/>
          <w:color w:val="auto"/>
        </w:rPr>
      </w:pPr>
    </w:p>
    <w:p>
      <w:pPr>
        <w:ind w:firstLine="420"/>
        <w:spacing w:after="0" w:line="260" w:lineRule="auto"/>
        <w:rPr>
          <w:sz w:val="20"/>
          <w:szCs w:val="20"/>
          <w:color w:val="auto"/>
        </w:rPr>
      </w:pPr>
      <w:r>
        <w:rPr>
          <w:rFonts w:ascii="Arial" w:cs="Arial" w:eastAsia="Arial" w:hAnsi="Arial"/>
          <w:sz w:val="18"/>
          <w:szCs w:val="18"/>
          <w:color w:val="auto"/>
        </w:rPr>
        <w:t>The Company is domiciled in the United States and has international operations around the globe. The following table presents its long-lived assets by geographic region as of the dates presented:</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77"/>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United States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220,181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202,275</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Germany</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52,846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1,597</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Israel</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16,657</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Australia</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12,599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13,792</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Netherlands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8,301</w:t>
            </w:r>
          </w:p>
        </w:tc>
      </w:tr>
      <w:tr>
        <w:trPr>
          <w:trHeight w:val="210"/>
        </w:trPr>
        <w:tc>
          <w:tcPr>
            <w:tcW w:w="828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0"/>
                <w:szCs w:val="20"/>
                <w:color w:val="auto"/>
                <w:vertAlign w:val="superscript"/>
              </w:rPr>
              <w:t>(1)</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16,528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14,999</w:t>
            </w:r>
          </w:p>
        </w:tc>
      </w:tr>
      <w:tr>
        <w:trPr>
          <w:trHeight w:val="228"/>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long-lived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326,218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257,621</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(1)</w:t>
        <w:tab/>
        <w:t>United Kingdom, Japan, France, and Italy</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Goodwill and 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the carrying amount of goodwill for the nine months ended September 30, 2021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Business</w:t>
            </w: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9"/>
              </w:rPr>
              <w:t>Consumer</w:t>
            </w: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w w:val="99"/>
              </w:rPr>
              <w:t>Consolidated</w:t>
            </w:r>
          </w:p>
        </w:tc>
      </w:tr>
      <w:tr>
        <w:trPr>
          <w:trHeight w:val="182"/>
        </w:trPr>
        <w:tc>
          <w:tcPr>
            <w:tcW w:w="6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2020</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87,168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95,192</w:t>
            </w:r>
          </w:p>
        </w:tc>
      </w:tr>
      <w:tr>
        <w:trPr>
          <w:trHeight w:val="207"/>
        </w:trPr>
        <w:tc>
          <w:tcPr>
            <w:tcW w:w="6740" w:type="dxa"/>
            <w:vAlign w:val="bottom"/>
          </w:tcPr>
          <w:p>
            <w:pPr>
              <w:ind w:left="140"/>
              <w:spacing w:after="0"/>
              <w:rPr>
                <w:sz w:val="20"/>
                <w:szCs w:val="20"/>
                <w:color w:val="auto"/>
              </w:rPr>
            </w:pPr>
            <w:r>
              <w:rPr>
                <w:rFonts w:ascii="Arial" w:cs="Arial" w:eastAsia="Arial" w:hAnsi="Arial"/>
                <w:sz w:val="16"/>
                <w:szCs w:val="16"/>
                <w:color w:val="auto"/>
              </w:rPr>
              <w:t>Adjustments to goodwill:</w:t>
            </w: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13"/>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45,145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45,145</w:t>
            </w:r>
          </w:p>
        </w:tc>
      </w:tr>
      <w:tr>
        <w:trPr>
          <w:trHeight w:val="207"/>
        </w:trPr>
        <w:tc>
          <w:tcPr>
            <w:tcW w:w="6740" w:type="dxa"/>
            <w:vAlign w:val="bottom"/>
          </w:tcPr>
          <w:p>
            <w:pPr>
              <w:ind w:left="220"/>
              <w:spacing w:after="0"/>
              <w:rPr>
                <w:sz w:val="20"/>
                <w:szCs w:val="20"/>
                <w:color w:val="auto"/>
              </w:rPr>
            </w:pPr>
            <w:r>
              <w:rPr>
                <w:rFonts w:ascii="Arial" w:cs="Arial" w:eastAsia="Arial" w:hAnsi="Arial"/>
                <w:sz w:val="16"/>
                <w:szCs w:val="16"/>
                <w:color w:val="auto"/>
              </w:rPr>
              <w:t>Foreign exchange adjustment</w:t>
            </w:r>
          </w:p>
        </w:tc>
        <w:tc>
          <w:tcPr>
            <w:tcW w:w="2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(1,188)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(1,188)</w:t>
            </w:r>
          </w:p>
        </w:tc>
      </w:tr>
      <w:tr>
        <w:trPr>
          <w:trHeight w:val="231"/>
        </w:trPr>
        <w:tc>
          <w:tcPr>
            <w:tcW w:w="6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2021</w:t>
            </w: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131,125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8,024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139,149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are summarized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As of September 30, 2021</w:t>
            </w: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Net Carrying Amount</w:t>
            </w: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14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33,975</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(28,112)</w:t>
            </w:r>
          </w:p>
        </w:tc>
        <w:tc>
          <w:tcPr>
            <w:tcW w:w="100" w:type="dxa"/>
            <w:vAlign w:val="bottom"/>
          </w:tcPr>
          <w:p>
            <w:pPr>
              <w:spacing w:after="0"/>
              <w:rPr>
                <w:sz w:val="17"/>
                <w:szCs w:val="17"/>
                <w:color w:val="auto"/>
              </w:rPr>
            </w:pPr>
          </w:p>
        </w:tc>
        <w:tc>
          <w:tcPr>
            <w:tcW w:w="820" w:type="dxa"/>
            <w:vAlign w:val="bottom"/>
          </w:tcPr>
          <w:p>
            <w:pPr>
              <w:jc w:val="right"/>
              <w:ind w:right="644"/>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5,863</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19,561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(14,651)</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4,910</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Trademarks</w:t>
            </w:r>
          </w:p>
        </w:tc>
        <w:tc>
          <w:tcPr>
            <w:tcW w:w="280" w:type="dxa"/>
            <w:vAlign w:val="bottom"/>
          </w:tcPr>
          <w:p>
            <w:pPr>
              <w:spacing w:after="0"/>
              <w:rPr>
                <w:sz w:val="17"/>
                <w:szCs w:val="17"/>
                <w:color w:val="auto"/>
              </w:rPr>
            </w:pPr>
          </w:p>
        </w:tc>
        <w:tc>
          <w:tcPr>
            <w:tcW w:w="1160" w:type="dxa"/>
            <w:vAlign w:val="bottom"/>
          </w:tcPr>
          <w:p>
            <w:pPr>
              <w:jc w:val="right"/>
              <w:ind w:right="4"/>
              <w:spacing w:after="0"/>
              <w:rPr>
                <w:sz w:val="20"/>
                <w:szCs w:val="20"/>
                <w:color w:val="auto"/>
              </w:rPr>
            </w:pPr>
            <w:r>
              <w:rPr>
                <w:rFonts w:ascii="Arial" w:cs="Arial" w:eastAsia="Arial" w:hAnsi="Arial"/>
                <w:sz w:val="16"/>
                <w:szCs w:val="16"/>
                <w:color w:val="auto"/>
              </w:rPr>
              <w:t>1,531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1,467</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Patents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7,007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 years</w:t>
            </w: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314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31"/>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62,388</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(44,254)</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64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18,134</w:t>
            </w:r>
          </w:p>
        </w:tc>
        <w:tc>
          <w:tcPr>
            <w:tcW w:w="1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8" w:name="page19"/>
    <w:bookmarkEnd w:id="18"/>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4"/>
                <w:szCs w:val="14"/>
                <w:b w:val="1"/>
                <w:bCs w:val="1"/>
                <w:color w:val="auto"/>
              </w:rPr>
              <w:t>As of December 31, 2020</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0"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jc w:val="center"/>
              <w:ind w:right="380"/>
              <w:spacing w:after="0" w:line="131" w:lineRule="exact"/>
              <w:rPr>
                <w:sz w:val="20"/>
                <w:szCs w:val="20"/>
                <w:color w:val="auto"/>
              </w:rPr>
            </w:pPr>
            <w:r>
              <w:rPr>
                <w:rFonts w:ascii="Arial" w:cs="Arial" w:eastAsia="Arial" w:hAnsi="Arial"/>
                <w:sz w:val="14"/>
                <w:szCs w:val="14"/>
                <w:b w:val="1"/>
                <w:bCs w:val="1"/>
                <w:color w:val="auto"/>
                <w:w w:val="97"/>
              </w:rPr>
              <w:t>Carrying</w:t>
            </w:r>
          </w:p>
        </w:tc>
        <w:tc>
          <w:tcPr>
            <w:tcW w:w="180" w:type="dxa"/>
            <w:vAlign w:val="bottom"/>
          </w:tcPr>
          <w:p>
            <w:pPr>
              <w:spacing w:after="0"/>
              <w:rPr>
                <w:sz w:val="11"/>
                <w:szCs w:val="11"/>
                <w:color w:val="auto"/>
              </w:rPr>
            </w:pPr>
          </w:p>
        </w:tc>
        <w:tc>
          <w:tcPr>
            <w:tcW w:w="1360" w:type="dxa"/>
            <w:vAlign w:val="bottom"/>
            <w:gridSpan w:val="2"/>
            <w:vMerge w:val="continue"/>
          </w:tcPr>
          <w:p>
            <w:pPr>
              <w:spacing w:after="0"/>
              <w:rPr>
                <w:sz w:val="11"/>
                <w:szCs w:val="11"/>
                <w:color w:val="auto"/>
              </w:rPr>
            </w:pP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Net Carrying Amount</w:t>
            </w:r>
          </w:p>
        </w:tc>
        <w:tc>
          <w:tcPr>
            <w:tcW w:w="120" w:type="dxa"/>
            <w:vAlign w:val="bottom"/>
          </w:tcPr>
          <w:p>
            <w:pPr>
              <w:spacing w:after="0"/>
              <w:rPr>
                <w:sz w:val="11"/>
                <w:szCs w:val="11"/>
                <w:color w:val="auto"/>
              </w:rPr>
            </w:pPr>
          </w:p>
        </w:tc>
        <w:tc>
          <w:tcPr>
            <w:tcW w:w="1420" w:type="dxa"/>
            <w:vAlign w:val="bottom"/>
          </w:tcPr>
          <w:p>
            <w:pPr>
              <w:jc w:val="center"/>
              <w:spacing w:after="0" w:line="131" w:lineRule="exact"/>
              <w:rPr>
                <w:sz w:val="20"/>
                <w:szCs w:val="20"/>
                <w:color w:val="auto"/>
              </w:rPr>
            </w:pPr>
            <w:r>
              <w:rPr>
                <w:rFonts w:ascii="Arial" w:cs="Arial" w:eastAsia="Arial" w:hAnsi="Arial"/>
                <w:sz w:val="14"/>
                <w:szCs w:val="14"/>
                <w:b w:val="1"/>
                <w:bCs w:val="1"/>
                <w:color w:val="auto"/>
                <w:w w:val="93"/>
              </w:rPr>
              <w:t>Amortization</w:t>
            </w:r>
          </w:p>
        </w:tc>
        <w:tc>
          <w:tcPr>
            <w:tcW w:w="0" w:type="dxa"/>
            <w:vAlign w:val="bottom"/>
          </w:tcPr>
          <w:p>
            <w:pPr>
              <w:spacing w:after="0"/>
              <w:rPr>
                <w:sz w:val="1"/>
                <w:szCs w:val="1"/>
                <w:color w:val="auto"/>
              </w:rPr>
            </w:pPr>
          </w:p>
        </w:tc>
      </w:tr>
      <w:tr>
        <w:trPr>
          <w:trHeight w:val="183"/>
        </w:trPr>
        <w:tc>
          <w:tcPr>
            <w:tcW w:w="5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Amount</w:t>
            </w:r>
          </w:p>
        </w:tc>
        <w:tc>
          <w:tcPr>
            <w:tcW w:w="1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3"/>
              </w:rPr>
              <w:t>Amortization</w:t>
            </w:r>
          </w:p>
        </w:tc>
        <w:tc>
          <w:tcPr>
            <w:tcW w:w="142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77"/>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 thousands)</w:t>
            </w: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Technology</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30,499</w:t>
            </w:r>
          </w:p>
        </w:tc>
        <w:tc>
          <w:tcPr>
            <w:tcW w:w="10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(26,818)</w:t>
            </w:r>
          </w:p>
        </w:tc>
        <w:tc>
          <w:tcPr>
            <w:tcW w:w="100" w:type="dxa"/>
            <w:vAlign w:val="bottom"/>
          </w:tcPr>
          <w:p>
            <w:pPr>
              <w:spacing w:after="0"/>
              <w:rPr>
                <w:sz w:val="17"/>
                <w:szCs w:val="17"/>
                <w:color w:val="auto"/>
              </w:rPr>
            </w:pPr>
          </w:p>
        </w:tc>
        <w:tc>
          <w:tcPr>
            <w:tcW w:w="800" w:type="dxa"/>
            <w:vAlign w:val="bottom"/>
          </w:tcPr>
          <w:p>
            <w:pPr>
              <w:jc w:val="right"/>
              <w:ind w:right="624"/>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3,681</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 years</w:t>
            </w:r>
          </w:p>
        </w:tc>
        <w:tc>
          <w:tcPr>
            <w:tcW w:w="0" w:type="dxa"/>
            <w:vAlign w:val="bottom"/>
          </w:tcPr>
          <w:p>
            <w:pPr>
              <w:spacing w:after="0"/>
              <w:rPr>
                <w:sz w:val="1"/>
                <w:szCs w:val="1"/>
                <w:color w:val="auto"/>
              </w:rPr>
            </w:pPr>
          </w:p>
        </w:tc>
      </w:tr>
      <w:tr>
        <w:trPr>
          <w:trHeight w:val="213"/>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Customer relationships</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16,981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(13,982)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 years</w:t>
            </w:r>
          </w:p>
        </w:tc>
        <w:tc>
          <w:tcPr>
            <w:tcW w:w="0" w:type="dxa"/>
            <w:vAlign w:val="bottom"/>
          </w:tcPr>
          <w:p>
            <w:pPr>
              <w:spacing w:after="0"/>
              <w:rPr>
                <w:sz w:val="1"/>
                <w:szCs w:val="1"/>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Patents</w:t>
            </w:r>
          </w:p>
        </w:tc>
        <w:tc>
          <w:tcPr>
            <w:tcW w:w="280" w:type="dxa"/>
            <w:vAlign w:val="bottom"/>
          </w:tcPr>
          <w:p>
            <w:pPr>
              <w:spacing w:after="0"/>
              <w:rPr>
                <w:sz w:val="17"/>
                <w:szCs w:val="17"/>
                <w:color w:val="auto"/>
              </w:rPr>
            </w:pPr>
          </w:p>
        </w:tc>
        <w:tc>
          <w:tcPr>
            <w:tcW w:w="1160" w:type="dxa"/>
            <w:vAlign w:val="bottom"/>
          </w:tcPr>
          <w:p>
            <w:pPr>
              <w:jc w:val="right"/>
              <w:ind w:right="5"/>
              <w:spacing w:after="0"/>
              <w:rPr>
                <w:sz w:val="20"/>
                <w:szCs w:val="20"/>
                <w:color w:val="auto"/>
              </w:rPr>
            </w:pPr>
            <w:r>
              <w:rPr>
                <w:rFonts w:ascii="Arial" w:cs="Arial" w:eastAsia="Arial" w:hAnsi="Arial"/>
                <w:sz w:val="16"/>
                <w:szCs w:val="16"/>
                <w:color w:val="auto"/>
              </w:rPr>
              <w:t>5,076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4,168</w:t>
            </w: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12.5 years</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314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years</w:t>
            </w:r>
          </w:p>
        </w:tc>
        <w:tc>
          <w:tcPr>
            <w:tcW w:w="0" w:type="dxa"/>
            <w:vAlign w:val="bottom"/>
          </w:tcPr>
          <w:p>
            <w:pPr>
              <w:spacing w:after="0"/>
              <w:rPr>
                <w:sz w:val="1"/>
                <w:szCs w:val="1"/>
                <w:color w:val="auto"/>
              </w:rPr>
            </w:pP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w:t>
            </w: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52,870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(41,943)</w:t>
            </w: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ind w:right="62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10,927</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0"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Amortization expense is calculated over the estimated useful life of the asset. Aggregate amortization expense for intangible assets was $0.9 million and $0.7 million for the three months ended September 30, 2021 and 2020, respectively, and $2.2 million and $2.1 million for the nine months ended September 30, 2021 and 2020, respectively. For the three and nine months ended September 30, 2021 and 2020, respectively, a portion of this amortization is included in cost of revenue. Estimated amortization expense for the next five years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jc w:val="center"/>
              <w:ind w:right="103"/>
              <w:spacing w:after="0"/>
              <w:rPr>
                <w:sz w:val="20"/>
                <w:szCs w:val="20"/>
                <w:color w:val="auto"/>
              </w:rPr>
            </w:pPr>
            <w:r>
              <w:rPr>
                <w:rFonts w:ascii="Arial" w:cs="Arial" w:eastAsia="Arial" w:hAnsi="Arial"/>
                <w:sz w:val="14"/>
                <w:szCs w:val="14"/>
                <w:b w:val="1"/>
                <w:bCs w:val="1"/>
                <w:color w:val="auto"/>
                <w:w w:val="92"/>
              </w:rPr>
              <w:t>Estimated</w:t>
            </w:r>
          </w:p>
        </w:tc>
      </w:tr>
      <w:tr>
        <w:trPr>
          <w:trHeight w:val="183"/>
        </w:trPr>
        <w:tc>
          <w:tcPr>
            <w:tcW w:w="9820" w:type="dxa"/>
            <w:vAlign w:val="bottom"/>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Amortization Expense</w:t>
            </w:r>
          </w:p>
        </w:tc>
      </w:tr>
      <w:tr>
        <w:trPr>
          <w:trHeight w:val="177"/>
        </w:trPr>
        <w:tc>
          <w:tcPr>
            <w:tcW w:w="9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(In thousands)</w:t>
            </w:r>
          </w:p>
        </w:tc>
      </w:tr>
      <w:tr>
        <w:trPr>
          <w:trHeight w:val="211"/>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2022</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3,546</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2024</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2,272</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1,872</w:t>
            </w:r>
          </w:p>
        </w:tc>
      </w:tr>
      <w:tr>
        <w:trPr>
          <w:trHeight w:val="207"/>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7,191</w:t>
            </w:r>
          </w:p>
        </w:tc>
      </w:tr>
      <w:tr>
        <w:trPr>
          <w:trHeight w:val="231"/>
        </w:trPr>
        <w:tc>
          <w:tcPr>
            <w:tcW w:w="98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18,134</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property and equipment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2020</w:t>
            </w:r>
          </w:p>
        </w:tc>
      </w:tr>
      <w:tr>
        <w:trPr>
          <w:trHeight w:val="177"/>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96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107,666</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Internal-use software development costs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113,019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86,454</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right-of-use assets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Furniture, equipment and building improvements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235,992</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204,165</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(117,266)</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(98,110)</w:t>
            </w:r>
          </w:p>
        </w:tc>
      </w:tr>
      <w:tr>
        <w:trPr>
          <w:trHeight w:val="231"/>
        </w:trPr>
        <w:tc>
          <w:tcPr>
            <w:tcW w:w="8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118,726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106,055</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19" w:name="page20"/>
    <w:bookmarkEnd w:id="19"/>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Accrued Expenses and Other Current Liabilities</w:t>
      </w:r>
    </w:p>
    <w:p>
      <w:pPr>
        <w:spacing w:after="0" w:line="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accrued expenses and other current liabilities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00" w:type="dxa"/>
            <w:vAlign w:val="bottom"/>
          </w:tcPr>
          <w:p>
            <w:pPr>
              <w:jc w:val="right"/>
              <w:ind w:right="203"/>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3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2020</w:t>
            </w:r>
          </w:p>
        </w:tc>
      </w:tr>
      <w:tr>
        <w:trPr>
          <w:trHeight w:val="177"/>
        </w:trPr>
        <w:tc>
          <w:tcPr>
            <w:tcW w:w="8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00" w:type="dxa"/>
            <w:vAlign w:val="bottom"/>
            <w:gridSpan w:val="4"/>
          </w:tcPr>
          <w:p>
            <w:pPr>
              <w:jc w:val="right"/>
              <w:ind w:right="923"/>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Professional services and consulting and other vendor fees</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57,215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38,796</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Payroll and other employee related costs</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28,834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39,820</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commissions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6,988</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Finance lease liability (Note 9)</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3,488</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Unrecognized tax benefits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2,039</w:t>
            </w:r>
          </w:p>
        </w:tc>
      </w:tr>
      <w:tr>
        <w:trPr>
          <w:trHeight w:val="207"/>
        </w:trPr>
        <w:tc>
          <w:tcPr>
            <w:tcW w:w="8320" w:type="dxa"/>
            <w:vAlign w:val="bottom"/>
          </w:tcPr>
          <w:p>
            <w:pPr>
              <w:ind w:left="20"/>
              <w:spacing w:after="0"/>
              <w:rPr>
                <w:sz w:val="20"/>
                <w:szCs w:val="20"/>
                <w:color w:val="auto"/>
              </w:rPr>
            </w:pPr>
            <w:r>
              <w:rPr>
                <w:rFonts w:ascii="Arial" w:cs="Arial" w:eastAsia="Arial" w:hAnsi="Arial"/>
                <w:sz w:val="16"/>
                <w:szCs w:val="16"/>
                <w:color w:val="auto"/>
              </w:rPr>
              <w:t>Restructuring (Note 13)</w:t>
            </w: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4,732</w:t>
            </w:r>
          </w:p>
        </w:tc>
      </w:tr>
      <w:tr>
        <w:trPr>
          <w:trHeight w:val="213"/>
        </w:trPr>
        <w:tc>
          <w:tcPr>
            <w:tcW w:w="8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 other than income tax</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2,954</w:t>
            </w:r>
          </w:p>
        </w:tc>
      </w:tr>
      <w:tr>
        <w:trPr>
          <w:trHeight w:val="207"/>
        </w:trPr>
        <w:tc>
          <w:tcPr>
            <w:tcW w:w="83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1,053</w:t>
            </w:r>
          </w:p>
        </w:tc>
      </w:tr>
      <w:tr>
        <w:trPr>
          <w:trHeight w:val="231"/>
        </w:trPr>
        <w:tc>
          <w:tcPr>
            <w:tcW w:w="8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105,596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99,870</w:t>
            </w: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Convertible Senior Notes and Capped Call Transactions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2024 and Capped Calls</w:t>
      </w:r>
    </w:p>
    <w:p>
      <w:pPr>
        <w:spacing w:after="0" w:line="239"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In March 2019, the Company issued $230.0 million aggregate principal amount of its 0.750% Convertible Senior Notes due 2024 (the "2024 Notes") in a private placement, which amount includes $30.0 million aggregate principal amount of such Notes issued pursuant to the exercise in full by the initial purchasers of their option to purchase additional 2024 Notes. Interest on the Notes is payable semi-annually in arrears on March 1 and September 1 of each year, beginning on September 1, 2019.</w:t>
      </w:r>
    </w:p>
    <w:p>
      <w:pPr>
        <w:spacing w:after="0" w:line="218"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The 2024 Notes will mature on March 1, 2024, unless earlier repurchased or redeemed by the Company or converted pursuant to their terms. The total net proceeds from the offering of the 2024 Notes, after deducting debt issuance costs, paid, or payable by the Company, was approximately $221.4 million.</w:t>
      </w:r>
    </w:p>
    <w:p>
      <w:pPr>
        <w:spacing w:after="0" w:line="161" w:lineRule="exact"/>
        <w:rPr>
          <w:sz w:val="20"/>
          <w:szCs w:val="20"/>
          <w:color w:val="auto"/>
        </w:rPr>
      </w:pPr>
    </w:p>
    <w:p>
      <w:pPr>
        <w:jc w:val="both"/>
        <w:ind w:firstLine="420"/>
        <w:spacing w:after="0" w:line="281" w:lineRule="auto"/>
        <w:rPr>
          <w:sz w:val="20"/>
          <w:szCs w:val="20"/>
          <w:color w:val="auto"/>
        </w:rPr>
      </w:pPr>
      <w:r>
        <w:rPr>
          <w:rFonts w:ascii="Arial" w:cs="Arial" w:eastAsia="Arial" w:hAnsi="Arial"/>
          <w:sz w:val="16"/>
          <w:szCs w:val="16"/>
          <w:color w:val="auto"/>
        </w:rPr>
        <w:t>Each $1,000 in principal amount of the 2024 Notes is initially convertible into 25.9182 shares of the Company’s common stock par value $0.001, which is equivalent to an initial conversion price of approximately $38.58 per share. The conversion rate is subject to adjustment upon the occurrence of certain specified events but will not be adjusted for any accrued and unpaid interest. In addition, following certain corporate events that occur prior to the maturity date, the Company will increase the conversion rate for a holder who elects to convert its 2024 Notes in connection with such a corporate event. The 2024 Notes are not redeemable prior to the maturity date of the 2024 Notes and no sinking fund is provided for the 2024 Notes. If the Company undergoes a fundamental change (as defined in the indenture governing the 2024 Notes) prior to the maturity date, holders may require the Company to repurchase for cash all or any portion of their Notes in principal amounts of $1,000 or a multiple thereof at a fundamental change repurchase price equal to 100% of the principal amount of the 2024 Notes to be repurchased, plus accrued and unpaid interest to, but excluding, the fundamental change repurchase date.</w:t>
      </w:r>
    </w:p>
    <w:p>
      <w:pPr>
        <w:spacing w:after="0" w:line="193"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Holders of the 2024 Notes may convert their 2024 Notes at their option at any time prior to the close of business on the business day immediately preceding November 1, 2023, in multiples of $1,000 principal amount, only under the following circumstances: (1) during any calendar quarter commencing after the calendar quarter ending on June 30, 2019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2024 Notes on each applicable trading day as determined by the Company; (2) during the five business day period after any five consecutive trading day period (the “measurement period”) in which the “trading price” (as defined in the indenture governing the 2024 Notes) per $1,000 principal amount of 2024 Notes for each trading day of the measurement period was less than 98% of the product of the last reported sale price of the Company’s common stock and the conversion rate for the 2024 Notes on each such trading day; or (3) upon the occurrence of specified corporate events. On or after November 1, 2023, holders may convert all or any portion of their 2024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0" w:name="page21"/>
    <w:bookmarkEnd w:id="20"/>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During the three months ended September 30, 2021, the conditions allowing holders of the 2024 Notes to convert were met and, thus, holders of the 2024 Notes maintain the option to convert their 2024 Notes during the quarter ending December 31, 2021.</w:t>
      </w:r>
    </w:p>
    <w:p>
      <w:pPr>
        <w:spacing w:after="0" w:line="20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2024 Notes are senior unsecured obligations and will rank senior in right of payment to any of the Company’s indebtedness that is expressly subordinated in right of payment to the 2024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87"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In accounting for the issuance of the 2024 Notes, the Company separated the 2024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$52.9 million and was determined by deducting the fair value of the liability component from the par value of the 2024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terms of the 2024 Notes.</w:t>
      </w:r>
    </w:p>
    <w:p>
      <w:pPr>
        <w:spacing w:after="0" w:line="19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In accounting for the transaction costs related to the 2024 Notes, the Company allocated the total amount incurred of approximately $8.6 million to the liability and equity components of the 2024 Notes based on the proportion of the proceeds allocated to the debt and equity components. Issuance costs attributable to the liability component were approximately $6.6 million, were recorded as an additional debt discount and are amortized to interest expense using the effective interest method over the contractual term of the 2024 Notes. Issuance costs attributable to the equity component were approximately $2.0 million and recorded as a reduction of additional paid in capital in stockholders’ equity.</w:t>
      </w:r>
    </w:p>
    <w:p>
      <w:pPr>
        <w:spacing w:after="0" w:line="190"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In connection with the offering of the 2024 Notes, the Company entered into privately-negotiated capped call option transactions with certain counterparties (the “2024 capped call”). The 2024 capped calls each have an initial strike price of approximately $38.58 per share, subject to certain adjustments, which corresponds to the initial conversion price of the 2024 Notes. The 2024 capped calls have initial cap prices of $57.16 per share, subject to certain adjustment events. The 2024 capped calls cover, subject to anti-dilution adjustments, approximately 5.96 million shares of common stock. The 2024 capped calls are generally intended to reduce or offset the potential dilution to the common stock upon any conversion of the 2024 Notes with such reduction or offset, as the case may be, subject to a cap based on the cap price. The 2024 capped calls expire on March 1, 2024, subject to earlier exercise. The 2024 capped calls are subject to either adjustment or termination upon the occurrence of specified extraordinary events affecting the Company, including a merger event, a tender offer, and a nationalization, insolvency or delisting involving the Company. In addition, the 2024 capped calls are subject to certain specified additional disruption events that may give rise to a termination of the 2024 capped calls, including changes in law, failure to deliver, and hedging disruptions. The 2024 capped calls are recorded in stockholders’ equity and are not accounted for as derivatives. The net cost of $23.2 million incurred to purchase the 2024 capped calls was recorded as a reduction to additional paid-in capital in the accompanying consolidated balance sheet.</w:t>
      </w:r>
    </w:p>
    <w:p>
      <w:pPr>
        <w:spacing w:after="0" w:line="203"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remaining term over which the 2024 Notes debt discount and debt issuance costs will be amortized is 2.4 years. The effective interest rate on the debt was 3.74% for the period ended September 30,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Senior Notes due 2026 and Capped Calls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In December 2020, the Company issued $517.5 million aggregate principal amount of its 0% Convertible Senior Notes due 2026 (the "2026 Notes" and together with the 2024 Notes, the "Notes") in a private placement, which amount includes $67.5 million aggregate principal amount of such Notes issued pursuant to the exercise in full by the initial purchasers of their option to purchase additional 2026 Notes.</w:t>
      </w:r>
    </w:p>
    <w:p>
      <w:pPr>
        <w:spacing w:after="0" w:line="214" w:lineRule="exact"/>
        <w:rPr>
          <w:sz w:val="20"/>
          <w:szCs w:val="20"/>
          <w:color w:val="auto"/>
        </w:rPr>
      </w:pPr>
    </w:p>
    <w:p>
      <w:pPr>
        <w:jc w:val="both"/>
        <w:ind w:firstLine="420"/>
        <w:spacing w:after="0" w:line="361" w:lineRule="auto"/>
        <w:rPr>
          <w:sz w:val="20"/>
          <w:szCs w:val="20"/>
          <w:color w:val="auto"/>
        </w:rPr>
      </w:pPr>
      <w:r>
        <w:rPr>
          <w:rFonts w:ascii="Arial" w:cs="Arial" w:eastAsia="Arial" w:hAnsi="Arial"/>
          <w:sz w:val="15"/>
          <w:szCs w:val="15"/>
          <w:color w:val="auto"/>
        </w:rPr>
        <w:t>The 2026 Notes will mature on December 15, 2026, unless earlier repurchased or redeemed by the Company or converted pursuant to their terms. The total net proceeds from the offering of the 2026 Notes, after deducting debt issuance costs, paid or payable by the Company, was approximately $505.3 million.</w:t>
      </w:r>
    </w:p>
    <w:p>
      <w:pPr>
        <w:spacing w:after="0" w:line="138"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Each $1,000 in principal amount of the 2026 Notes is initially convertible into 13.2933 shares of the Company’s common stock par value $0.001, which is equivalent to an initial conversion price of approximately $75.23 per share. The conversion</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1" w:name="page22"/>
    <w:bookmarkEnd w:id="21"/>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rate is subject to adjustment upon the occurrence of certain specified events but will not be adjusted for any accrued and unpaid special interest. In addition, following certain corporate events that occur prior to the maturity date, the Company will increase the conversion rate for a holder who elects to convert its 2026 Notes in connection with such a corporate event. The 2026 Notes are not redeemable prior to the maturity date of the 2026 Notes and no sinking fund is provided for the 2026 Notes. If the Company undergoes a fundamental change (as defined in the indenture governing the 2026 Notes) prior to the maturity date, holders may require the Company to repurchase for cash all or any portion of their Notes in principal amounts of $1,000 or a multiple thereof at a fundamental change repurchase price equal to 100% of the principal amount of the 2026 Notes to be repurchased, plus accrued and unpaid special interest to, but excluding, the fundamental change repurchase date.</w:t>
      </w:r>
    </w:p>
    <w:p>
      <w:pPr>
        <w:spacing w:after="0" w:line="193"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Holders of the 2026 Notes may convert their 2026 Notes at their option at any time prior to the close of business on the business day immediately preceding August 15, 2026, in multiples of $1,000 principal amount, only under the following circumstances: (1) during any calendar quarter commencing after the calendar quarter ending on March 31, 2021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for the 2026 Notes on each applicable trading day as determined by the Company; (2) during the five business day period after any five consecutive trading day period (the “measurement period”) in which the “trading price” (as defined in the indenture governing the 2026 Notes) per $1,000 principal amount of 2026 Notes for each trading day of the measurement period was less than 98% of the product of the last reported sale price of the Company’s common stock and the conversion rate for the 2026 Notes on each such trading day; (3) with respect to any Notes that the Company calls for redemption, at any time prior to the close of business on the scheduled trading day immediately preceding the redemption date; or (4) upon the occurrence of specified corporate events. On or after August 15, 2026, holders may convert all or any portion of their 2026 Notes at any time prior to the close of business on the second scheduled trading day immediately preceding the maturity date, regardless of the foregoing circumstances. Upon conversion, the Company will pay or deliver, as the case may be, cash, shares of its common stock or a combination of cash and shares of its common stock, at the Company’s election.</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three months ended September 30, 2021, the conditions allowing holders of the 2026 Notes to convert were not met.</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The 2026 Notes are senior unsecured obligations and will rank senior in right of payment to any of the Company’s indebtedness that is expressly subordinated in right of payment to the 2026 Notes; equal in right of payment with the Company’s existing and future liabilities that are not so subordinated; effectively subordinated to any of the Company’s secured indebtedness to the extent of the value of the assets securing such indebtedness; and structurally junior to all indebtedness and other liabilities (including trade payables) of current or future subsidiaries of the Company.</w:t>
      </w:r>
    </w:p>
    <w:p>
      <w:pPr>
        <w:spacing w:after="0" w:line="187"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In accounting for the issuance of the 2026 Notes, the Company separated the 2026 Notes into liability and equity components. The carrying amount of the liability component was calculated by measuring the fair value of a similar debt instrument that does not have an associated convertible feature. The carrying amount of the equity component representing the conversion option was $162.5 million and was determined by deducting the fair value of the liability component from the par value of the 2026 Notes. The equity component is not remeasured as long as it continues to meet the conditions for equity classification. The excess of the principal amount of the liability component over its carrying amount, or the debt discount, is amortized to interest expense at an effective interest rate over the contractual term of the 2026 Notes.</w:t>
      </w:r>
    </w:p>
    <w:p>
      <w:pPr>
        <w:spacing w:after="0" w:line="19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In accounting for the transaction costs related to the 2026 Notes, the Company allocated the total amount incurred of approximately $12.2 million to the liability and equity components of the 2026 Notes based on the proportion of the proceeds allocated to the debt and equity components. Issuance costs attributable to the liability component were approximately $8.5 million, were recorded as an additional debt discount and are amortized to interest expense using the effective interest method over the contractual terms of the 2026 Notes. Issuance costs attributable to the equity component were approximately $3.7 million and recorded as a reduction of additional paid in capital in stockholders’ equity.</w:t>
      </w:r>
    </w:p>
    <w:p>
      <w:pPr>
        <w:spacing w:after="0" w:line="190"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remaining term over which the 2026 Notes debt discount and debt issuance costs will be amortized is 5.2 years. The effective interest rate on the debt was 5.77% for the period ended September 30, 2021.</w:t>
      </w:r>
    </w:p>
    <w:p>
      <w:pPr>
        <w:spacing w:after="0" w:line="208"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In connection with the offering of the 2026 Notes, the Company entered into privately-negotiated capped call option transactions with certain counterparties (the “2026 capped call”). The 2026 capped calls each have an initial strike price of approximately $75.23 per share, subject to certain adjustments, which corresponds to the initial conversion price of the 2026 Notes. The 2026 capped calls have initial cap prices of $105.58 per share, subject to certain adjustment events. The 2026</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2" w:name="page23"/>
    <w:bookmarkEnd w:id="22"/>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capped calls cover, subject to anti-dilution adjustments, approximately 6.88 million shares of common stock. The 2026 capped calls are generally intended to reduce or offset the potential dilution to the common stock upon any conversion of the 2026 Notes with such reduction or offset, as the case may be, subject to a cap based on the cap price. The 2026 capped calls expire on December 15, 2026, subject to earlier exercise. The 2026 capped calls are subject to either adjustment or termination upon the occurrence of specified extraordinary events affecting the Company, including a merger event, a tender offer, and a nationalization, insolvency or delisting involving the Company. In addition, the 2026 capped calls are subject to certain specified additional disruption events that may give rise to a termination of the 2026 capped calls, including changes in law, failure to deliver, and hedging disruptions. The 2026 capped calls are recorded in stockholders’ equity and are not accounted for as derivatives. The net cost of $46.1 million incurred to purchase the 2026 capped calls was recorded as a reduction to additional paid-in capital in the accompanying consolidated balance sheet.</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carrying amount of the liability component of the Notes was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4"/>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177"/>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747,500</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Unamortized discount</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(171,500)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(196,269)</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Unamortized issuance costs</w:t>
            </w:r>
          </w:p>
        </w:tc>
        <w:tc>
          <w:tcPr>
            <w:tcW w:w="18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(12,799)</w:t>
            </w:r>
          </w:p>
        </w:tc>
      </w:tr>
      <w:tr>
        <w:trPr>
          <w:trHeight w:val="206"/>
        </w:trPr>
        <w:tc>
          <w:tcPr>
            <w:tcW w:w="8280" w:type="dxa"/>
            <w:vAlign w:val="bottom"/>
          </w:tcPr>
          <w:p>
            <w:pPr>
              <w:ind w:left="260"/>
              <w:spacing w:after="0"/>
              <w:rPr>
                <w:sz w:val="20"/>
                <w:szCs w:val="20"/>
                <w:color w:val="auto"/>
              </w:rPr>
            </w:pPr>
            <w:r>
              <w:rPr>
                <w:rFonts w:ascii="Arial" w:cs="Arial" w:eastAsia="Arial" w:hAnsi="Arial"/>
                <w:sz w:val="16"/>
                <w:szCs w:val="16"/>
                <w:color w:val="auto"/>
              </w:rPr>
              <w:t>Net carrying amount</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565,059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538,432</w:t>
            </w:r>
          </w:p>
        </w:tc>
      </w:tr>
      <w:tr>
        <w:trPr>
          <w:trHeight w:val="20"/>
        </w:trPr>
        <w:tc>
          <w:tcPr>
            <w:tcW w:w="8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116" w:lineRule="exact"/>
        <w:rPr>
          <w:sz w:val="20"/>
          <w:szCs w:val="20"/>
          <w:color w:val="auto"/>
        </w:rPr>
      </w:pPr>
    </w:p>
    <w:p>
      <w:pPr>
        <w:ind w:left="420"/>
        <w:spacing w:after="0"/>
        <w:rPr>
          <w:sz w:val="20"/>
          <w:szCs w:val="20"/>
          <w:color w:val="auto"/>
        </w:rPr>
      </w:pPr>
      <w:r>
        <w:rPr>
          <w:rFonts w:ascii="Arial" w:cs="Arial" w:eastAsia="Arial" w:hAnsi="Arial"/>
          <w:sz w:val="15"/>
          <w:szCs w:val="15"/>
          <w:color w:val="auto"/>
        </w:rPr>
        <w:t>The net carrying amount of the equity component of the Notes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440055</wp:posOffset>
            </wp:positionV>
            <wp:extent cx="7136130" cy="1333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130" cy="133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Proceeds allocated to the conversion options (debt discount)</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7136130" cy="1581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158115"/>
                    </a:xfrm>
                    <a:prstGeom prst="rect">
                      <a:avLst/>
                    </a:prstGeom>
                    <a:noFill/>
                  </pic:spPr>
                </pic:pic>
              </a:graphicData>
            </a:graphic>
          </wp:anchor>
        </w:drawing>
      </w:r>
    </w:p>
    <w:p>
      <w:pPr>
        <w:spacing w:after="0" w:line="4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carrying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jc w:val="center"/>
        <w:ind w:right="9"/>
        <w:spacing w:after="0"/>
        <w:rPr>
          <w:sz w:val="20"/>
          <w:szCs w:val="20"/>
          <w:color w:val="auto"/>
        </w:rPr>
      </w:pPr>
      <w:r>
        <w:rPr>
          <w:rFonts w:ascii="Arial" w:cs="Arial" w:eastAsia="Arial" w:hAnsi="Arial"/>
          <w:sz w:val="14"/>
          <w:szCs w:val="14"/>
          <w:b w:val="1"/>
          <w:bCs w:val="1"/>
          <w:color w:val="auto"/>
        </w:rPr>
        <w:t>September 30,</w:t>
      </w:r>
    </w:p>
    <w:p>
      <w:pPr>
        <w:jc w:val="center"/>
        <w:ind w:right="9"/>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10160</wp:posOffset>
            </wp:positionV>
            <wp:extent cx="9086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271"/>
        <w:spacing w:after="0"/>
        <w:rPr>
          <w:sz w:val="20"/>
          <w:szCs w:val="20"/>
          <w:color w:val="auto"/>
        </w:rPr>
      </w:pPr>
      <w:r>
        <w:rPr>
          <w:rFonts w:ascii="Arial" w:cs="Arial" w:eastAsia="Arial" w:hAnsi="Arial"/>
          <w:sz w:val="14"/>
          <w:szCs w:val="14"/>
          <w:b w:val="1"/>
          <w:bCs w:val="1"/>
          <w:color w:val="auto"/>
        </w:rPr>
        <w:t>(In thousands)</w:t>
      </w:r>
    </w:p>
    <w:p>
      <w:pPr>
        <w:spacing w:after="0" w:line="35" w:lineRule="exact"/>
        <w:rPr>
          <w:sz w:val="20"/>
          <w:szCs w:val="20"/>
          <w:color w:val="auto"/>
        </w:rPr>
      </w:pPr>
    </w:p>
    <w:p>
      <w:pPr>
        <w:ind w:left="831" w:hanging="831"/>
        <w:spacing w:after="0"/>
        <w:tabs>
          <w:tab w:leader="none" w:pos="831" w:val="left"/>
        </w:tabs>
        <w:numPr>
          <w:ilvl w:val="0"/>
          <w:numId w:val="7"/>
        </w:numPr>
        <w:rPr>
          <w:rFonts w:ascii="Arial" w:cs="Arial" w:eastAsia="Arial" w:hAnsi="Arial"/>
          <w:sz w:val="15"/>
          <w:szCs w:val="15"/>
          <w:color w:val="auto"/>
        </w:rPr>
      </w:pPr>
      <w:r>
        <w:rPr>
          <w:rFonts w:ascii="Arial" w:cs="Arial" w:eastAsia="Arial" w:hAnsi="Arial"/>
          <w:sz w:val="15"/>
          <w:szCs w:val="15"/>
          <w:color w:val="auto"/>
        </w:rPr>
        <w:t>215,434</w:t>
      </w:r>
    </w:p>
    <w:p>
      <w:pPr>
        <w:spacing w:after="0" w:line="37" w:lineRule="exact"/>
        <w:rPr>
          <w:rFonts w:ascii="Arial" w:cs="Arial" w:eastAsia="Arial" w:hAnsi="Arial"/>
          <w:sz w:val="15"/>
          <w:szCs w:val="15"/>
          <w:color w:val="auto"/>
        </w:rPr>
      </w:pPr>
    </w:p>
    <w:p>
      <w:pPr>
        <w:ind w:left="931"/>
        <w:spacing w:after="0"/>
        <w:rPr>
          <w:rFonts w:ascii="Arial" w:cs="Arial" w:eastAsia="Arial" w:hAnsi="Arial"/>
          <w:sz w:val="15"/>
          <w:szCs w:val="15"/>
          <w:color w:val="auto"/>
        </w:rPr>
      </w:pPr>
      <w:r>
        <w:rPr>
          <w:rFonts w:ascii="Arial" w:cs="Arial" w:eastAsia="Arial" w:hAnsi="Arial"/>
          <w:sz w:val="14"/>
          <w:szCs w:val="14"/>
          <w:color w:val="auto"/>
        </w:rPr>
        <w:t>(5,783)</w:t>
      </w:r>
    </w:p>
    <w:p>
      <w:pPr>
        <w:spacing w:after="0" w:line="62" w:lineRule="exact"/>
        <w:rPr>
          <w:sz w:val="20"/>
          <w:szCs w:val="20"/>
          <w:color w:val="auto"/>
        </w:rPr>
      </w:pPr>
    </w:p>
    <w:p>
      <w:pPr>
        <w:ind w:left="831" w:hanging="831"/>
        <w:spacing w:after="0"/>
        <w:tabs>
          <w:tab w:leader="none" w:pos="831" w:val="left"/>
        </w:tabs>
        <w:numPr>
          <w:ilvl w:val="0"/>
          <w:numId w:val="8"/>
        </w:numPr>
        <w:rPr>
          <w:rFonts w:ascii="Arial" w:cs="Arial" w:eastAsia="Arial" w:hAnsi="Arial"/>
          <w:sz w:val="15"/>
          <w:szCs w:val="15"/>
          <w:color w:val="auto"/>
        </w:rPr>
      </w:pPr>
      <w:r>
        <w:rPr>
          <w:rFonts w:ascii="Arial" w:cs="Arial" w:eastAsia="Arial" w:hAnsi="Arial"/>
          <w:sz w:val="15"/>
          <w:szCs w:val="15"/>
          <w:color w:val="auto"/>
        </w:rPr>
        <w:t>209,651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46990</wp:posOffset>
            </wp:positionV>
            <wp:extent cx="9086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9109" w:space="720"/>
            <w:col w:w="1411"/>
          </w:cols>
          <w:pgMar w:left="320" w:top="174" w:right="339" w:bottom="1440" w:gutter="0" w:footer="0" w:header="0"/>
          <w:type w:val="continuous"/>
        </w:sectPr>
      </w:pPr>
    </w:p>
    <w:p>
      <w:pPr>
        <w:spacing w:after="0" w:line="1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interest expense recognized related to the Notes: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2400" w:type="dxa"/>
            <w:vAlign w:val="bottom"/>
            <w:gridSpan w:val="4"/>
          </w:tcPr>
          <w:p>
            <w:pPr>
              <w:jc w:val="right"/>
              <w:ind w:right="244"/>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r>
      <w:tr>
        <w:trPr>
          <w:trHeight w:val="189"/>
        </w:trPr>
        <w:tc>
          <w:tcPr>
            <w:tcW w:w="53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444"/>
              <w:spacing w:after="0"/>
              <w:rPr>
                <w:sz w:val="20"/>
                <w:szCs w:val="20"/>
                <w:color w:val="auto"/>
              </w:rPr>
            </w:pPr>
            <w:r>
              <w:rPr>
                <w:rFonts w:ascii="Arial" w:cs="Arial" w:eastAsia="Arial" w:hAnsi="Arial"/>
                <w:sz w:val="14"/>
                <w:szCs w:val="14"/>
                <w:b w:val="1"/>
                <w:bCs w:val="1"/>
                <w:color w:val="auto"/>
                <w:w w:val="98"/>
              </w:rPr>
              <w:t>September 30,</w:t>
            </w:r>
          </w:p>
        </w:tc>
        <w:tc>
          <w:tcPr>
            <w:tcW w:w="5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2"/>
        </w:trPr>
        <w:tc>
          <w:tcPr>
            <w:tcW w:w="5340" w:type="dxa"/>
            <w:vAlign w:val="bottom"/>
          </w:tcPr>
          <w:p>
            <w:pPr>
              <w:spacing w:after="0"/>
              <w:rPr>
                <w:sz w:val="15"/>
                <w:szCs w:val="15"/>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5"/>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4"/>
                <w:szCs w:val="14"/>
                <w:b w:val="1"/>
                <w:bCs w:val="1"/>
                <w:color w:val="auto"/>
                <w:w w:val="99"/>
              </w:rPr>
              <w:t>(In thousands)</w:t>
            </w: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Contractual interest expense</w:t>
            </w:r>
          </w:p>
        </w:tc>
        <w:tc>
          <w:tcPr>
            <w:tcW w:w="920" w:type="dxa"/>
            <w:vAlign w:val="bottom"/>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24"/>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431</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1,294</w:t>
            </w:r>
          </w:p>
        </w:tc>
        <w:tc>
          <w:tcPr>
            <w:tcW w:w="64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r>
      <w:tr>
        <w:trPr>
          <w:trHeight w:val="207"/>
        </w:trPr>
        <w:tc>
          <w:tcPr>
            <w:tcW w:w="5340" w:type="dxa"/>
            <w:vAlign w:val="bottom"/>
          </w:tcPr>
          <w:p>
            <w:pPr>
              <w:ind w:left="20"/>
              <w:spacing w:after="0"/>
              <w:rPr>
                <w:sz w:val="20"/>
                <w:szCs w:val="20"/>
                <w:color w:val="auto"/>
              </w:rPr>
            </w:pPr>
            <w:r>
              <w:rPr>
                <w:rFonts w:ascii="Arial" w:cs="Arial" w:eastAsia="Arial" w:hAnsi="Arial"/>
                <w:sz w:val="16"/>
                <w:szCs w:val="16"/>
                <w:color w:val="auto"/>
              </w:rPr>
              <w:t>Amortization of issuance costs</w:t>
            </w:r>
          </w:p>
        </w:tc>
        <w:tc>
          <w:tcPr>
            <w:tcW w:w="9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jc w:val="right"/>
              <w:ind w:right="3"/>
              <w:spacing w:after="0"/>
              <w:rPr>
                <w:sz w:val="20"/>
                <w:szCs w:val="20"/>
                <w:color w:val="auto"/>
              </w:rPr>
            </w:pPr>
            <w:r>
              <w:rPr>
                <w:rFonts w:ascii="Arial" w:cs="Arial" w:eastAsia="Arial" w:hAnsi="Arial"/>
                <w:sz w:val="16"/>
                <w:szCs w:val="16"/>
                <w:color w:val="auto"/>
              </w:rPr>
              <w:t>308</w:t>
            </w:r>
          </w:p>
        </w:tc>
        <w:tc>
          <w:tcPr>
            <w:tcW w:w="560" w:type="dxa"/>
            <w:vAlign w:val="bottom"/>
          </w:tcPr>
          <w:p>
            <w:pPr>
              <w:spacing w:after="0"/>
              <w:rPr>
                <w:sz w:val="17"/>
                <w:szCs w:val="17"/>
                <w:color w:val="auto"/>
              </w:rPr>
            </w:pPr>
          </w:p>
        </w:tc>
        <w:tc>
          <w:tcPr>
            <w:tcW w:w="940" w:type="dxa"/>
            <w:vAlign w:val="bottom"/>
          </w:tcPr>
          <w:p>
            <w:pPr>
              <w:jc w:val="right"/>
              <w:ind w:right="25"/>
              <w:spacing w:after="0"/>
              <w:rPr>
                <w:sz w:val="20"/>
                <w:szCs w:val="20"/>
                <w:color w:val="auto"/>
              </w:rPr>
            </w:pPr>
            <w:r>
              <w:rPr>
                <w:rFonts w:ascii="Arial" w:cs="Arial" w:eastAsia="Arial" w:hAnsi="Arial"/>
                <w:sz w:val="16"/>
                <w:szCs w:val="16"/>
                <w:color w:val="auto"/>
              </w:rPr>
              <w:t>1,858</w:t>
            </w:r>
          </w:p>
        </w:tc>
        <w:tc>
          <w:tcPr>
            <w:tcW w:w="6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908</w:t>
            </w:r>
          </w:p>
        </w:tc>
      </w:tr>
      <w:tr>
        <w:trPr>
          <w:trHeight w:val="210"/>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debt discount</w:t>
            </w:r>
          </w:p>
        </w:tc>
        <w:tc>
          <w:tcPr>
            <w:tcW w:w="9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8,396</w:t>
            </w:r>
          </w:p>
        </w:tc>
        <w:tc>
          <w:tcPr>
            <w:tcW w:w="1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2,450</w:t>
            </w:r>
          </w:p>
        </w:tc>
        <w:tc>
          <w:tcPr>
            <w:tcW w:w="5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6"/>
                <w:szCs w:val="16"/>
                <w:color w:val="auto"/>
              </w:rPr>
              <w:t>24,770</w:t>
            </w:r>
          </w:p>
        </w:tc>
        <w:tc>
          <w:tcPr>
            <w:tcW w:w="6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7,227</w:t>
            </w:r>
          </w:p>
        </w:tc>
      </w:tr>
      <w:tr>
        <w:trPr>
          <w:trHeight w:val="206"/>
        </w:trPr>
        <w:tc>
          <w:tcPr>
            <w:tcW w:w="5340" w:type="dxa"/>
            <w:vAlign w:val="bottom"/>
          </w:tcPr>
          <w:p>
            <w:pPr>
              <w:ind w:left="240"/>
              <w:spacing w:after="0"/>
              <w:rPr>
                <w:sz w:val="20"/>
                <w:szCs w:val="20"/>
                <w:color w:val="auto"/>
              </w:rPr>
            </w:pPr>
            <w:r>
              <w:rPr>
                <w:rFonts w:ascii="Arial" w:cs="Arial" w:eastAsia="Arial" w:hAnsi="Arial"/>
                <w:sz w:val="16"/>
                <w:szCs w:val="16"/>
                <w:color w:val="auto"/>
              </w:rPr>
              <w:t>Total interest expense</w:t>
            </w:r>
          </w:p>
        </w:tc>
        <w:tc>
          <w:tcPr>
            <w:tcW w:w="920" w:type="dxa"/>
            <w:vAlign w:val="bottom"/>
            <w:tcBorders>
              <w:bottom w:val="single" w:sz="8" w:color="auto"/>
            </w:tcBorders>
          </w:tcPr>
          <w:p>
            <w:pPr>
              <w:jc w:val="right"/>
              <w:ind w:right="74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9,457</w:t>
            </w:r>
          </w:p>
        </w:tc>
        <w:tc>
          <w:tcPr>
            <w:tcW w:w="100" w:type="dxa"/>
            <w:vAlign w:val="bottom"/>
          </w:tcPr>
          <w:p>
            <w:pPr>
              <w:spacing w:after="0"/>
              <w:rPr>
                <w:sz w:val="17"/>
                <w:szCs w:val="17"/>
                <w:color w:val="auto"/>
              </w:rPr>
            </w:pPr>
          </w:p>
        </w:tc>
        <w:tc>
          <w:tcPr>
            <w:tcW w:w="900" w:type="dxa"/>
            <w:vAlign w:val="bottom"/>
            <w:tcBorders>
              <w:bottom w:val="single" w:sz="8" w:color="auto"/>
            </w:tcBorders>
          </w:tcPr>
          <w:p>
            <w:pPr>
              <w:jc w:val="right"/>
              <w:ind w:right="724"/>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3,189</w:t>
            </w:r>
          </w:p>
        </w:tc>
        <w:tc>
          <w:tcPr>
            <w:tcW w:w="56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25"/>
              <w:spacing w:after="0"/>
              <w:rPr>
                <w:sz w:val="20"/>
                <w:szCs w:val="20"/>
                <w:color w:val="auto"/>
              </w:rPr>
            </w:pPr>
            <w:r>
              <w:rPr>
                <w:rFonts w:ascii="Arial" w:cs="Arial" w:eastAsia="Arial" w:hAnsi="Arial"/>
                <w:sz w:val="16"/>
                <w:szCs w:val="16"/>
                <w:color w:val="auto"/>
              </w:rPr>
              <w:t>27,922</w:t>
            </w:r>
          </w:p>
        </w:tc>
        <w:tc>
          <w:tcPr>
            <w:tcW w:w="6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9,429</w:t>
            </w:r>
          </w:p>
        </w:tc>
      </w:tr>
      <w:tr>
        <w:trPr>
          <w:trHeight w:val="20"/>
        </w:trPr>
        <w:tc>
          <w:tcPr>
            <w:tcW w:w="5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315"/>
        <w:spacing w:after="0" w:line="250" w:lineRule="auto"/>
        <w:rPr>
          <w:sz w:val="20"/>
          <w:szCs w:val="20"/>
          <w:color w:val="auto"/>
        </w:rPr>
      </w:pPr>
      <w:r>
        <w:rPr>
          <w:rFonts w:ascii="Arial" w:cs="Arial" w:eastAsia="Arial" w:hAnsi="Arial"/>
          <w:sz w:val="18"/>
          <w:szCs w:val="18"/>
          <w:color w:val="auto"/>
        </w:rPr>
        <w:t>Interest expense of $9.5 million and $27.9 million are reflected as a component of interest expense, net in the accompanying condensed consolidated statement of operations for the three and nine months ended September 30, 2021, respectively.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Acquisitions</w:t>
      </w:r>
    </w:p>
    <w:p>
      <w:pPr>
        <w:spacing w:after="0" w:line="228"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In July 2021, the Company acquired e-bot7, a Conversational AI company based in Germany for a purchase price of $53.1 million. This acquisition will be a part of the Company's Business segment. This transaction was accounted for as a business combination. The purchase price consisted of approximately $24.3 million in cash, $20.0 million in shares of common stock of the Company, and potential earn-out consideration of up to $8.8 million in common stock of the Company, which is based on achieving certain objectives and milestones and is included as part of the purchase price. The current fair value of the earn-out is $6.0 million. Also as part of the transaction, there is a potential earn-out consideration of up to $4.4 million payable in common stock of the Company that is being treated as compensation expense over the next two years. The Company incurred $1.2 million in acquisition costs for this transaction that were expensed in the nine months ended September 30, 2021,</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3" w:name="page24"/>
    <w:bookmarkEnd w:id="23"/>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and are included in the General and administrative expense in the accompanying condensed consolidated statements of operations.</w:t>
      </w:r>
    </w:p>
    <w:p>
      <w:pPr>
        <w:spacing w:after="0" w:line="239"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purchase price allocation resulted in approximately $45.1 million of goodwill and $7.7 million of intangible assets. The goodwill will not be deductible for tax purposes. The intangible assets are being amortized over their expected period of benefit. A deferred tax liability for the identified intangibles has been recorded. The financial results of the acquisition of e-bot7 were considered immaterial for purposes of unaudited pro forma financial disclosures.</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amounts of identifiable assets acquired and liabilities assumed at the acquisition date:</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8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b w:val="1"/>
                <w:bCs w:val="1"/>
                <w:color w:val="auto"/>
                <w:w w:val="85"/>
              </w:rPr>
              <w:t>e-bot7 Acquisition</w:t>
            </w:r>
          </w:p>
        </w:tc>
      </w:tr>
      <w:tr>
        <w:trPr>
          <w:trHeight w:val="178"/>
        </w:trPr>
        <w:tc>
          <w:tcPr>
            <w:tcW w:w="9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42"/>
              <w:spacing w:after="0"/>
              <w:rPr>
                <w:sz w:val="20"/>
                <w:szCs w:val="20"/>
                <w:color w:val="auto"/>
              </w:rPr>
            </w:pPr>
            <w:r>
              <w:rPr>
                <w:rFonts w:ascii="Arial" w:cs="Arial" w:eastAsia="Arial" w:hAnsi="Arial"/>
                <w:sz w:val="14"/>
                <w:szCs w:val="14"/>
                <w:color w:val="auto"/>
              </w:rPr>
              <w:t>(In thousands)</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706</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7,714</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Goodwill</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45,145</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w:t>
            </w:r>
          </w:p>
        </w:tc>
      </w:tr>
      <w:tr>
        <w:trPr>
          <w:trHeight w:val="200"/>
        </w:trPr>
        <w:tc>
          <w:tcPr>
            <w:tcW w:w="9820" w:type="dxa"/>
            <w:vAlign w:val="bottom"/>
          </w:tcPr>
          <w:p>
            <w:pPr>
              <w:ind w:left="20"/>
              <w:spacing w:after="0"/>
              <w:rPr>
                <w:sz w:val="20"/>
                <w:szCs w:val="20"/>
                <w:color w:val="auto"/>
              </w:rPr>
            </w:pPr>
            <w:r>
              <w:rPr>
                <w:rFonts w:ascii="Arial" w:cs="Arial" w:eastAsia="Arial" w:hAnsi="Arial"/>
                <w:sz w:val="16"/>
                <w:szCs w:val="16"/>
                <w:color w:val="auto"/>
              </w:rPr>
              <w:t>Assets acquired</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55,111</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 assumed</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1,055</w:t>
            </w:r>
          </w:p>
        </w:tc>
      </w:tr>
      <w:tr>
        <w:trPr>
          <w:trHeight w:val="207"/>
        </w:trPr>
        <w:tc>
          <w:tcPr>
            <w:tcW w:w="9820" w:type="dxa"/>
            <w:vAlign w:val="bottom"/>
          </w:tcPr>
          <w:p>
            <w:pPr>
              <w:ind w:left="20"/>
              <w:spacing w:after="0"/>
              <w:rPr>
                <w:sz w:val="20"/>
                <w:szCs w:val="20"/>
                <w:color w:val="auto"/>
              </w:rPr>
            </w:pPr>
            <w:r>
              <w:rPr>
                <w:rFonts w:ascii="Arial" w:cs="Arial" w:eastAsia="Arial" w:hAnsi="Arial"/>
                <w:sz w:val="16"/>
                <w:szCs w:val="16"/>
                <w:color w:val="auto"/>
              </w:rPr>
              <w:t>Long-term liabilities assumed</w:t>
            </w:r>
          </w:p>
        </w:tc>
        <w:tc>
          <w:tcPr>
            <w:tcW w:w="1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3,063</w:t>
            </w:r>
          </w:p>
        </w:tc>
      </w:tr>
      <w:tr>
        <w:trPr>
          <w:trHeight w:val="210"/>
        </w:trPr>
        <w:tc>
          <w:tcPr>
            <w:tcW w:w="9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 non-current</w:t>
            </w:r>
          </w:p>
        </w:tc>
        <w:tc>
          <w:tcPr>
            <w:tcW w:w="1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r>
      <w:tr>
        <w:trPr>
          <w:trHeight w:val="206"/>
        </w:trPr>
        <w:tc>
          <w:tcPr>
            <w:tcW w:w="9820" w:type="dxa"/>
            <w:vAlign w:val="bottom"/>
          </w:tcPr>
          <w:p>
            <w:pPr>
              <w:ind w:left="20"/>
              <w:spacing w:after="0"/>
              <w:rPr>
                <w:sz w:val="20"/>
                <w:szCs w:val="20"/>
                <w:color w:val="auto"/>
              </w:rPr>
            </w:pPr>
            <w:r>
              <w:rPr>
                <w:rFonts w:ascii="Arial" w:cs="Arial" w:eastAsia="Arial" w:hAnsi="Arial"/>
                <w:sz w:val="16"/>
                <w:szCs w:val="16"/>
                <w:color w:val="auto"/>
              </w:rPr>
              <w:t>Net assets acquired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50,678</w:t>
            </w:r>
          </w:p>
        </w:tc>
      </w:tr>
      <w:tr>
        <w:trPr>
          <w:trHeight w:val="20"/>
        </w:trPr>
        <w:tc>
          <w:tcPr>
            <w:tcW w:w="9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6"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Other current assets acquired in connection with the acquisition consisted primarily of accounts receivable and other short term assets. Current liabilities assumed in connection with the acquisition consisted primarily of accounts payable and other short term liabilities. Long-term liabilities assumed in connection with the acquisition consisted of the long-term portion of deferred revenue, other long-term liabilities, and long-term debt, which was paid in full subsequent to the acquisition date.</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is the breakout of the intangible assets acquired: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Amortizing intangible assets: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83"/>
              <w:spacing w:after="0"/>
              <w:rPr>
                <w:sz w:val="20"/>
                <w:szCs w:val="20"/>
                <w:color w:val="auto"/>
              </w:rPr>
            </w:pPr>
            <w:r>
              <w:rPr>
                <w:rFonts w:ascii="Arial" w:cs="Arial" w:eastAsia="Arial" w:hAnsi="Arial"/>
                <w:sz w:val="16"/>
                <w:szCs w:val="16"/>
                <w:b w:val="1"/>
                <w:bCs w:val="1"/>
                <w:color w:val="auto"/>
              </w:rPr>
              <w:t>Fair Value</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b w:val="1"/>
                <w:bCs w:val="1"/>
                <w:color w:val="auto"/>
              </w:rPr>
              <w:t>Useful life</w:t>
            </w:r>
          </w:p>
        </w:tc>
      </w:tr>
      <w:tr>
        <w:trPr>
          <w:trHeight w:val="180"/>
        </w:trPr>
        <w:tc>
          <w:tcPr>
            <w:tcW w:w="8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243"/>
              <w:spacing w:after="0"/>
              <w:rPr>
                <w:sz w:val="20"/>
                <w:szCs w:val="20"/>
                <w:color w:val="auto"/>
              </w:rPr>
            </w:pPr>
            <w:r>
              <w:rPr>
                <w:rFonts w:ascii="Arial" w:cs="Arial" w:eastAsia="Arial" w:hAnsi="Arial"/>
                <w:sz w:val="14"/>
                <w:szCs w:val="14"/>
                <w:color w:val="auto"/>
                <w:w w:val="98"/>
              </w:rPr>
              <w:t>(In thousands)</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Trademark</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 years</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Technology</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3,560</w:t>
            </w: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 years</w:t>
            </w:r>
          </w:p>
        </w:tc>
      </w:tr>
      <w:tr>
        <w:trPr>
          <w:trHeight w:val="207"/>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Customer Relationships</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2,611</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10 years</w:t>
            </w:r>
          </w:p>
        </w:tc>
      </w:tr>
      <w:tr>
        <w:trPr>
          <w:trHeight w:val="231"/>
        </w:trPr>
        <w:tc>
          <w:tcPr>
            <w:tcW w:w="8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7,714</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Leases</w:t>
      </w:r>
    </w:p>
    <w:p>
      <w:pPr>
        <w:spacing w:after="0" w:line="245"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Company has operating and finance leases for its corporate offices and other service agreements. Its leases have remaining lease terms of less than one to five years, some of which include options to extend.</w:t>
      </w:r>
    </w:p>
    <w:p>
      <w:pPr>
        <w:spacing w:after="0" w:line="208"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In connection with the leases, the Company recognized operating lease right of use assets of $2.0 million and $0.6 million and an aggregate lease liability of $6.7 million and $12.9 million in its condensed consolidated balance sheet as of September 30, 2021 and December 31, 2020, respectively.</w:t>
      </w:r>
    </w:p>
    <w:p>
      <w:pPr>
        <w:spacing w:after="0" w:line="161"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On July 13, 2020, the Company announced its decision to transition to an employee-centric model under which employees will work remotely rather than in traditional offices. In connection with this decision, the Company abandoned 14 leases in its global portfolio of office leases during 2020. As a result, the Company recognized accelerated amortization to fully reduce the carrying value of the associated right of use assets between the decision date and the cease use date. During the second quarter of 2021, the Company decided to reoccupy some of its leased space to provide its employees with the option of</w:t>
      </w:r>
    </w:p>
    <w:p>
      <w:pPr>
        <w:spacing w:after="0" w:line="200" w:lineRule="exact"/>
        <w:rPr>
          <w:sz w:val="20"/>
          <w:szCs w:val="20"/>
          <w:color w:val="auto"/>
        </w:rPr>
      </w:pPr>
    </w:p>
    <w:p>
      <w:pPr>
        <w:spacing w:after="0" w:line="32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4" w:name="page25"/>
    <w:bookmarkEnd w:id="24"/>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working in an office space environment if they choose to do so. There were no changes to the accounting for the lease liabilities associated with the leased office spaces. During the nine months ended 2021, the Company had a $3.5 million gain resulting from the settlement of leases.</w:t>
      </w:r>
    </w:p>
    <w:p>
      <w:pPr>
        <w:spacing w:after="0" w:line="161"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As of September 30, 2021, due to a dispute with respect to one of the leases in Israel, the Company was required to pledge cash as collateral security to be maintained at an Israeli bank. The collateral security would remain in control of the bank, to be available in order to satisfy outstanding obligations under the lease contracts. Accordingly, the Company had cash at an Israeli bank of approximately $1.3 million at September 30, 2021, which is recorded as restricted cash in Prepaid expenses and other current assets in the condensed consolidated balance sheets. In the third quarter of 2021, the Company entered into a new lease in Australia and was required to pledge $0.2 million in cash as collateral security.</w:t>
      </w:r>
    </w:p>
    <w:p>
      <w:pPr>
        <w:spacing w:after="0" w:line="190"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Company continues to actively assess its global lease portfolio. However, any additional de-recognition of right of use assets and incurrence of various one-time expenses in connection with early termination of additional leases are not expected to be material to its financial condition or results of operations.</w:t>
      </w:r>
    </w:p>
    <w:p>
      <w:pPr>
        <w:spacing w:after="0" w:line="21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leases for the periods listed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480" w:type="dxa"/>
            <w:vAlign w:val="bottom"/>
            <w:gridSpan w:val="3"/>
          </w:tcPr>
          <w:p>
            <w:pPr>
              <w:jc w:val="center"/>
              <w:ind w:left="407"/>
              <w:spacing w:after="0"/>
              <w:rPr>
                <w:sz w:val="20"/>
                <w:szCs w:val="20"/>
                <w:color w:val="auto"/>
              </w:rPr>
            </w:pPr>
            <w:r>
              <w:rPr>
                <w:rFonts w:ascii="Arial" w:cs="Arial" w:eastAsia="Arial" w:hAnsi="Arial"/>
                <w:sz w:val="14"/>
                <w:szCs w:val="14"/>
                <w:b w:val="1"/>
                <w:bCs w:val="1"/>
                <w:color w:val="auto"/>
                <w:w w:val="92"/>
              </w:rPr>
              <w:t>Three Months Ended</w:t>
            </w: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406"/>
              <w:spacing w:after="0"/>
              <w:rPr>
                <w:sz w:val="20"/>
                <w:szCs w:val="20"/>
                <w:color w:val="auto"/>
              </w:rPr>
            </w:pPr>
            <w:r>
              <w:rPr>
                <w:rFonts w:ascii="Arial" w:cs="Arial" w:eastAsia="Arial" w:hAnsi="Arial"/>
                <w:sz w:val="14"/>
                <w:szCs w:val="14"/>
                <w:b w:val="1"/>
                <w:bCs w:val="1"/>
                <w:color w:val="auto"/>
                <w:w w:val="89"/>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20" w:type="dxa"/>
            <w:vAlign w:val="bottom"/>
          </w:tcPr>
          <w:p>
            <w:pPr>
              <w:spacing w:after="0"/>
              <w:rPr>
                <w:sz w:val="15"/>
                <w:szCs w:val="15"/>
                <w:color w:val="auto"/>
              </w:rPr>
            </w:pPr>
          </w:p>
        </w:tc>
        <w:tc>
          <w:tcPr>
            <w:tcW w:w="94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26"/>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40" w:type="dxa"/>
            <w:vAlign w:val="bottom"/>
            <w:gridSpan w:val="3"/>
          </w:tcPr>
          <w:p>
            <w:pPr>
              <w:jc w:val="right"/>
              <w:ind w:right="406"/>
              <w:spacing w:after="0"/>
              <w:rPr>
                <w:sz w:val="20"/>
                <w:szCs w:val="20"/>
                <w:color w:val="auto"/>
              </w:rPr>
            </w:pPr>
            <w:r>
              <w:rPr>
                <w:rFonts w:ascii="Arial" w:cs="Arial" w:eastAsia="Arial" w:hAnsi="Arial"/>
                <w:sz w:val="14"/>
                <w:szCs w:val="14"/>
                <w:b w:val="1"/>
                <w:bCs w:val="1"/>
                <w:color w:val="auto"/>
                <w:w w:val="97"/>
              </w:rPr>
              <w:t>(In thousands)</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5220" w:type="dxa"/>
            <w:vAlign w:val="bottom"/>
          </w:tcPr>
          <w:p>
            <w:pPr>
              <w:ind w:left="140"/>
              <w:spacing w:after="0"/>
              <w:rPr>
                <w:sz w:val="20"/>
                <w:szCs w:val="20"/>
                <w:color w:val="auto"/>
              </w:rPr>
            </w:pPr>
            <w:r>
              <w:rPr>
                <w:rFonts w:ascii="Arial" w:cs="Arial" w:eastAsia="Arial" w:hAnsi="Arial"/>
                <w:sz w:val="16"/>
                <w:szCs w:val="16"/>
                <w:color w:val="auto"/>
              </w:rPr>
              <w:t>Operating cash flows for operating leases</w:t>
            </w:r>
          </w:p>
        </w:tc>
        <w:tc>
          <w:tcPr>
            <w:tcW w:w="940" w:type="dxa"/>
            <w:vAlign w:val="bottom"/>
          </w:tcPr>
          <w:p>
            <w:pPr>
              <w:jc w:val="right"/>
              <w:ind w:right="767"/>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23"/>
              <w:spacing w:after="0"/>
              <w:rPr>
                <w:sz w:val="20"/>
                <w:szCs w:val="20"/>
                <w:color w:val="auto"/>
              </w:rPr>
            </w:pPr>
            <w:r>
              <w:rPr>
                <w:rFonts w:ascii="Arial" w:cs="Arial" w:eastAsia="Arial" w:hAnsi="Arial"/>
                <w:sz w:val="16"/>
                <w:szCs w:val="16"/>
                <w:color w:val="auto"/>
              </w:rPr>
              <w:t>651</w:t>
            </w:r>
          </w:p>
        </w:tc>
        <w:tc>
          <w:tcPr>
            <w:tcW w:w="1040" w:type="dxa"/>
            <w:vAlign w:val="bottom"/>
          </w:tcPr>
          <w:p>
            <w:pPr>
              <w:jc w:val="right"/>
              <w:ind w:right="786"/>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3"/>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7"/>
                <w:szCs w:val="17"/>
                <w:color w:val="auto"/>
              </w:rPr>
            </w:pPr>
          </w:p>
        </w:tc>
        <w:tc>
          <w:tcPr>
            <w:tcW w:w="860" w:type="dxa"/>
            <w:vAlign w:val="bottom"/>
          </w:tcPr>
          <w:p>
            <w:pPr>
              <w:jc w:val="right"/>
              <w:ind w:right="686"/>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ind w:right="25"/>
              <w:spacing w:after="0"/>
              <w:rPr>
                <w:sz w:val="20"/>
                <w:szCs w:val="20"/>
                <w:color w:val="auto"/>
              </w:rPr>
            </w:pPr>
            <w:r>
              <w:rPr>
                <w:rFonts w:ascii="Arial" w:cs="Arial" w:eastAsia="Arial" w:hAnsi="Arial"/>
                <w:sz w:val="16"/>
                <w:szCs w:val="16"/>
                <w:color w:val="auto"/>
              </w:rPr>
              <w:t>1,894</w:t>
            </w:r>
          </w:p>
        </w:tc>
        <w:tc>
          <w:tcPr>
            <w:tcW w:w="640" w:type="dxa"/>
            <w:vAlign w:val="bottom"/>
          </w:tcPr>
          <w:p>
            <w:pPr>
              <w:jc w:val="right"/>
              <w:ind w:right="40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4,516</w:t>
            </w:r>
          </w:p>
        </w:tc>
      </w:tr>
      <w:tr>
        <w:trPr>
          <w:trHeight w:val="213"/>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finance leases</w:t>
            </w: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77</w:t>
            </w:r>
          </w:p>
        </w:tc>
        <w:tc>
          <w:tcPr>
            <w:tcW w:w="10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256</w:t>
            </w:r>
          </w:p>
        </w:tc>
        <w:tc>
          <w:tcPr>
            <w:tcW w:w="6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220" w:type="dxa"/>
            <w:vAlign w:val="bottom"/>
          </w:tcPr>
          <w:p>
            <w:pPr>
              <w:ind w:left="140"/>
              <w:spacing w:after="0"/>
              <w:rPr>
                <w:sz w:val="20"/>
                <w:szCs w:val="20"/>
                <w:color w:val="auto"/>
              </w:rPr>
            </w:pPr>
            <w:r>
              <w:rPr>
                <w:rFonts w:ascii="Arial" w:cs="Arial" w:eastAsia="Arial" w:hAnsi="Arial"/>
                <w:sz w:val="16"/>
                <w:szCs w:val="16"/>
                <w:color w:val="auto"/>
              </w:rPr>
              <w:t>Financing cash flows for finance leases</w:t>
            </w:r>
          </w:p>
        </w:tc>
        <w:tc>
          <w:tcPr>
            <w:tcW w:w="940" w:type="dxa"/>
            <w:vAlign w:val="bottom"/>
          </w:tcPr>
          <w:p>
            <w:pPr>
              <w:spacing w:after="0"/>
              <w:rPr>
                <w:sz w:val="17"/>
                <w:szCs w:val="17"/>
                <w:color w:val="auto"/>
              </w:rPr>
            </w:pPr>
          </w:p>
        </w:tc>
        <w:tc>
          <w:tcPr>
            <w:tcW w:w="500" w:type="dxa"/>
            <w:vAlign w:val="bottom"/>
          </w:tcPr>
          <w:p>
            <w:pPr>
              <w:jc w:val="right"/>
              <w:ind w:right="23"/>
              <w:spacing w:after="0"/>
              <w:rPr>
                <w:sz w:val="20"/>
                <w:szCs w:val="20"/>
                <w:color w:val="auto"/>
              </w:rPr>
            </w:pPr>
            <w:r>
              <w:rPr>
                <w:rFonts w:ascii="Arial" w:cs="Arial" w:eastAsia="Arial" w:hAnsi="Arial"/>
                <w:sz w:val="16"/>
                <w:szCs w:val="16"/>
                <w:color w:val="auto"/>
              </w:rPr>
              <w:t>876</w:t>
            </w:r>
          </w:p>
        </w:tc>
        <w:tc>
          <w:tcPr>
            <w:tcW w:w="10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spacing w:after="0"/>
              <w:rPr>
                <w:sz w:val="17"/>
                <w:szCs w:val="17"/>
                <w:color w:val="auto"/>
              </w:rPr>
            </w:pPr>
          </w:p>
        </w:tc>
        <w:tc>
          <w:tcPr>
            <w:tcW w:w="600" w:type="dxa"/>
            <w:vAlign w:val="bottom"/>
          </w:tcPr>
          <w:p>
            <w:pPr>
              <w:jc w:val="right"/>
              <w:ind w:right="25"/>
              <w:spacing w:after="0"/>
              <w:rPr>
                <w:sz w:val="20"/>
                <w:szCs w:val="20"/>
                <w:color w:val="auto"/>
              </w:rPr>
            </w:pPr>
            <w:r>
              <w:rPr>
                <w:rFonts w:ascii="Arial" w:cs="Arial" w:eastAsia="Arial" w:hAnsi="Arial"/>
                <w:sz w:val="16"/>
                <w:szCs w:val="16"/>
                <w:color w:val="auto"/>
              </w:rPr>
              <w:t>2,604</w:t>
            </w:r>
          </w:p>
        </w:tc>
        <w:tc>
          <w:tcPr>
            <w:tcW w:w="6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32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lease costs for the periods listed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460" w:type="dxa"/>
            <w:vAlign w:val="bottom"/>
            <w:gridSpan w:val="4"/>
          </w:tcPr>
          <w:p>
            <w:pPr>
              <w:jc w:val="right"/>
              <w:ind w:right="264"/>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ind w:right="484"/>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20" w:type="dxa"/>
            <w:vAlign w:val="bottom"/>
          </w:tcPr>
          <w:p>
            <w:pPr>
              <w:spacing w:after="0"/>
              <w:rPr>
                <w:sz w:val="15"/>
                <w:szCs w:val="15"/>
                <w:color w:val="auto"/>
              </w:rPr>
            </w:pPr>
          </w:p>
        </w:tc>
        <w:tc>
          <w:tcPr>
            <w:tcW w:w="920" w:type="dxa"/>
            <w:vAlign w:val="bottom"/>
            <w:tcBorders>
              <w:bottom w:val="single" w:sz="8" w:color="auto"/>
            </w:tcBorders>
          </w:tcPr>
          <w:p>
            <w:pPr>
              <w:jc w:val="right"/>
              <w:ind w:right="6"/>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gridSpan w:val="3"/>
          </w:tcPr>
          <w:p>
            <w:pPr>
              <w:jc w:val="right"/>
              <w:ind w:right="404"/>
              <w:spacing w:after="0"/>
              <w:rPr>
                <w:sz w:val="20"/>
                <w:szCs w:val="20"/>
                <w:color w:val="auto"/>
              </w:rPr>
            </w:pPr>
            <w:r>
              <w:rPr>
                <w:rFonts w:ascii="Arial" w:cs="Arial" w:eastAsia="Arial" w:hAnsi="Arial"/>
                <w:sz w:val="14"/>
                <w:szCs w:val="14"/>
                <w:b w:val="1"/>
                <w:bCs w:val="1"/>
                <w:color w:val="auto"/>
                <w:w w:val="99"/>
              </w:rPr>
              <w:t>(In thousands)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5220" w:type="dxa"/>
            <w:vAlign w:val="bottom"/>
          </w:tcPr>
          <w:p>
            <w:pPr>
              <w:ind w:left="140"/>
              <w:spacing w:after="0"/>
              <w:rPr>
                <w:sz w:val="20"/>
                <w:szCs w:val="20"/>
                <w:color w:val="auto"/>
              </w:rPr>
            </w:pPr>
            <w:r>
              <w:rPr>
                <w:rFonts w:ascii="Arial" w:cs="Arial" w:eastAsia="Arial" w:hAnsi="Arial"/>
                <w:sz w:val="16"/>
                <w:szCs w:val="16"/>
                <w:color w:val="auto"/>
              </w:rPr>
              <w:t>Amortization of right of use assets</w:t>
            </w:r>
          </w:p>
        </w:tc>
        <w:tc>
          <w:tcPr>
            <w:tcW w:w="920" w:type="dxa"/>
            <w:vAlign w:val="bottom"/>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3"/>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7"/>
                <w:szCs w:val="17"/>
                <w:color w:val="auto"/>
              </w:rPr>
            </w:pP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84"/>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2,696</w:t>
            </w:r>
          </w:p>
        </w:tc>
        <w:tc>
          <w:tcPr>
            <w:tcW w:w="120" w:type="dxa"/>
            <w:vAlign w:val="bottom"/>
          </w:tcPr>
          <w:p>
            <w:pPr>
              <w:spacing w:after="0"/>
              <w:rPr>
                <w:sz w:val="17"/>
                <w:szCs w:val="17"/>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cost</w:t>
            </w:r>
          </w:p>
        </w:tc>
        <w:tc>
          <w:tcPr>
            <w:tcW w:w="9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9"/>
              </w:rPr>
              <w:t>2,324</w:t>
            </w: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99"/>
              </w:rPr>
              <w:t>3,760</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5,805</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10,524</w:t>
            </w:r>
          </w:p>
        </w:tc>
      </w:tr>
      <w:tr>
        <w:trPr>
          <w:trHeight w:val="231"/>
        </w:trPr>
        <w:tc>
          <w:tcPr>
            <w:tcW w:w="5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lease cost</w:t>
            </w:r>
          </w:p>
        </w:tc>
        <w:tc>
          <w:tcPr>
            <w:tcW w:w="920" w:type="dxa"/>
            <w:vAlign w:val="bottom"/>
            <w:tcBorders>
              <w:bottom w:val="single" w:sz="8" w:color="auto"/>
            </w:tcBorders>
            <w:shd w:val="clear" w:color="auto" w:fill="CCEEFF"/>
          </w:tcPr>
          <w:p>
            <w:pPr>
              <w:jc w:val="right"/>
              <w:ind w:right="746"/>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99"/>
              </w:rPr>
              <w:t>3,309</w:t>
            </w:r>
          </w:p>
        </w:tc>
        <w:tc>
          <w:tcPr>
            <w:tcW w:w="1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99"/>
              </w:rPr>
              <w:t>3,760</w:t>
            </w:r>
          </w:p>
        </w:tc>
        <w:tc>
          <w:tcPr>
            <w:tcW w:w="1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8,757</w:t>
            </w:r>
          </w:p>
        </w:tc>
        <w:tc>
          <w:tcPr>
            <w:tcW w:w="1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10,524</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74" w:right="339" w:bottom="1440" w:gutter="0" w:footer="0" w:header="0"/>
        </w:sectPr>
      </w:pPr>
    </w:p>
    <w:p>
      <w:pPr>
        <w:spacing w:after="0" w:line="237" w:lineRule="exact"/>
        <w:rPr>
          <w:sz w:val="20"/>
          <w:szCs w:val="20"/>
          <w:color w:val="auto"/>
        </w:rPr>
      </w:pPr>
    </w:p>
    <w:p>
      <w:pPr>
        <w:jc w:val="center"/>
        <w:ind w:left="8300"/>
        <w:spacing w:after="0"/>
        <w:rPr>
          <w:sz w:val="20"/>
          <w:szCs w:val="20"/>
          <w:color w:val="auto"/>
        </w:rPr>
      </w:pPr>
      <w:r>
        <w:rPr>
          <w:rFonts w:ascii="Arial" w:cs="Arial" w:eastAsia="Arial" w:hAnsi="Arial"/>
          <w:sz w:val="12"/>
          <w:szCs w:val="12"/>
          <w:b w:val="1"/>
          <w:bCs w:val="1"/>
          <w:color w:val="auto"/>
        </w:rPr>
        <w:t>September 30,</w:t>
      </w:r>
    </w:p>
    <w:p>
      <w:pPr>
        <w:spacing w:after="0" w:line="9" w:lineRule="exact"/>
        <w:rPr>
          <w:sz w:val="20"/>
          <w:szCs w:val="20"/>
          <w:color w:val="auto"/>
        </w:rPr>
      </w:pPr>
    </w:p>
    <w:p>
      <w:pPr>
        <w:jc w:val="center"/>
        <w:ind w:left="830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340"/>
        <w:spacing w:after="0"/>
        <w:rPr>
          <w:sz w:val="20"/>
          <w:szCs w:val="20"/>
          <w:color w:val="auto"/>
        </w:rPr>
      </w:pPr>
      <w:r>
        <w:rPr>
          <w:rFonts w:ascii="Arial" w:cs="Arial" w:eastAsia="Arial" w:hAnsi="Arial"/>
          <w:sz w:val="12"/>
          <w:szCs w:val="12"/>
          <w:b w:val="1"/>
          <w:bCs w:val="1"/>
          <w:color w:val="auto"/>
        </w:rPr>
        <w:t>September 30,</w:t>
      </w:r>
    </w:p>
    <w:p>
      <w:pPr>
        <w:spacing w:after="0" w:line="9"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2020</w:t>
      </w:r>
    </w:p>
    <w:p>
      <w:pPr>
        <w:spacing w:after="0" w:line="6" w:lineRule="exact"/>
        <w:rPr>
          <w:sz w:val="20"/>
          <w:szCs w:val="20"/>
          <w:color w:val="auto"/>
        </w:rPr>
      </w:pPr>
    </w:p>
    <w:p>
      <w:pPr>
        <w:sectPr>
          <w:pgSz w:w="11900" w:h="16838" w:orient="portrait"/>
          <w:cols w:equalWidth="0" w:num="2">
            <w:col w:w="9320" w:space="720"/>
            <w:col w:w="1200"/>
          </w:cols>
          <w:pgMar w:left="320" w:top="174" w:right="33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1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1660" w:type="dxa"/>
            <w:vAlign w:val="bottom"/>
            <w:gridSpan w:val="2"/>
          </w:tcPr>
          <w:p>
            <w:pPr>
              <w:jc w:val="right"/>
              <w:ind w:right="120"/>
              <w:spacing w:after="0"/>
              <w:rPr>
                <w:sz w:val="20"/>
                <w:szCs w:val="20"/>
                <w:color w:val="auto"/>
              </w:rPr>
            </w:pPr>
            <w:r>
              <w:rPr>
                <w:rFonts w:ascii="Arial" w:cs="Arial" w:eastAsia="Arial" w:hAnsi="Arial"/>
                <w:sz w:val="16"/>
                <w:szCs w:val="16"/>
                <w:color w:val="auto"/>
              </w:rPr>
              <w:t>2.7 years</w:t>
            </w:r>
          </w:p>
        </w:tc>
        <w:tc>
          <w:tcPr>
            <w:tcW w:w="1540" w:type="dxa"/>
            <w:vAlign w:val="bottom"/>
          </w:tcPr>
          <w:p>
            <w:pPr>
              <w:jc w:val="right"/>
              <w:spacing w:after="0"/>
              <w:rPr>
                <w:sz w:val="20"/>
                <w:szCs w:val="20"/>
                <w:color w:val="auto"/>
              </w:rPr>
            </w:pPr>
            <w:r>
              <w:rPr>
                <w:rFonts w:ascii="Arial" w:cs="Arial" w:eastAsia="Arial" w:hAnsi="Arial"/>
                <w:sz w:val="16"/>
                <w:szCs w:val="16"/>
                <w:color w:val="auto"/>
              </w:rPr>
              <w:t>3.5 years</w:t>
            </w:r>
          </w:p>
        </w:tc>
      </w:tr>
      <w:tr>
        <w:trPr>
          <w:trHeight w:val="213"/>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6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 years</w:t>
            </w:r>
          </w:p>
        </w:tc>
        <w:tc>
          <w:tcPr>
            <w:tcW w:w="15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r>
      <w:tr>
        <w:trPr>
          <w:trHeight w:val="263"/>
        </w:trPr>
        <w:tc>
          <w:tcPr>
            <w:tcW w:w="80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Discount Rate:</w:t>
            </w:r>
          </w:p>
        </w:tc>
        <w:tc>
          <w:tcPr>
            <w:tcW w:w="1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r>
      <w:tr>
        <w:trPr>
          <w:trHeight w:val="207"/>
        </w:trPr>
        <w:tc>
          <w:tcPr>
            <w:tcW w:w="804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1540" w:type="dxa"/>
            <w:vAlign w:val="bottom"/>
          </w:tcPr>
          <w:p>
            <w:pPr>
              <w:jc w:val="right"/>
              <w:spacing w:after="0"/>
              <w:rPr>
                <w:sz w:val="20"/>
                <w:szCs w:val="20"/>
                <w:color w:val="auto"/>
              </w:rPr>
            </w:pPr>
            <w:r>
              <w:rPr>
                <w:rFonts w:ascii="Arial" w:cs="Arial" w:eastAsia="Arial" w:hAnsi="Arial"/>
                <w:sz w:val="16"/>
                <w:szCs w:val="16"/>
                <w:color w:val="auto"/>
              </w:rPr>
              <w:t>7 %</w:t>
            </w:r>
          </w:p>
        </w:tc>
        <w:tc>
          <w:tcPr>
            <w:tcW w:w="12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7 %</w:t>
            </w:r>
          </w:p>
        </w:tc>
      </w:tr>
      <w:tr>
        <w:trPr>
          <w:trHeight w:val="213"/>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Finance leases</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1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5" w:name="page26"/>
    <w:bookmarkEnd w:id="25"/>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45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8"/>
              </w:rPr>
              <w:t>Classification on the Consolidated Balance Sheet</w:t>
            </w:r>
          </w:p>
        </w:tc>
        <w:tc>
          <w:tcPr>
            <w:tcW w:w="200" w:type="dxa"/>
            <w:vAlign w:val="bottom"/>
          </w:tcPr>
          <w:p>
            <w:pPr>
              <w:spacing w:after="0"/>
              <w:rPr>
                <w:sz w:val="14"/>
                <w:szCs w:val="14"/>
                <w:color w:val="auto"/>
              </w:rPr>
            </w:pPr>
          </w:p>
        </w:tc>
        <w:tc>
          <w:tcPr>
            <w:tcW w:w="1240" w:type="dxa"/>
            <w:vAlign w:val="bottom"/>
          </w:tcPr>
          <w:p>
            <w:pPr>
              <w:jc w:val="right"/>
              <w:ind w:right="224"/>
              <w:spacing w:after="0"/>
              <w:rPr>
                <w:sz w:val="20"/>
                <w:szCs w:val="20"/>
                <w:color w:val="auto"/>
              </w:rPr>
            </w:pPr>
            <w:r>
              <w:rPr>
                <w:rFonts w:ascii="Arial" w:cs="Arial" w:eastAsia="Arial" w:hAnsi="Arial"/>
                <w:sz w:val="14"/>
                <w:szCs w:val="14"/>
                <w:b w:val="1"/>
                <w:bCs w:val="1"/>
                <w:color w:val="auto"/>
                <w:w w:val="96"/>
              </w:rPr>
              <w:t>September 30,</w:t>
            </w:r>
          </w:p>
        </w:tc>
        <w:tc>
          <w:tcPr>
            <w:tcW w:w="280" w:type="dxa"/>
            <w:vAlign w:val="bottom"/>
          </w:tcPr>
          <w:p>
            <w:pPr>
              <w:spacing w:after="0"/>
              <w:rPr>
                <w:sz w:val="14"/>
                <w:szCs w:val="14"/>
                <w:color w:val="auto"/>
              </w:rPr>
            </w:pPr>
          </w:p>
        </w:tc>
        <w:tc>
          <w:tcPr>
            <w:tcW w:w="1220" w:type="dxa"/>
            <w:vAlign w:val="bottom"/>
          </w:tcPr>
          <w:p>
            <w:pPr>
              <w:jc w:val="right"/>
              <w:ind w:right="223"/>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3"/>
        </w:trPr>
        <w:tc>
          <w:tcPr>
            <w:tcW w:w="3800" w:type="dxa"/>
            <w:vAlign w:val="bottom"/>
          </w:tcPr>
          <w:p>
            <w:pPr>
              <w:spacing w:after="0"/>
              <w:rPr>
                <w:sz w:val="15"/>
                <w:szCs w:val="15"/>
                <w:color w:val="auto"/>
              </w:rPr>
            </w:pPr>
          </w:p>
        </w:tc>
        <w:tc>
          <w:tcPr>
            <w:tcW w:w="45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0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5"/>
                <w:szCs w:val="15"/>
                <w:color w:val="auto"/>
              </w:rPr>
            </w:pPr>
          </w:p>
        </w:tc>
        <w:tc>
          <w:tcPr>
            <w:tcW w:w="1220" w:type="dxa"/>
            <w:vAlign w:val="bottom"/>
          </w:tcPr>
          <w:p>
            <w:pPr>
              <w:jc w:val="right"/>
              <w:ind w:right="48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7"/>
        </w:trPr>
        <w:tc>
          <w:tcPr>
            <w:tcW w:w="3800" w:type="dxa"/>
            <w:vAlign w:val="bottom"/>
          </w:tcPr>
          <w:p>
            <w:pPr>
              <w:spacing w:after="0"/>
              <w:rPr>
                <w:sz w:val="15"/>
                <w:szCs w:val="15"/>
                <w:color w:val="auto"/>
              </w:rPr>
            </w:pPr>
          </w:p>
        </w:tc>
        <w:tc>
          <w:tcPr>
            <w:tcW w:w="4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2740" w:type="dxa"/>
            <w:vAlign w:val="bottom"/>
            <w:tcBorders>
              <w:top w:val="single" w:sz="8" w:color="auto"/>
            </w:tcBorders>
            <w:gridSpan w:val="3"/>
          </w:tcPr>
          <w:p>
            <w:pPr>
              <w:jc w:val="right"/>
              <w:ind w:right="96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1"/>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120"/>
              <w:spacing w:after="0"/>
              <w:rPr>
                <w:sz w:val="20"/>
                <w:szCs w:val="20"/>
                <w:color w:val="auto"/>
              </w:rPr>
            </w:pPr>
            <w:r>
              <w:rPr>
                <w:rFonts w:ascii="Arial" w:cs="Arial" w:eastAsia="Arial" w:hAnsi="Arial"/>
                <w:sz w:val="16"/>
                <w:szCs w:val="16"/>
                <w:color w:val="auto"/>
              </w:rPr>
              <w:t>Operating right of use assets</w:t>
            </w:r>
          </w:p>
        </w:tc>
        <w:tc>
          <w:tcPr>
            <w:tcW w:w="45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Operating lease right of use assets</w:t>
            </w: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1,957</w:t>
            </w:r>
          </w:p>
        </w:tc>
        <w:tc>
          <w:tcPr>
            <w:tcW w:w="2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614</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Finance right of use assets</w:t>
            </w:r>
          </w:p>
        </w:tc>
        <w:tc>
          <w:tcPr>
            <w:tcW w:w="45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88"/>
              </w:rPr>
              <w:t>Property and equipment, net</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7,354</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10,045</w:t>
            </w:r>
          </w:p>
        </w:tc>
        <w:tc>
          <w:tcPr>
            <w:tcW w:w="0" w:type="dxa"/>
            <w:vAlign w:val="bottom"/>
          </w:tcPr>
          <w:p>
            <w:pPr>
              <w:spacing w:after="0"/>
              <w:rPr>
                <w:sz w:val="1"/>
                <w:szCs w:val="1"/>
                <w:color w:val="auto"/>
              </w:rPr>
            </w:pPr>
          </w:p>
        </w:tc>
      </w:tr>
      <w:tr>
        <w:trPr>
          <w:trHeight w:val="249"/>
        </w:trPr>
        <w:tc>
          <w:tcPr>
            <w:tcW w:w="3800" w:type="dxa"/>
            <w:vAlign w:val="bottom"/>
          </w:tcPr>
          <w:p>
            <w:pPr>
              <w:spacing w:after="0"/>
              <w:rPr>
                <w:sz w:val="21"/>
                <w:szCs w:val="21"/>
                <w:color w:val="auto"/>
              </w:rPr>
            </w:pPr>
          </w:p>
        </w:tc>
        <w:tc>
          <w:tcPr>
            <w:tcW w:w="4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120"/>
              <w:spacing w:after="0"/>
              <w:rPr>
                <w:sz w:val="20"/>
                <w:szCs w:val="20"/>
                <w:color w:val="auto"/>
              </w:rPr>
            </w:pPr>
            <w:r>
              <w:rPr>
                <w:rFonts w:ascii="Arial" w:cs="Arial" w:eastAsia="Arial" w:hAnsi="Arial"/>
                <w:sz w:val="16"/>
                <w:szCs w:val="16"/>
                <w:color w:val="auto"/>
              </w:rPr>
              <w:t>Current liabilities:</w:t>
            </w:r>
          </w:p>
        </w:tc>
        <w:tc>
          <w:tcPr>
            <w:tcW w:w="4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liability</w:t>
            </w:r>
          </w:p>
        </w:tc>
        <w:tc>
          <w:tcPr>
            <w:tcW w:w="45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Operating lease liability</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3,257</w:t>
            </w:r>
          </w:p>
        </w:tc>
        <w:tc>
          <w:tcPr>
            <w:tcW w:w="2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5,718</w:t>
            </w:r>
          </w:p>
        </w:tc>
        <w:tc>
          <w:tcPr>
            <w:tcW w:w="0" w:type="dxa"/>
            <w:vAlign w:val="bottom"/>
          </w:tcPr>
          <w:p>
            <w:pPr>
              <w:spacing w:after="0"/>
              <w:rPr>
                <w:sz w:val="1"/>
                <w:szCs w:val="1"/>
                <w:color w:val="auto"/>
              </w:rPr>
            </w:pPr>
          </w:p>
        </w:tc>
      </w:tr>
      <w:tr>
        <w:trPr>
          <w:trHeight w:val="207"/>
        </w:trPr>
        <w:tc>
          <w:tcPr>
            <w:tcW w:w="3800" w:type="dxa"/>
            <w:vAlign w:val="bottom"/>
          </w:tcPr>
          <w:p>
            <w:pPr>
              <w:ind w:left="240"/>
              <w:spacing w:after="0"/>
              <w:rPr>
                <w:sz w:val="20"/>
                <w:szCs w:val="20"/>
                <w:color w:val="auto"/>
              </w:rPr>
            </w:pPr>
            <w:r>
              <w:rPr>
                <w:rFonts w:ascii="Arial" w:cs="Arial" w:eastAsia="Arial" w:hAnsi="Arial"/>
                <w:sz w:val="16"/>
                <w:szCs w:val="16"/>
                <w:color w:val="auto"/>
              </w:rPr>
              <w:t>Finance lease liability</w:t>
            </w:r>
          </w:p>
        </w:tc>
        <w:tc>
          <w:tcPr>
            <w:tcW w:w="450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Accrued expenses and other current liabilities</w:t>
            </w:r>
          </w:p>
        </w:tc>
        <w:tc>
          <w:tcPr>
            <w:tcW w:w="2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3,601</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3,488</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Non-current liabilities:</w:t>
            </w:r>
          </w:p>
        </w:tc>
        <w:tc>
          <w:tcPr>
            <w:tcW w:w="4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800" w:type="dxa"/>
            <w:vAlign w:val="bottom"/>
          </w:tcPr>
          <w:p>
            <w:pPr>
              <w:ind w:left="240"/>
              <w:spacing w:after="0"/>
              <w:rPr>
                <w:sz w:val="20"/>
                <w:szCs w:val="20"/>
                <w:color w:val="auto"/>
              </w:rPr>
            </w:pPr>
            <w:r>
              <w:rPr>
                <w:rFonts w:ascii="Arial" w:cs="Arial" w:eastAsia="Arial" w:hAnsi="Arial"/>
                <w:sz w:val="16"/>
                <w:szCs w:val="16"/>
                <w:color w:val="auto"/>
              </w:rPr>
              <w:t>Operating lease liability</w:t>
            </w:r>
          </w:p>
        </w:tc>
        <w:tc>
          <w:tcPr>
            <w:tcW w:w="450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Operating lease liability, net of current portion</w:t>
            </w:r>
          </w:p>
        </w:tc>
        <w:tc>
          <w:tcPr>
            <w:tcW w:w="200" w:type="dxa"/>
            <w:vAlign w:val="bottom"/>
          </w:tcPr>
          <w:p>
            <w:pPr>
              <w:spacing w:after="0"/>
              <w:rPr>
                <w:sz w:val="17"/>
                <w:szCs w:val="17"/>
                <w:color w:val="auto"/>
              </w:rPr>
            </w:pPr>
          </w:p>
        </w:tc>
        <w:tc>
          <w:tcPr>
            <w:tcW w:w="1240" w:type="dxa"/>
            <w:vAlign w:val="bottom"/>
          </w:tcPr>
          <w:p>
            <w:pPr>
              <w:jc w:val="right"/>
              <w:ind w:right="4"/>
              <w:spacing w:after="0"/>
              <w:rPr>
                <w:sz w:val="20"/>
                <w:szCs w:val="20"/>
                <w:color w:val="auto"/>
              </w:rPr>
            </w:pPr>
            <w:r>
              <w:rPr>
                <w:rFonts w:ascii="Arial" w:cs="Arial" w:eastAsia="Arial" w:hAnsi="Arial"/>
                <w:sz w:val="16"/>
                <w:szCs w:val="16"/>
                <w:color w:val="auto"/>
              </w:rPr>
              <w:t>3,415</w:t>
            </w:r>
          </w:p>
        </w:tc>
        <w:tc>
          <w:tcPr>
            <w:tcW w:w="2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7,180</w:t>
            </w:r>
          </w:p>
        </w:tc>
        <w:tc>
          <w:tcPr>
            <w:tcW w:w="0" w:type="dxa"/>
            <w:vAlign w:val="bottom"/>
          </w:tcPr>
          <w:p>
            <w:pPr>
              <w:spacing w:after="0"/>
              <w:rPr>
                <w:sz w:val="1"/>
                <w:szCs w:val="1"/>
                <w:color w:val="auto"/>
              </w:rPr>
            </w:pPr>
          </w:p>
        </w:tc>
      </w:tr>
      <w:tr>
        <w:trPr>
          <w:trHeight w:val="213"/>
        </w:trPr>
        <w:tc>
          <w:tcPr>
            <w:tcW w:w="3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Finance lease liability</w:t>
            </w:r>
          </w:p>
        </w:tc>
        <w:tc>
          <w:tcPr>
            <w:tcW w:w="45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3"/>
              </w:rPr>
              <w:t>Other liabilities</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3,393</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6,176</w:t>
            </w:r>
          </w:p>
        </w:tc>
        <w:tc>
          <w:tcPr>
            <w:tcW w:w="0" w:type="dxa"/>
            <w:vAlign w:val="bottom"/>
          </w:tcPr>
          <w:p>
            <w:pPr>
              <w:spacing w:after="0"/>
              <w:rPr>
                <w:sz w:val="1"/>
                <w:szCs w:val="1"/>
                <w:color w:val="auto"/>
              </w:rPr>
            </w:pPr>
          </w:p>
        </w:tc>
      </w:tr>
    </w:tbl>
    <w:p>
      <w:pPr>
        <w:spacing w:after="0" w:line="316"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Future minimum lease payments under non-cancellable operating and finance leases (with an initial or remaining lease terms in excess of one year)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80" w:type="dxa"/>
            <w:vAlign w:val="bottom"/>
          </w:tcPr>
          <w:p>
            <w:pPr>
              <w:spacing w:after="0"/>
              <w:rPr>
                <w:sz w:val="16"/>
                <w:szCs w:val="16"/>
                <w:color w:val="auto"/>
              </w:rPr>
            </w:pPr>
          </w:p>
        </w:tc>
        <w:tc>
          <w:tcPr>
            <w:tcW w:w="25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September 30, 2021</w:t>
            </w:r>
          </w:p>
        </w:tc>
        <w:tc>
          <w:tcPr>
            <w:tcW w:w="460" w:type="dxa"/>
            <w:vAlign w:val="bottom"/>
            <w:tcBorders>
              <w:bottom w:val="single" w:sz="8" w:color="auto"/>
            </w:tcBorders>
          </w:tcPr>
          <w:p>
            <w:pPr>
              <w:spacing w:after="0"/>
              <w:rPr>
                <w:sz w:val="16"/>
                <w:szCs w:val="16"/>
                <w:color w:val="auto"/>
              </w:rPr>
            </w:pPr>
          </w:p>
        </w:tc>
      </w:tr>
      <w:tr>
        <w:trPr>
          <w:trHeight w:val="130"/>
        </w:trPr>
        <w:tc>
          <w:tcPr>
            <w:tcW w:w="8280" w:type="dxa"/>
            <w:vAlign w:val="bottom"/>
          </w:tcPr>
          <w:p>
            <w:pPr>
              <w:spacing w:after="0"/>
              <w:rPr>
                <w:sz w:val="11"/>
                <w:szCs w:val="11"/>
                <w:color w:val="auto"/>
              </w:rPr>
            </w:pPr>
          </w:p>
        </w:tc>
        <w:tc>
          <w:tcPr>
            <w:tcW w:w="100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Operating</w:t>
            </w: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0" w:lineRule="exact"/>
              <w:rPr>
                <w:sz w:val="20"/>
                <w:szCs w:val="20"/>
                <w:color w:val="auto"/>
              </w:rPr>
            </w:pPr>
            <w:r>
              <w:rPr>
                <w:rFonts w:ascii="Arial" w:cs="Arial" w:eastAsia="Arial" w:hAnsi="Arial"/>
                <w:sz w:val="14"/>
                <w:szCs w:val="14"/>
                <w:b w:val="1"/>
                <w:bCs w:val="1"/>
                <w:color w:val="auto"/>
              </w:rPr>
              <w:t>Finance</w:t>
            </w:r>
          </w:p>
        </w:tc>
        <w:tc>
          <w:tcPr>
            <w:tcW w:w="460" w:type="dxa"/>
            <w:vAlign w:val="bottom"/>
          </w:tcPr>
          <w:p>
            <w:pPr>
              <w:spacing w:after="0"/>
              <w:rPr>
                <w:sz w:val="11"/>
                <w:szCs w:val="11"/>
                <w:color w:val="auto"/>
              </w:rPr>
            </w:pPr>
          </w:p>
        </w:tc>
      </w:tr>
      <w:tr>
        <w:trPr>
          <w:trHeight w:val="183"/>
        </w:trPr>
        <w:tc>
          <w:tcPr>
            <w:tcW w:w="8280" w:type="dxa"/>
            <w:vAlign w:val="bottom"/>
          </w:tcPr>
          <w:p>
            <w:pPr>
              <w:spacing w:after="0"/>
              <w:rPr>
                <w:sz w:val="15"/>
                <w:szCs w:val="15"/>
                <w:color w:val="auto"/>
              </w:rPr>
            </w:pPr>
          </w:p>
        </w:tc>
        <w:tc>
          <w:tcPr>
            <w:tcW w:w="10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b w:val="1"/>
                <w:bCs w:val="1"/>
                <w:color w:val="auto"/>
              </w:rPr>
              <w:t>Leases</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Leases</w:t>
            </w:r>
          </w:p>
        </w:tc>
        <w:tc>
          <w:tcPr>
            <w:tcW w:w="460" w:type="dxa"/>
            <w:vAlign w:val="bottom"/>
            <w:tcBorders>
              <w:bottom w:val="single" w:sz="8" w:color="auto"/>
            </w:tcBorders>
          </w:tcPr>
          <w:p>
            <w:pPr>
              <w:spacing w:after="0"/>
              <w:rPr>
                <w:sz w:val="15"/>
                <w:szCs w:val="15"/>
                <w:color w:val="auto"/>
              </w:rPr>
            </w:pPr>
          </w:p>
        </w:tc>
      </w:tr>
      <w:tr>
        <w:trPr>
          <w:trHeight w:val="177"/>
        </w:trPr>
        <w:tc>
          <w:tcPr>
            <w:tcW w:w="8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w w:val="93"/>
              </w:rPr>
              <w:t>(In thousands)</w:t>
            </w:r>
          </w:p>
        </w:tc>
        <w:tc>
          <w:tcPr>
            <w:tcW w:w="460" w:type="dxa"/>
            <w:vAlign w:val="bottom"/>
          </w:tcPr>
          <w:p>
            <w:pPr>
              <w:spacing w:after="0"/>
              <w:rPr>
                <w:sz w:val="15"/>
                <w:szCs w:val="15"/>
                <w:color w:val="auto"/>
              </w:rPr>
            </w:pP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 (remaining three months for September 30, 2021)</w:t>
            </w:r>
          </w:p>
        </w:tc>
        <w:tc>
          <w:tcPr>
            <w:tcW w:w="1000" w:type="dxa"/>
            <w:vAlign w:val="bottom"/>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954</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2022</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3,583</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4"/>
              </w:rPr>
              <w:t>3,813</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1,433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2,500</w:t>
            </w:r>
          </w:p>
        </w:tc>
      </w:tr>
      <w:tr>
        <w:trPr>
          <w:trHeight w:val="207"/>
        </w:trPr>
        <w:tc>
          <w:tcPr>
            <w:tcW w:w="8280" w:type="dxa"/>
            <w:vAlign w:val="bottom"/>
          </w:tcPr>
          <w:p>
            <w:pPr>
              <w:ind w:left="20"/>
              <w:spacing w:after="0"/>
              <w:rPr>
                <w:sz w:val="20"/>
                <w:szCs w:val="20"/>
                <w:color w:val="auto"/>
              </w:rPr>
            </w:pPr>
            <w:r>
              <w:rPr>
                <w:rFonts w:ascii="Arial" w:cs="Arial" w:eastAsia="Arial" w:hAnsi="Arial"/>
                <w:sz w:val="16"/>
                <w:szCs w:val="16"/>
                <w:color w:val="auto"/>
              </w:rPr>
              <w:t>2024</w:t>
            </w:r>
          </w:p>
        </w:tc>
        <w:tc>
          <w:tcPr>
            <w:tcW w:w="10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623</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Thereafter</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82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minimum lease payments</w:t>
            </w:r>
          </w:p>
        </w:tc>
        <w:tc>
          <w:tcPr>
            <w:tcW w:w="100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7,395</w:t>
            </w: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7,267</w:t>
            </w:r>
          </w:p>
        </w:tc>
      </w:tr>
      <w:tr>
        <w:trPr>
          <w:trHeight w:val="207"/>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present value adjustment</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r>
      <w:tr>
        <w:trPr>
          <w:trHeight w:val="231"/>
        </w:trPr>
        <w:tc>
          <w:tcPr>
            <w:tcW w:w="82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Present value of lease liabilities</w:t>
            </w:r>
          </w:p>
        </w:tc>
        <w:tc>
          <w:tcPr>
            <w:tcW w:w="1000" w:type="dxa"/>
            <w:vAlign w:val="bottom"/>
            <w:tcBorders>
              <w:bottom w:val="single" w:sz="8" w:color="auto"/>
            </w:tcBorders>
            <w:shd w:val="clear" w:color="auto" w:fill="CCEEFF"/>
          </w:tcPr>
          <w:p>
            <w:pPr>
              <w:jc w:val="right"/>
              <w:ind w:right="827"/>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4"/>
              </w:rPr>
              <w:t>6,672</w:t>
            </w:r>
          </w:p>
        </w:tc>
        <w:tc>
          <w:tcPr>
            <w:tcW w:w="12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6,994</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timing and amounts of future minimum lease payments under non-cancellable operating leases in the above table may be subject to change as a result of the restructuring. For more information, see Note 14 – Restructuring.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21"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The Company measures its cash equivalents at fair value based on an expected exit price as defined by the authoritative guidance on fair value measurements, which represents the amount that would be received on the sale of an asset or paid to transfer a liability, as the case may be,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63" w:lineRule="exact"/>
        <w:rPr>
          <w:sz w:val="20"/>
          <w:szCs w:val="20"/>
          <w:color w:val="auto"/>
        </w:rPr>
      </w:pPr>
    </w:p>
    <w:p>
      <w:pPr>
        <w:ind w:left="1100" w:hanging="307"/>
        <w:spacing w:after="0"/>
        <w:tabs>
          <w:tab w:leader="none" w:pos="11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08" w:lineRule="exact"/>
        <w:rPr>
          <w:rFonts w:ascii="Arial" w:cs="Arial" w:eastAsia="Arial" w:hAnsi="Arial"/>
          <w:sz w:val="18"/>
          <w:szCs w:val="18"/>
          <w:color w:val="auto"/>
        </w:rPr>
      </w:pPr>
    </w:p>
    <w:p>
      <w:pPr>
        <w:jc w:val="both"/>
        <w:ind w:left="1100" w:hanging="307"/>
        <w:spacing w:after="0" w:line="252" w:lineRule="auto"/>
        <w:tabs>
          <w:tab w:leader="none" w:pos="1096"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 2: Inputs reflect: quoted prices for identical assets or liabilities in markets that are not active; quoted prices for similar assets or liabilities in active markets; inputs other than quoted prices that are observable for the assets or liabilities; or inputs that are derived principally from or corroborated by observable market data by correlation or other means.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6" w:name="page27"/>
    <w:bookmarkEnd w:id="26"/>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100" w:hanging="307"/>
        <w:spacing w:after="0" w:line="260" w:lineRule="auto"/>
        <w:tabs>
          <w:tab w:leader="none" w:pos="1096"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 Unobservable inputs reflecting the Company’s assumptions incorporated in valuation techniques used to determine fair value. These assumptions are required to be consistent with market participant assumptions that are reasonably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Assets and Liabilities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carrying amount of cash, accounts receivable, and accounts payable approximate their fair value due to their short-term nature. The Company's assets and liabilities that are measured at fair value on a recurring basis, by level, within the fair value hierarchy as of September 30, 2021 and December 31, 2020, are summarized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1020"/>
              <w:spacing w:after="0"/>
              <w:rPr>
                <w:sz w:val="20"/>
                <w:szCs w:val="20"/>
                <w:color w:val="auto"/>
              </w:rPr>
            </w:pPr>
            <w:r>
              <w:rPr>
                <w:rFonts w:ascii="Arial" w:cs="Arial" w:eastAsia="Arial" w:hAnsi="Arial"/>
                <w:sz w:val="14"/>
                <w:szCs w:val="14"/>
                <w:b w:val="1"/>
                <w:bCs w:val="1"/>
                <w:color w:val="auto"/>
              </w:rPr>
              <w:t>September 30, 2021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82"/>
        </w:trPr>
        <w:tc>
          <w:tcPr>
            <w:tcW w:w="520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177"/>
        </w:trPr>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4"/>
          </w:tcPr>
          <w:p>
            <w:pPr>
              <w:ind w:left="740"/>
              <w:spacing w:after="0"/>
              <w:rPr>
                <w:sz w:val="20"/>
                <w:szCs w:val="20"/>
                <w:color w:val="auto"/>
              </w:rPr>
            </w:pPr>
            <w:r>
              <w:rPr>
                <w:rFonts w:ascii="Arial" w:cs="Arial" w:eastAsia="Arial" w:hAnsi="Arial"/>
                <w:sz w:val="14"/>
                <w:szCs w:val="14"/>
                <w:b w:val="1"/>
                <w:bCs w:val="1"/>
                <w:color w:val="auto"/>
                <w:w w:val="93"/>
              </w:rPr>
              <w:t>(In thousands)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320" w:type="dxa"/>
            <w:vAlign w:val="bottom"/>
            <w:tcBorders>
              <w:bottom w:val="single" w:sz="8" w:color="auto"/>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488,260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488,260</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gridSpan w:val="2"/>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
              <w:spacing w:after="0"/>
              <w:rPr>
                <w:sz w:val="20"/>
                <w:szCs w:val="20"/>
                <w:color w:val="auto"/>
              </w:rPr>
            </w:pPr>
            <w:r>
              <w:rPr>
                <w:rFonts w:ascii="Arial" w:cs="Arial" w:eastAsia="Arial" w:hAnsi="Arial"/>
                <w:sz w:val="16"/>
                <w:szCs w:val="16"/>
                <w:color w:val="auto"/>
              </w:rPr>
              <w:t>488,260</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2"/>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488,260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earn-out</w:t>
            </w:r>
          </w:p>
        </w:tc>
        <w:tc>
          <w:tcPr>
            <w:tcW w:w="320" w:type="dxa"/>
            <w:vAlign w:val="bottom"/>
            <w:tcBorders>
              <w:bottom w:val="single" w:sz="8" w:color="auto"/>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6,026</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20" w:type="dxa"/>
            <w:vAlign w:val="bottom"/>
            <w:gridSpan w:val="2"/>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41"/>
              <w:spacing w:after="0"/>
              <w:rPr>
                <w:sz w:val="20"/>
                <w:szCs w:val="20"/>
                <w:color w:val="auto"/>
              </w:rPr>
            </w:pPr>
            <w:r>
              <w:rPr>
                <w:rFonts w:ascii="Arial" w:cs="Arial" w:eastAsia="Arial" w:hAnsi="Arial"/>
                <w:sz w:val="16"/>
                <w:szCs w:val="16"/>
                <w:color w:val="auto"/>
                <w:w w:val="89"/>
              </w:rPr>
              <w:t>$</w:t>
            </w:r>
          </w:p>
        </w:tc>
        <w:tc>
          <w:tcPr>
            <w:tcW w:w="122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6,026</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6,026</w:t>
            </w:r>
          </w:p>
        </w:tc>
      </w:tr>
      <w:tr>
        <w:trPr>
          <w:trHeight w:val="20"/>
        </w:trPr>
        <w:tc>
          <w:tcPr>
            <w:tcW w:w="5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394"/>
        </w:trPr>
        <w:tc>
          <w:tcPr>
            <w:tcW w:w="5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1000"/>
              <w:spacing w:after="0"/>
              <w:rPr>
                <w:sz w:val="20"/>
                <w:szCs w:val="20"/>
                <w:color w:val="auto"/>
              </w:rPr>
            </w:pPr>
            <w:r>
              <w:rPr>
                <w:rFonts w:ascii="Arial" w:cs="Arial" w:eastAsia="Arial" w:hAnsi="Arial"/>
                <w:sz w:val="14"/>
                <w:szCs w:val="14"/>
                <w:b w:val="1"/>
                <w:bCs w:val="1"/>
                <w:color w:val="auto"/>
              </w:rPr>
              <w:t>December 31, 2020</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182"/>
        </w:trPr>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Level 1</w:t>
            </w:r>
          </w:p>
        </w:tc>
        <w:tc>
          <w:tcPr>
            <w:tcW w:w="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Level 2</w:t>
            </w: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Level 3</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Total</w:t>
            </w:r>
          </w:p>
        </w:tc>
      </w:tr>
      <w:tr>
        <w:trPr>
          <w:trHeight w:val="177"/>
        </w:trPr>
        <w:tc>
          <w:tcPr>
            <w:tcW w:w="5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1"/>
              </w:rPr>
              <w:t>(In thousands)</w:t>
            </w: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Cash equivalents: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Money market funds</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328,195</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328,195</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9"/>
        </w:trPr>
        <w:tc>
          <w:tcPr>
            <w:tcW w:w="5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0"/>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Contingent earn-out</w:t>
            </w:r>
          </w:p>
        </w:tc>
        <w:tc>
          <w:tcPr>
            <w:tcW w:w="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6"/>
        </w:trPr>
        <w:tc>
          <w:tcPr>
            <w:tcW w:w="520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320" w:type="dxa"/>
            <w:vAlign w:val="bottom"/>
            <w:gridSpan w:val="2"/>
          </w:tcPr>
          <w:p>
            <w:pPr>
              <w:jc w:val="right"/>
              <w:ind w:right="81"/>
              <w:spacing w:after="0"/>
              <w:rPr>
                <w:sz w:val="20"/>
                <w:szCs w:val="20"/>
                <w:color w:val="auto"/>
              </w:rPr>
            </w:pPr>
            <w:r>
              <w:rPr>
                <w:rFonts w:ascii="Arial" w:cs="Arial" w:eastAsia="Arial" w:hAnsi="Arial"/>
                <w:sz w:val="16"/>
                <w:szCs w:val="16"/>
                <w:color w:val="auto"/>
              </w:rPr>
              <w:t>$</w:t>
            </w:r>
          </w:p>
        </w:tc>
        <w:tc>
          <w:tcPr>
            <w:tcW w:w="122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101"/>
              <w:spacing w:after="0"/>
              <w:rPr>
                <w:sz w:val="20"/>
                <w:szCs w:val="20"/>
                <w:color w:val="auto"/>
              </w:rPr>
            </w:pPr>
            <w:r>
              <w:rPr>
                <w:rFonts w:ascii="Arial" w:cs="Arial" w:eastAsia="Arial" w:hAnsi="Arial"/>
                <w:sz w:val="16"/>
                <w:szCs w:val="16"/>
                <w:color w:val="auto"/>
              </w:rPr>
              <w:t>$</w:t>
            </w:r>
          </w:p>
        </w:tc>
        <w:tc>
          <w:tcPr>
            <w:tcW w:w="1220" w:type="dxa"/>
            <w:vAlign w:val="bottom"/>
            <w:gridSpan w:val="3"/>
          </w:tcPr>
          <w:p>
            <w:pPr>
              <w:ind w:left="920"/>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61"/>
              <w:spacing w:after="0"/>
              <w:rPr>
                <w:sz w:val="20"/>
                <w:szCs w:val="20"/>
                <w:color w:val="auto"/>
              </w:rPr>
            </w:pPr>
            <w:r>
              <w:rPr>
                <w:rFonts w:ascii="Arial" w:cs="Arial" w:eastAsia="Arial" w:hAnsi="Arial"/>
                <w:sz w:val="16"/>
                <w:szCs w:val="16"/>
                <w:color w:val="auto"/>
                <w:w w:val="89"/>
              </w:rPr>
              <w:t>$</w:t>
            </w:r>
          </w:p>
        </w:tc>
        <w:tc>
          <w:tcPr>
            <w:tcW w:w="1100" w:type="dxa"/>
            <w:vAlign w:val="bottom"/>
            <w:gridSpan w:val="3"/>
          </w:tcPr>
          <w:p>
            <w:pPr>
              <w:ind w:left="78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5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In determining fair value, the Company utilizes valuation techniques that maximize the use of observable inputs and minimize the use of unobservable inputs to the extent possible as well as considers counterparty credit risk in its assessment of fair value. Observable or market inputs reflect market data obtained from independent sources, while unobservable inputs reflect its assumptions based on the best information available.</w:t>
      </w:r>
    </w:p>
    <w:p>
      <w:pPr>
        <w:spacing w:after="0" w:line="181"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5"/>
          <w:szCs w:val="15"/>
          <w:color w:val="auto"/>
        </w:rPr>
        <w:t>The Company's money market funds are measured at fair value on a recurring basis based on quoted market prices in active markets and are classified as level 1 within the fair value hierarchy. The Company's contingent earn-out liability is measured at fair value on a recurring basis and is classified as level 3 within the fair value hierarchy. On a nonrecurring basis, the Company uses fair value measures when analyzing asset impairment. Long-lived tangible assets are reviewed for impairment whenever events or changes in circumstances indicate that the carrying amount of an asset may not be recoverable. If it is determined such indicators are present and the review indicates that the assets will not be fully recoverable, based on undiscounted estimated cash flows over the remaining amortization periods, their carrying values are reduced to estimated fair value. The Company uses an income approach and inputs that constitute level 3.</w:t>
      </w:r>
    </w:p>
    <w:p>
      <w:pPr>
        <w:spacing w:after="0" w:line="17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As of September 30, 2021, the fair value of the Notes, as further described in Note 8 – Convertible Senior Notes and Capped Call Transactions above, was approximately $905.8 million. Management determines the fair value by utilizing an independent valuation specialist using the antithetic variable technique which is considered a level 2 fair value measurement.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27" w:name="page28"/>
    <w:bookmarkEnd w:id="27"/>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The Company recorded a contingent earn-out of $2.4 million in December 2018 in connection with the acquisitions of Conversable, Inc. and AdvantageTec. The contingent earn-out is based on achieving certain targeted financial, strategic, and integration objectives. The unobservable inputs considered are probability factors and the time value of money. During the year ended December 31, 2020, the contingent earn-out decreased by $0.6 million due to a decrease in re-measurement to fair value of AdvantageTec, of approximately $0.3 million and payments of approximately $0.3 million in shares. During the first six months of 2021, the contingent earn-out increased by $0.1 million and then subsequently paid out in shares during the second quarter. During the three months ended September 30, 2021, the contingent earn-out of $6.0 million was added as a result of the acquisition of e-bot7. The earn-out is contingent upon achieving certain targeted objectives and milestones.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changes in fair value of the level 3 liabilities are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4"/>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177"/>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period</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w:t>
            </w:r>
          </w:p>
        </w:tc>
      </w:tr>
      <w:tr>
        <w:trPr>
          <w:trHeight w:val="207"/>
        </w:trPr>
        <w:tc>
          <w:tcPr>
            <w:tcW w:w="8280" w:type="dxa"/>
            <w:vAlign w:val="bottom"/>
          </w:tcPr>
          <w:p>
            <w:pPr>
              <w:ind w:left="140"/>
              <w:spacing w:after="0"/>
              <w:rPr>
                <w:sz w:val="20"/>
                <w:szCs w:val="20"/>
                <w:color w:val="auto"/>
              </w:rPr>
            </w:pPr>
            <w:r>
              <w:rPr>
                <w:rFonts w:ascii="Arial" w:cs="Arial" w:eastAsia="Arial" w:hAnsi="Arial"/>
                <w:sz w:val="16"/>
                <w:szCs w:val="16"/>
                <w:color w:val="auto"/>
              </w:rPr>
              <w:t>e-bot7 acquisition (Note 9)</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6,026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AdvantageTec Inc. fair value adjustment</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r>
      <w:tr>
        <w:trPr>
          <w:trHeight w:val="207"/>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6,026</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Benefit Plans</w:t>
      </w:r>
    </w:p>
    <w:p>
      <w:pPr>
        <w:spacing w:after="0" w:line="239"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The Company’s 401(k) policy is a Safe Harbor Plan, whereby the Company matches 100% of the first 3% of eligible compensation and 50% of the next 2% of eligible compensation. Furthermore, the match is immediately vested. Salaries and related expenses include $1.0 million and $0.7 million of employer matching contributions for the three months ended September 30, 2021 and 2020, respectively, and $2.8 million and $2.5 million for the nine months ended September 30, 2021 and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As of September 30, 2021, the Company had a letter of credit totaling $0.8 million as a security deposit for the due performance by the Company of the terms and conditions of a supply contract.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Tax Liabilities</w:t>
      </w:r>
    </w:p>
    <w:p>
      <w:pPr>
        <w:spacing w:after="0" w:line="239"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The Company is in the process of finalizing its sales tax liability analysis for states in which it has economic nexus. During the first quarter of 2020, the Company determined it was probable it would be subject to sales tax liabilities plus applicable interest in these states and have estimated the potential exposure to range between $2.5 million to $6.3 million. The Company determined that its best estimate of what would be reasonably expected for it to settle the potential exposure was $2.5 million and accordingly, it accrued this amount with a corresponding charge to earnings as of March 31, 2020. As of September 30, 2021, there is a $1.0 million accrual balance for sales tax liabilities. The decrease in the balance of this accrual is primarily due to payments made for the sales tax liabilities.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39" w:lineRule="exact"/>
        <w:rPr>
          <w:sz w:val="20"/>
          <w:szCs w:val="20"/>
          <w:color w:val="auto"/>
        </w:rPr>
      </w:pPr>
    </w:p>
    <w:p>
      <w:pPr>
        <w:jc w:val="both"/>
        <w:ind w:firstLine="420"/>
        <w:spacing w:after="0" w:line="246" w:lineRule="auto"/>
        <w:rPr>
          <w:sz w:val="20"/>
          <w:szCs w:val="20"/>
          <w:color w:val="auto"/>
        </w:rPr>
      </w:pPr>
      <w:r>
        <w:rPr>
          <w:rFonts w:ascii="Arial" w:cs="Arial" w:eastAsia="Arial" w:hAnsi="Arial"/>
          <w:sz w:val="18"/>
          <w:szCs w:val="18"/>
          <w:color w:val="auto"/>
        </w:rPr>
        <w:t>In December 2019, a novel coronavirus disease (“COVID-19”) was first reported. On March 11, 2020, due to worldwide spread of the virus, the World Health Organization characterized COVID-19 as a pandemic. The COVID-19 global pandemic has resulted in a widespread health crisis, and the resulting impact on governments, businesses, and individuals and actions taken by them in response to the situation have resulted in widespread economic disruptions, significantly affecting broader economies, financial markets, and overall demand for the Company’s products. The COVID-19 outbreak also has caused increased uncertainty in estimates and assumptions affecting the reported amounts of assets and liabilities, and the disclosure of contingent assets and liabilities in the Company’s condensed consolidated financial statements as the extent and period of recovery from the COVID-19 outbreak and related economic disruption is difficult to forecast.</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8" w:name="page29"/>
    <w:bookmarkEnd w:id="28"/>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The extent to which COVID-19 impacts the Company’s business and financial results will depend on numerous evolving factors including, but not limited to, the magnitude and duration of COVID-19, the extent to which it will impact worldwide macroeconomic conditions, the speed of the anticipated recovery, and governmental and business reactions to the pandemic. The Company assessed certain accounting matters that generally require consideration of forecasted financial information in context with the information reasonably available to the Company and the unknown future impacts of COVID-19. The accounting matters assessed included, but were not limited to, the Company’s allowance for credit losses and the carrying value of the goodwill and other long-lived assets. While there was not any significant impact to the operations of the Company, during the twelve months ended December 31, 2020, the Company moved to an employee-centric model under which employees will work remotely rather than in traditional offices due to concerns about COVID-19. As a result of this decision, the Company recognized accelerated amortization to fully reduce the carrying value of the associated right of use assets for 14 leases within its global lease portfolio, which is a material impact to the Company’s consolidated financial statements as of and for the twelve months ended December 31, 2020. During the second quarter of 2021, the Company decided to reoccupy some of its leased space to provide its employees with the option of working in an office space environment if they choose to do so. Refer to Note 10 – Leases for a detailed discussion of the impacts of this lease restructuring.</w:t>
      </w:r>
    </w:p>
    <w:p>
      <w:pPr>
        <w:spacing w:after="0" w:line="203"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Although these events did not have a material adverse impact on our financial results for the first nine months ended, September 30, 2021, there can be no assurance that these events will not have a material adverse impact to the Company’s consolidated financial statements in future reporting periods.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As of September 30, 2021, there were 200,000,000 shares of common stock authorized, 72,723,049 shares issued, and 70,013,219 shares outstanding. As of December 31, 2020, there were 200,000,000 shares of common stock authorized, 70,264,265 shares issued, and 67,554,435 shares outstanding. The par value for shares of common stock is $0.001 per share.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As of September 30, 2021 and December 31, 2020, there were 5,000,000 shares of preferred stock authorized, and no shares were issued or outstanding.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The par value for shares of preferred stock is $0.001 per share.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Plans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Company’s 2019 Stock Incentive Plan, as amended and restated (the “2019 Plan”), became effective on April 11, 2019. The 2019 Plan allows the Company to grant incentive stock options and restricted stock units to its employees and directors to participate in the Company’s future performance through stock-based awards at the discretion of the board of directors. On April 19, 2021, the Company’s board of directors amended the plan and authorized 5,000,000 new shares for issuance. The number of shares authorized for issuance is 40,067,744 shares in the aggregate. Options to acquire common stock granted thereunder have ten-year terms. As of September 30, 2021, approximately 6.1 million shares of common stock remained available for issuance (taking into account all option exercises and other equity award settlements through September 30, 2021).</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There are 2,000,000 shares authorized and reserved for issuance under the 2019 Employee Stock Purchase Plan. As of September 30, 2021, approximately 0.7 million shares of common stock remain available for issuance under the 2019 Employee Stock Purchase Plan (taking into account all share purchases through September 30, 2021).</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Inducement Plan</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There are 3,368,048 shares of common stock authorized and reserved for issuance under the Inducement Plan. As of September 30, 2021, approximately 0.5 million shares of common stock remained available for issuance under the Inducement Plan (taking into account all option exercises and other equity award settlements through September 30, 2021).</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29" w:name="page30"/>
    <w:bookmarkEnd w:id="29"/>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stock option activity and weighted average exercise prices follows: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200" w:type="dxa"/>
            <w:vAlign w:val="bottom"/>
          </w:tcPr>
          <w:p>
            <w:pPr>
              <w:spacing w:after="0"/>
              <w:rPr>
                <w:sz w:val="16"/>
                <w:szCs w:val="16"/>
                <w:color w:val="auto"/>
              </w:rPr>
            </w:pPr>
          </w:p>
        </w:tc>
        <w:tc>
          <w:tcPr>
            <w:tcW w:w="2980" w:type="dxa"/>
            <w:vAlign w:val="bottom"/>
            <w:tcBorders>
              <w:bottom w:val="single" w:sz="8" w:color="auto"/>
            </w:tcBorders>
            <w:gridSpan w:val="5"/>
          </w:tcPr>
          <w:p>
            <w:pPr>
              <w:jc w:val="right"/>
              <w:ind w:right="765"/>
              <w:spacing w:after="0"/>
              <w:rPr>
                <w:sz w:val="20"/>
                <w:szCs w:val="20"/>
                <w:color w:val="auto"/>
              </w:rPr>
            </w:pPr>
            <w:r>
              <w:rPr>
                <w:rFonts w:ascii="Arial" w:cs="Arial" w:eastAsia="Arial" w:hAnsi="Arial"/>
                <w:sz w:val="14"/>
                <w:szCs w:val="14"/>
                <w:b w:val="1"/>
                <w:bCs w:val="1"/>
                <w:color w:val="auto"/>
              </w:rPr>
              <w:t>Stock Option Activity</w:t>
            </w:r>
          </w:p>
        </w:tc>
        <w:tc>
          <w:tcPr>
            <w:tcW w:w="100" w:type="dxa"/>
            <w:vAlign w:val="bottom"/>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5200" w:type="dxa"/>
            <w:vAlign w:val="bottom"/>
          </w:tcPr>
          <w:p>
            <w:pPr>
              <w:spacing w:after="0"/>
              <w:rPr>
                <w:sz w:val="12"/>
                <w:szCs w:val="12"/>
                <w:color w:val="auto"/>
              </w:rPr>
            </w:pPr>
          </w:p>
        </w:tc>
        <w:tc>
          <w:tcPr>
            <w:tcW w:w="980" w:type="dxa"/>
            <w:vAlign w:val="bottom"/>
            <w:vMerge w:val="restart"/>
          </w:tcPr>
          <w:p>
            <w:pPr>
              <w:ind w:left="460"/>
              <w:spacing w:after="0"/>
              <w:rPr>
                <w:sz w:val="20"/>
                <w:szCs w:val="20"/>
                <w:color w:val="auto"/>
              </w:rPr>
            </w:pPr>
            <w:r>
              <w:rPr>
                <w:rFonts w:ascii="Arial" w:cs="Arial" w:eastAsia="Arial" w:hAnsi="Arial"/>
                <w:sz w:val="14"/>
                <w:szCs w:val="14"/>
                <w:b w:val="1"/>
                <w:bCs w:val="1"/>
                <w:color w:val="auto"/>
                <w:w w:val="94"/>
              </w:rPr>
              <w:t>Options</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w w:val="88"/>
              </w:rPr>
              <w:t>Weighted</w:t>
            </w:r>
          </w:p>
        </w:tc>
        <w:tc>
          <w:tcPr>
            <w:tcW w:w="1540" w:type="dxa"/>
            <w:vAlign w:val="bottom"/>
            <w:gridSpan w:val="2"/>
          </w:tcPr>
          <w:p>
            <w:pPr>
              <w:jc w:val="center"/>
              <w:ind w:right="120"/>
              <w:spacing w:after="0" w:line="143"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1320" w:type="dxa"/>
            <w:vAlign w:val="bottom"/>
          </w:tcPr>
          <w:p>
            <w:pPr>
              <w:jc w:val="center"/>
              <w:ind w:right="45"/>
              <w:spacing w:after="0" w:line="143" w:lineRule="exact"/>
              <w:rPr>
                <w:sz w:val="20"/>
                <w:szCs w:val="20"/>
                <w:color w:val="auto"/>
              </w:rPr>
            </w:pPr>
            <w:r>
              <w:rPr>
                <w:rFonts w:ascii="Arial" w:cs="Arial" w:eastAsia="Arial" w:hAnsi="Arial"/>
                <w:sz w:val="14"/>
                <w:szCs w:val="14"/>
                <w:b w:val="1"/>
                <w:bCs w:val="1"/>
                <w:color w:val="auto"/>
                <w:w w:val="90"/>
              </w:rPr>
              <w:t>Aggregate Intrinsic</w:t>
            </w:r>
          </w:p>
        </w:tc>
        <w:tc>
          <w:tcPr>
            <w:tcW w:w="0" w:type="dxa"/>
            <w:vAlign w:val="bottom"/>
          </w:tcPr>
          <w:p>
            <w:pPr>
              <w:spacing w:after="0"/>
              <w:rPr>
                <w:sz w:val="1"/>
                <w:szCs w:val="1"/>
                <w:color w:val="auto"/>
              </w:rPr>
            </w:pPr>
          </w:p>
        </w:tc>
      </w:tr>
      <w:tr>
        <w:trPr>
          <w:trHeight w:val="131"/>
        </w:trPr>
        <w:tc>
          <w:tcPr>
            <w:tcW w:w="520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w w:val="86"/>
              </w:rPr>
              <w:t>Average</w:t>
            </w:r>
          </w:p>
        </w:tc>
        <w:tc>
          <w:tcPr>
            <w:tcW w:w="154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3"/>
              </w:rPr>
              <w:t>Contractual Term</w:t>
            </w:r>
          </w:p>
        </w:tc>
        <w:tc>
          <w:tcPr>
            <w:tcW w:w="100" w:type="dxa"/>
            <w:vAlign w:val="bottom"/>
          </w:tcPr>
          <w:p>
            <w:pPr>
              <w:spacing w:after="0"/>
              <w:rPr>
                <w:sz w:val="11"/>
                <w:szCs w:val="11"/>
                <w:color w:val="auto"/>
              </w:rPr>
            </w:pPr>
          </w:p>
        </w:tc>
        <w:tc>
          <w:tcPr>
            <w:tcW w:w="1320" w:type="dxa"/>
            <w:vAlign w:val="bottom"/>
          </w:tcPr>
          <w:p>
            <w:pPr>
              <w:jc w:val="center"/>
              <w:ind w:right="65"/>
              <w:spacing w:after="0" w:line="131"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5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ind w:right="201"/>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125"/>
              <w:spacing w:after="0"/>
              <w:rPr>
                <w:sz w:val="20"/>
                <w:szCs w:val="20"/>
                <w:color w:val="auto"/>
              </w:rPr>
            </w:pPr>
            <w:r>
              <w:rPr>
                <w:rFonts w:ascii="Arial" w:cs="Arial" w:eastAsia="Arial" w:hAnsi="Arial"/>
                <w:sz w:val="14"/>
                <w:szCs w:val="14"/>
                <w:b w:val="1"/>
                <w:bCs w:val="1"/>
                <w:color w:val="auto"/>
                <w:w w:val="87"/>
              </w:rPr>
              <w:t>Exercise Price</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204"/>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Balances outstanding at December 31, 2020</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4,332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19.78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183,825</w:t>
            </w:r>
          </w:p>
        </w:tc>
        <w:tc>
          <w:tcPr>
            <w:tcW w:w="0" w:type="dxa"/>
            <w:vAlign w:val="bottom"/>
          </w:tcPr>
          <w:p>
            <w:pPr>
              <w:spacing w:after="0"/>
              <w:rPr>
                <w:sz w:val="1"/>
                <w:szCs w:val="1"/>
                <w:color w:val="auto"/>
              </w:rPr>
            </w:pPr>
          </w:p>
        </w:tc>
      </w:tr>
      <w:tr>
        <w:trPr>
          <w:trHeight w:val="207"/>
        </w:trPr>
        <w:tc>
          <w:tcPr>
            <w:tcW w:w="6180" w:type="dxa"/>
            <w:vAlign w:val="bottom"/>
            <w:gridSpan w:val="2"/>
          </w:tcPr>
          <w:p>
            <w:pPr>
              <w:ind w:left="140"/>
              <w:spacing w:after="0"/>
              <w:rPr>
                <w:sz w:val="20"/>
                <w:szCs w:val="20"/>
                <w:color w:val="auto"/>
              </w:rPr>
            </w:pPr>
            <w:r>
              <w:rPr>
                <w:rFonts w:ascii="Arial" w:cs="Arial" w:eastAsia="Arial" w:hAnsi="Arial"/>
                <w:sz w:val="16"/>
                <w:szCs w:val="16"/>
                <w:color w:val="auto"/>
              </w:rPr>
              <w:t>Granted</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751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Cancelled or expired</w:t>
            </w:r>
          </w:p>
        </w:tc>
        <w:tc>
          <w:tcPr>
            <w:tcW w:w="9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3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outstanding at September 30, 2021</w:t>
            </w: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4,293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6"/>
                <w:szCs w:val="16"/>
                <w:color w:val="auto"/>
              </w:rPr>
              <w:t>26.97</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139,007</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gridSpan w:val="2"/>
          </w:tcPr>
          <w:p>
            <w:pPr>
              <w:ind w:left="20"/>
              <w:spacing w:after="0" w:line="183" w:lineRule="exact"/>
              <w:rPr>
                <w:sz w:val="20"/>
                <w:szCs w:val="20"/>
                <w:color w:val="auto"/>
              </w:rPr>
            </w:pPr>
            <w:r>
              <w:rPr>
                <w:rFonts w:ascii="Arial" w:cs="Arial" w:eastAsia="Arial" w:hAnsi="Arial"/>
                <w:sz w:val="16"/>
                <w:szCs w:val="16"/>
                <w:color w:val="auto"/>
              </w:rPr>
              <w:t>Options vested and expected to vest</w:t>
            </w:r>
          </w:p>
        </w:tc>
        <w:tc>
          <w:tcPr>
            <w:tcW w:w="460" w:type="dxa"/>
            <w:vAlign w:val="bottom"/>
          </w:tcPr>
          <w:p>
            <w:pPr>
              <w:jc w:val="right"/>
              <w:ind w:right="1"/>
              <w:spacing w:after="0" w:line="183" w:lineRule="exact"/>
              <w:rPr>
                <w:sz w:val="20"/>
                <w:szCs w:val="20"/>
                <w:color w:val="auto"/>
              </w:rPr>
            </w:pPr>
            <w:r>
              <w:rPr>
                <w:rFonts w:ascii="Arial" w:cs="Arial" w:eastAsia="Arial" w:hAnsi="Arial"/>
                <w:sz w:val="16"/>
                <w:szCs w:val="16"/>
                <w:color w:val="auto"/>
                <w:w w:val="89"/>
              </w:rPr>
              <w:t>1,273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5"/>
              <w:spacing w:after="0" w:line="183" w:lineRule="exact"/>
              <w:rPr>
                <w:sz w:val="20"/>
                <w:szCs w:val="20"/>
                <w:color w:val="auto"/>
              </w:rPr>
            </w:pPr>
            <w:r>
              <w:rPr>
                <w:rFonts w:ascii="Arial" w:cs="Arial" w:eastAsia="Arial" w:hAnsi="Arial"/>
                <w:sz w:val="16"/>
                <w:szCs w:val="16"/>
                <w:color w:val="auto"/>
              </w:rPr>
              <w:t>36.57</w:t>
            </w:r>
          </w:p>
        </w:tc>
        <w:tc>
          <w:tcPr>
            <w:tcW w:w="100" w:type="dxa"/>
            <w:vAlign w:val="bottom"/>
          </w:tcPr>
          <w:p>
            <w:pPr>
              <w:spacing w:after="0"/>
              <w:rPr>
                <w:sz w:val="15"/>
                <w:szCs w:val="15"/>
                <w:color w:val="auto"/>
              </w:rPr>
            </w:pPr>
          </w:p>
        </w:tc>
        <w:tc>
          <w:tcPr>
            <w:tcW w:w="1420" w:type="dxa"/>
            <w:vAlign w:val="bottom"/>
          </w:tcPr>
          <w:p>
            <w:pPr>
              <w:jc w:val="right"/>
              <w:spacing w:after="0" w:line="183" w:lineRule="exact"/>
              <w:rPr>
                <w:sz w:val="20"/>
                <w:szCs w:val="20"/>
                <w:color w:val="auto"/>
              </w:rPr>
            </w:pPr>
            <w:r>
              <w:rPr>
                <w:rFonts w:ascii="Arial" w:cs="Arial" w:eastAsia="Arial" w:hAnsi="Arial"/>
                <w:sz w:val="16"/>
                <w:szCs w:val="16"/>
                <w:color w:val="auto"/>
              </w:rPr>
              <w:t>8.30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line="183" w:lineRule="exact"/>
              <w:rPr>
                <w:sz w:val="20"/>
                <w:szCs w:val="20"/>
                <w:color w:val="auto"/>
              </w:rPr>
            </w:pPr>
            <w:r>
              <w:rPr>
                <w:rFonts w:ascii="Arial" w:cs="Arial" w:eastAsia="Arial" w:hAnsi="Arial"/>
                <w:sz w:val="16"/>
                <w:szCs w:val="16"/>
                <w:color w:val="auto"/>
              </w:rPr>
              <w:t>29,454</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Options exercisable at September 30, 2021</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2,372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16.97</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99,585</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total fair value of stock options exercised during the nine months ended September 30, 2021 was approximately $4.3 million. As of September 30, 2021, there was approximately $28.9 million of total unrecognized compensation cost related to nonvested share-based compensation arrangements. That cost is expected to be recognized over a weighted average period of approximately 2.9 years.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Activity</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Company’s restricted stock unit (“RSU”) activity and weighted average exercise prices follows:</w:t>
      </w:r>
    </w:p>
    <w:p>
      <w:pPr>
        <w:spacing w:after="0" w:line="137"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5660" w:type="dxa"/>
            <w:vAlign w:val="bottom"/>
          </w:tcPr>
          <w:p>
            <w:pPr>
              <w:spacing w:after="0"/>
              <w:rPr>
                <w:sz w:val="16"/>
                <w:szCs w:val="16"/>
                <w:color w:val="auto"/>
              </w:rPr>
            </w:pPr>
          </w:p>
        </w:tc>
        <w:tc>
          <w:tcPr>
            <w:tcW w:w="3600" w:type="dxa"/>
            <w:vAlign w:val="bottom"/>
            <w:gridSpan w:val="5"/>
          </w:tcPr>
          <w:p>
            <w:pPr>
              <w:ind w:left="840"/>
              <w:spacing w:after="0"/>
              <w:rPr>
                <w:sz w:val="20"/>
                <w:szCs w:val="20"/>
                <w:color w:val="auto"/>
              </w:rPr>
            </w:pPr>
            <w:r>
              <w:rPr>
                <w:rFonts w:ascii="Arial" w:cs="Arial" w:eastAsia="Arial" w:hAnsi="Arial"/>
                <w:sz w:val="14"/>
                <w:szCs w:val="14"/>
                <w:b w:val="1"/>
                <w:bCs w:val="1"/>
                <w:color w:val="auto"/>
              </w:rPr>
              <w:t>Restricted Stock Unit Activity</w:t>
            </w:r>
          </w:p>
        </w:tc>
        <w:tc>
          <w:tcPr>
            <w:tcW w:w="2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660" w:type="dxa"/>
            <w:vAlign w:val="bottom"/>
          </w:tcPr>
          <w:p>
            <w:pPr>
              <w:spacing w:after="0"/>
              <w:rPr>
                <w:sz w:val="11"/>
                <w:szCs w:val="11"/>
                <w:color w:val="auto"/>
              </w:rPr>
            </w:pPr>
          </w:p>
        </w:tc>
        <w:tc>
          <w:tcPr>
            <w:tcW w:w="180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Number of Shares</w:t>
            </w:r>
          </w:p>
        </w:tc>
        <w:tc>
          <w:tcPr>
            <w:tcW w:w="12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86"/>
              <w:spacing w:after="0" w:line="130" w:lineRule="exact"/>
              <w:rPr>
                <w:sz w:val="20"/>
                <w:szCs w:val="20"/>
                <w:color w:val="auto"/>
              </w:rPr>
            </w:pPr>
            <w:r>
              <w:rPr>
                <w:rFonts w:ascii="Arial" w:cs="Arial" w:eastAsia="Arial" w:hAnsi="Arial"/>
                <w:sz w:val="14"/>
                <w:szCs w:val="14"/>
                <w:b w:val="1"/>
                <w:bCs w:val="1"/>
                <w:color w:val="auto"/>
                <w:w w:val="88"/>
              </w:rPr>
              <w:t>Weighted Average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vMerge w:val="restart"/>
          </w:tcPr>
          <w:p>
            <w:pPr>
              <w:jc w:val="right"/>
              <w:ind w:right="265"/>
              <w:spacing w:after="0"/>
              <w:rPr>
                <w:sz w:val="20"/>
                <w:szCs w:val="20"/>
                <w:color w:val="auto"/>
              </w:rPr>
            </w:pPr>
            <w:r>
              <w:rPr>
                <w:rFonts w:ascii="Arial" w:cs="Arial" w:eastAsia="Arial" w:hAnsi="Arial"/>
                <w:sz w:val="14"/>
                <w:szCs w:val="14"/>
                <w:b w:val="1"/>
                <w:bCs w:val="1"/>
                <w:color w:val="auto"/>
                <w:w w:val="98"/>
              </w:rPr>
              <w:t>Aggregate Fair Value</w:t>
            </w:r>
          </w:p>
        </w:tc>
        <w:tc>
          <w:tcPr>
            <w:tcW w:w="0" w:type="dxa"/>
            <w:vAlign w:val="bottom"/>
          </w:tcPr>
          <w:p>
            <w:pPr>
              <w:spacing w:after="0"/>
              <w:rPr>
                <w:sz w:val="1"/>
                <w:szCs w:val="1"/>
                <w:color w:val="auto"/>
              </w:rPr>
            </w:pPr>
          </w:p>
        </w:tc>
      </w:tr>
      <w:tr>
        <w:trPr>
          <w:trHeight w:val="131"/>
        </w:trPr>
        <w:tc>
          <w:tcPr>
            <w:tcW w:w="566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680" w:type="dxa"/>
            <w:vAlign w:val="bottom"/>
            <w:gridSpan w:val="2"/>
          </w:tcPr>
          <w:p>
            <w:pPr>
              <w:jc w:val="center"/>
              <w:ind w:right="260"/>
              <w:spacing w:after="0" w:line="131" w:lineRule="exact"/>
              <w:rPr>
                <w:sz w:val="20"/>
                <w:szCs w:val="20"/>
                <w:color w:val="auto"/>
              </w:rPr>
            </w:pPr>
            <w:r>
              <w:rPr>
                <w:rFonts w:ascii="Arial" w:cs="Arial" w:eastAsia="Arial" w:hAnsi="Arial"/>
                <w:sz w:val="14"/>
                <w:szCs w:val="14"/>
                <w:b w:val="1"/>
                <w:bCs w:val="1"/>
                <w:color w:val="auto"/>
                <w:w w:val="94"/>
              </w:rPr>
              <w:t>Grant Date Fair Value</w:t>
            </w:r>
          </w:p>
        </w:tc>
        <w:tc>
          <w:tcPr>
            <w:tcW w:w="200" w:type="dxa"/>
            <w:vAlign w:val="bottom"/>
          </w:tcPr>
          <w:p>
            <w:pPr>
              <w:spacing w:after="0"/>
              <w:rPr>
                <w:sz w:val="11"/>
                <w:szCs w:val="11"/>
                <w:color w:val="auto"/>
              </w:rPr>
            </w:pPr>
          </w:p>
        </w:tc>
        <w:tc>
          <w:tcPr>
            <w:tcW w:w="17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5660" w:type="dxa"/>
            <w:vAlign w:val="bottom"/>
          </w:tcPr>
          <w:p>
            <w:pPr>
              <w:spacing w:after="0"/>
              <w:rPr>
                <w:sz w:val="15"/>
                <w:szCs w:val="15"/>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5"/>
                <w:szCs w:val="15"/>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(Per share)</w:t>
            </w:r>
          </w:p>
        </w:tc>
        <w:tc>
          <w:tcPr>
            <w:tcW w:w="200" w:type="dxa"/>
            <w:vAlign w:val="bottom"/>
          </w:tcPr>
          <w:p>
            <w:pPr>
              <w:spacing w:after="0"/>
              <w:rPr>
                <w:sz w:val="15"/>
                <w:szCs w:val="15"/>
                <w:color w:val="auto"/>
              </w:rPr>
            </w:pPr>
          </w:p>
        </w:tc>
        <w:tc>
          <w:tcPr>
            <w:tcW w:w="1740" w:type="dxa"/>
            <w:vAlign w:val="bottom"/>
          </w:tcPr>
          <w:p>
            <w:pPr>
              <w:jc w:val="right"/>
              <w:ind w:right="46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4"/>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Balances outstanding at December 31, 2020</w:t>
            </w:r>
          </w:p>
        </w:tc>
        <w:tc>
          <w:tcPr>
            <w:tcW w:w="170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2,950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27.00</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183,781</w:t>
            </w:r>
          </w:p>
        </w:tc>
        <w:tc>
          <w:tcPr>
            <w:tcW w:w="0" w:type="dxa"/>
            <w:vAlign w:val="bottom"/>
          </w:tcPr>
          <w:p>
            <w:pPr>
              <w:spacing w:after="0"/>
              <w:rPr>
                <w:sz w:val="1"/>
                <w:szCs w:val="1"/>
                <w:color w:val="auto"/>
              </w:rPr>
            </w:pPr>
          </w:p>
        </w:tc>
      </w:tr>
      <w:tr>
        <w:trPr>
          <w:trHeight w:val="207"/>
        </w:trPr>
        <w:tc>
          <w:tcPr>
            <w:tcW w:w="5660" w:type="dxa"/>
            <w:vAlign w:val="bottom"/>
          </w:tcPr>
          <w:p>
            <w:pPr>
              <w:ind w:left="140"/>
              <w:spacing w:after="0"/>
              <w:rPr>
                <w:sz w:val="20"/>
                <w:szCs w:val="20"/>
                <w:color w:val="auto"/>
              </w:rPr>
            </w:pPr>
            <w:r>
              <w:rPr>
                <w:rFonts w:ascii="Arial" w:cs="Arial" w:eastAsia="Arial" w:hAnsi="Arial"/>
                <w:sz w:val="16"/>
                <w:szCs w:val="16"/>
                <w:color w:val="auto"/>
              </w:rPr>
              <w:t>Awarded</w:t>
            </w:r>
          </w:p>
        </w:tc>
        <w:tc>
          <w:tcPr>
            <w:tcW w:w="1700" w:type="dxa"/>
            <w:vAlign w:val="bottom"/>
          </w:tcPr>
          <w:p>
            <w:pPr>
              <w:jc w:val="right"/>
              <w:ind w:right="4"/>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6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7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5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Non-vested and outstanding at September 30, 2021</w:t>
            </w:r>
          </w:p>
        </w:tc>
        <w:tc>
          <w:tcPr>
            <w:tcW w:w="17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3,060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180,573</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60" w:type="dxa"/>
            <w:vAlign w:val="bottom"/>
          </w:tcPr>
          <w:p>
            <w:pPr>
              <w:ind w:left="20"/>
              <w:spacing w:after="0" w:line="183" w:lineRule="exact"/>
              <w:rPr>
                <w:sz w:val="20"/>
                <w:szCs w:val="20"/>
                <w:color w:val="auto"/>
              </w:rPr>
            </w:pPr>
            <w:r>
              <w:rPr>
                <w:rFonts w:ascii="Arial" w:cs="Arial" w:eastAsia="Arial" w:hAnsi="Arial"/>
                <w:sz w:val="16"/>
                <w:szCs w:val="16"/>
                <w:color w:val="auto"/>
              </w:rPr>
              <w:t>Expected to vest</w:t>
            </w:r>
          </w:p>
        </w:tc>
        <w:tc>
          <w:tcPr>
            <w:tcW w:w="1700" w:type="dxa"/>
            <w:vAlign w:val="bottom"/>
            <w:tcBorders>
              <w:bottom w:val="single" w:sz="8" w:color="auto"/>
            </w:tcBorders>
          </w:tcPr>
          <w:p>
            <w:pPr>
              <w:jc w:val="right"/>
              <w:ind w:right="4"/>
              <w:spacing w:after="0" w:line="183" w:lineRule="exact"/>
              <w:rPr>
                <w:sz w:val="20"/>
                <w:szCs w:val="20"/>
                <w:color w:val="auto"/>
              </w:rPr>
            </w:pPr>
            <w:r>
              <w:rPr>
                <w:rFonts w:ascii="Arial" w:cs="Arial" w:eastAsia="Arial" w:hAnsi="Arial"/>
                <w:sz w:val="16"/>
                <w:szCs w:val="16"/>
                <w:color w:val="auto"/>
              </w:rPr>
              <w:t>1,914</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39.43</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1"/>
              <w:spacing w:after="0" w:line="183" w:lineRule="exact"/>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112,859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RSUs granted to employees generally vest over a three to four-year period or upon achievement of certain performance conditions. As of September 30, 2021, total unrecognized compensation cost, adjusted for estimated forfeitures, related to nonvested RSUs was approximately $113.0 million and the weighted-average remaining vesting period was 3.1 years.</w:t>
      </w:r>
    </w:p>
    <w:p>
      <w:pPr>
        <w:spacing w:after="0" w:line="214"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For the three months ended September 30, 2021 and 2020, the Company accrued approximately $5.1 million and $6.8 million in cash rewards, respectively, and for the nine months ended September 30, 2021 and 2020, the Company accrued approximately $15.5 million and $18.4 million in cash awards, respectively, to be settled in shares of the Company’s stock and recorded a corresponding expense, which is included as a component of stock-based compensation expense in the accompanying condensed consolidated statements of operations for the three and nine months ended September 30, 2021 and 2020, respectively.</w:t>
      </w:r>
    </w:p>
    <w:p>
      <w:pPr>
        <w:spacing w:after="0" w:line="221"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Stock-based compensation expense recognized in the Company’s condensed consolidated statements of operations and cash flows was $18.3 million and $15.5 million for the three months ended September 30, 2021 and 2020, respectively, and $48.0 million and $46.2 million for the nine months ended September 30, 2021 and 2020, respectively.</w:t>
      </w:r>
    </w:p>
    <w:p>
      <w:pPr>
        <w:spacing w:after="0" w:line="214"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per share weighted average fair value of stock options granted was $29.13 and $17.73 during the three months ended September 30, 2021 and 2020, respectively. The per share weighted average fair value of stock options granted was $26.98 and $12.25 during the nine months ended September 30, 2021 and 2020, respectively. The fair value of each option grant is</w:t>
      </w:r>
    </w:p>
    <w:p>
      <w:pPr>
        <w:sectPr>
          <w:pgSz w:w="11900" w:h="16838" w:orient="portrait"/>
          <w:cols w:equalWidth="0" w:num="1">
            <w:col w:w="11240"/>
          </w:cols>
          <w:pgMar w:left="320" w:top="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0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78105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type w:val="continuous"/>
        </w:sectPr>
      </w:pPr>
    </w:p>
    <w:bookmarkStart w:id="30" w:name="page31"/>
    <w:bookmarkEnd w:id="30"/>
    <w:p>
      <w:pPr>
        <w:jc w:val="center"/>
        <w:ind w:left="40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5"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estimated on the date of grant, adjusted for estimated forfeitures, using the Black-Scholes option-pricing model with the following weighted average assumptions: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2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540" w:type="dxa"/>
            <w:vAlign w:val="bottom"/>
            <w:gridSpan w:val="3"/>
          </w:tcPr>
          <w:p>
            <w:pPr>
              <w:jc w:val="center"/>
              <w:ind w:left="30"/>
              <w:spacing w:after="0"/>
              <w:rPr>
                <w:sz w:val="20"/>
                <w:szCs w:val="20"/>
                <w:color w:val="auto"/>
              </w:rPr>
            </w:pPr>
            <w:r>
              <w:rPr>
                <w:rFonts w:ascii="Arial" w:cs="Arial" w:eastAsia="Arial" w:hAnsi="Arial"/>
                <w:sz w:val="14"/>
                <w:szCs w:val="14"/>
                <w:b w:val="1"/>
                <w:bCs w:val="1"/>
                <w:color w:val="auto"/>
                <w:w w:val="91"/>
              </w:rPr>
              <w:t>Nine Months Ended</w:t>
            </w:r>
          </w:p>
        </w:tc>
        <w:tc>
          <w:tcPr>
            <w:tcW w:w="76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220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30"/>
              <w:spacing w:after="0"/>
              <w:rPr>
                <w:sz w:val="20"/>
                <w:szCs w:val="20"/>
                <w:color w:val="auto"/>
              </w:rPr>
            </w:pPr>
            <w:r>
              <w:rPr>
                <w:rFonts w:ascii="Arial" w:cs="Arial" w:eastAsia="Arial" w:hAnsi="Arial"/>
                <w:sz w:val="14"/>
                <w:szCs w:val="14"/>
                <w:b w:val="1"/>
                <w:bCs w:val="1"/>
                <w:color w:val="auto"/>
                <w:w w:val="87"/>
              </w:rPr>
              <w:t>September 30,</w:t>
            </w:r>
          </w:p>
        </w:tc>
        <w:tc>
          <w:tcPr>
            <w:tcW w:w="760" w:type="dxa"/>
            <w:vAlign w:val="bottom"/>
            <w:tcBorders>
              <w:bottom w:val="single" w:sz="8" w:color="auto"/>
            </w:tcBorders>
          </w:tcPr>
          <w:p>
            <w:pPr>
              <w:spacing w:after="0"/>
              <w:rPr>
                <w:sz w:val="16"/>
                <w:szCs w:val="16"/>
                <w:color w:val="auto"/>
              </w:rPr>
            </w:pPr>
          </w:p>
        </w:tc>
      </w:tr>
      <w:tr>
        <w:trPr>
          <w:trHeight w:val="182"/>
        </w:trPr>
        <w:tc>
          <w:tcPr>
            <w:tcW w:w="52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CEEFF"/>
            </w:tcBorders>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2020</w:t>
            </w:r>
          </w:p>
        </w:tc>
      </w:tr>
      <w:tr>
        <w:trPr>
          <w:trHeight w:val="19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 yield</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0.00%</w:t>
            </w: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0.00%</w:t>
            </w:r>
          </w:p>
        </w:tc>
        <w:tc>
          <w:tcPr>
            <w:tcW w:w="1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0.00%</w:t>
            </w:r>
          </w:p>
        </w:tc>
        <w:tc>
          <w:tcPr>
            <w:tcW w:w="12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0"/>
              </w:rPr>
              <w:t>0.00%</w:t>
            </w:r>
          </w:p>
        </w:tc>
      </w:tr>
      <w:tr>
        <w:trPr>
          <w:trHeight w:val="207"/>
        </w:trPr>
        <w:tc>
          <w:tcPr>
            <w:tcW w:w="5200" w:type="dxa"/>
            <w:vAlign w:val="bottom"/>
          </w:tcPr>
          <w:p>
            <w:pPr>
              <w:ind w:left="20"/>
              <w:spacing w:after="0"/>
              <w:rPr>
                <w:sz w:val="20"/>
                <w:szCs w:val="20"/>
                <w:color w:val="auto"/>
              </w:rPr>
            </w:pPr>
            <w:r>
              <w:rPr>
                <w:rFonts w:ascii="Arial" w:cs="Arial" w:eastAsia="Arial" w:hAnsi="Arial"/>
                <w:sz w:val="16"/>
                <w:szCs w:val="16"/>
                <w:color w:val="auto"/>
              </w:rPr>
              <w:t>Risk-free interest rate</w:t>
            </w:r>
          </w:p>
        </w:tc>
        <w:tc>
          <w:tcPr>
            <w:tcW w:w="1440" w:type="dxa"/>
            <w:vAlign w:val="bottom"/>
          </w:tcPr>
          <w:p>
            <w:pPr>
              <w:jc w:val="center"/>
              <w:spacing w:after="0"/>
              <w:rPr>
                <w:sz w:val="20"/>
                <w:szCs w:val="20"/>
                <w:color w:val="auto"/>
              </w:rPr>
            </w:pPr>
            <w:r>
              <w:rPr>
                <w:rFonts w:ascii="Arial" w:cs="Arial" w:eastAsia="Arial" w:hAnsi="Arial"/>
                <w:sz w:val="14"/>
                <w:szCs w:val="14"/>
                <w:color w:val="auto"/>
                <w:w w:val="90"/>
              </w:rPr>
              <w:t>0.72% -1.02%</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0.26%</w:t>
            </w:r>
          </w:p>
        </w:tc>
        <w:tc>
          <w:tcPr>
            <w:tcW w:w="780" w:type="dxa"/>
            <w:vAlign w:val="bottom"/>
          </w:tcPr>
          <w:p>
            <w:pPr>
              <w:ind w:left="40"/>
              <w:spacing w:after="0"/>
              <w:rPr>
                <w:sz w:val="20"/>
                <w:szCs w:val="20"/>
                <w:color w:val="auto"/>
              </w:rPr>
            </w:pPr>
            <w:r>
              <w:rPr>
                <w:rFonts w:ascii="Arial" w:cs="Arial" w:eastAsia="Arial" w:hAnsi="Arial"/>
                <w:sz w:val="14"/>
                <w:szCs w:val="14"/>
                <w:color w:val="auto"/>
              </w:rPr>
              <w:t>- 0.29%</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0.46%</w:t>
            </w:r>
          </w:p>
        </w:tc>
        <w:tc>
          <w:tcPr>
            <w:tcW w:w="760" w:type="dxa"/>
            <w:vAlign w:val="bottom"/>
          </w:tcPr>
          <w:p>
            <w:pPr>
              <w:ind w:left="20"/>
              <w:spacing w:after="0"/>
              <w:rPr>
                <w:sz w:val="20"/>
                <w:szCs w:val="20"/>
                <w:color w:val="auto"/>
              </w:rPr>
            </w:pPr>
            <w:r>
              <w:rPr>
                <w:rFonts w:ascii="Arial" w:cs="Arial" w:eastAsia="Arial" w:hAnsi="Arial"/>
                <w:sz w:val="14"/>
                <w:szCs w:val="14"/>
                <w:color w:val="auto"/>
              </w:rPr>
              <w:t>- 1.02%</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0.26%</w:t>
            </w:r>
          </w:p>
        </w:tc>
        <w:tc>
          <w:tcPr>
            <w:tcW w:w="760" w:type="dxa"/>
            <w:vAlign w:val="bottom"/>
          </w:tcPr>
          <w:p>
            <w:pPr>
              <w:ind w:left="20"/>
              <w:spacing w:after="0"/>
              <w:rPr>
                <w:sz w:val="20"/>
                <w:szCs w:val="20"/>
                <w:color w:val="auto"/>
              </w:rPr>
            </w:pPr>
            <w:r>
              <w:rPr>
                <w:rFonts w:ascii="Arial" w:cs="Arial" w:eastAsia="Arial" w:hAnsi="Arial"/>
                <w:sz w:val="14"/>
                <w:szCs w:val="14"/>
                <w:color w:val="auto"/>
              </w:rPr>
              <w:t>- 0.66%</w:t>
            </w:r>
          </w:p>
        </w:tc>
      </w:tr>
      <w:tr>
        <w:trPr>
          <w:trHeight w:val="213"/>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life (in years)</w:t>
            </w:r>
          </w:p>
        </w:tc>
        <w:tc>
          <w:tcPr>
            <w:tcW w:w="14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80" w:type="dxa"/>
            <w:vAlign w:val="bottom"/>
            <w:shd w:val="clear" w:color="auto" w:fill="CCEEFF"/>
          </w:tcPr>
          <w:p>
            <w:pPr>
              <w:jc w:val="center"/>
              <w:ind w:right="590"/>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590"/>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60" w:type="dxa"/>
            <w:vAlign w:val="bottom"/>
            <w:shd w:val="clear" w:color="auto" w:fill="CCEEFF"/>
          </w:tcPr>
          <w:p>
            <w:pPr>
              <w:jc w:val="center"/>
              <w:ind w:right="590"/>
              <w:spacing w:after="0"/>
              <w:rPr>
                <w:sz w:val="20"/>
                <w:szCs w:val="20"/>
                <w:color w:val="auto"/>
              </w:rPr>
            </w:pPr>
            <w:r>
              <w:rPr>
                <w:rFonts w:ascii="Arial" w:cs="Arial" w:eastAsia="Arial" w:hAnsi="Arial"/>
                <w:sz w:val="14"/>
                <w:szCs w:val="14"/>
                <w:color w:val="auto"/>
                <w:w w:val="76"/>
              </w:rPr>
              <w:t>5</w:t>
            </w:r>
          </w:p>
        </w:tc>
      </w:tr>
      <w:tr>
        <w:trPr>
          <w:trHeight w:val="204"/>
        </w:trPr>
        <w:tc>
          <w:tcPr>
            <w:tcW w:w="5200" w:type="dxa"/>
            <w:vAlign w:val="bottom"/>
          </w:tcPr>
          <w:p>
            <w:pPr>
              <w:ind w:left="20"/>
              <w:spacing w:after="0"/>
              <w:rPr>
                <w:sz w:val="20"/>
                <w:szCs w:val="20"/>
                <w:color w:val="auto"/>
              </w:rPr>
            </w:pPr>
            <w:r>
              <w:rPr>
                <w:rFonts w:ascii="Arial" w:cs="Arial" w:eastAsia="Arial" w:hAnsi="Arial"/>
                <w:sz w:val="16"/>
                <w:szCs w:val="16"/>
                <w:color w:val="auto"/>
              </w:rPr>
              <w:t>Historical volatility</w:t>
            </w:r>
          </w:p>
        </w:tc>
        <w:tc>
          <w:tcPr>
            <w:tcW w:w="1440" w:type="dxa"/>
            <w:vAlign w:val="bottom"/>
          </w:tcPr>
          <w:p>
            <w:pPr>
              <w:jc w:val="center"/>
              <w:spacing w:after="0"/>
              <w:rPr>
                <w:sz w:val="20"/>
                <w:szCs w:val="20"/>
                <w:color w:val="auto"/>
              </w:rPr>
            </w:pPr>
            <w:r>
              <w:rPr>
                <w:rFonts w:ascii="Arial" w:cs="Arial" w:eastAsia="Arial" w:hAnsi="Arial"/>
                <w:sz w:val="14"/>
                <w:szCs w:val="14"/>
                <w:color w:val="auto"/>
                <w:w w:val="91"/>
              </w:rPr>
              <w:t>53.51% - 53.67%</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52.26%</w:t>
            </w:r>
          </w:p>
        </w:tc>
        <w:tc>
          <w:tcPr>
            <w:tcW w:w="780" w:type="dxa"/>
            <w:vAlign w:val="bottom"/>
          </w:tcPr>
          <w:p>
            <w:pPr>
              <w:ind w:left="40"/>
              <w:spacing w:after="0"/>
              <w:rPr>
                <w:sz w:val="20"/>
                <w:szCs w:val="20"/>
                <w:color w:val="auto"/>
              </w:rPr>
            </w:pPr>
            <w:r>
              <w:rPr>
                <w:rFonts w:ascii="Arial" w:cs="Arial" w:eastAsia="Arial" w:hAnsi="Arial"/>
                <w:sz w:val="14"/>
                <w:szCs w:val="14"/>
                <w:color w:val="auto"/>
              </w:rPr>
              <w:t>- 52.43%</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53.51%</w:t>
            </w:r>
          </w:p>
        </w:tc>
        <w:tc>
          <w:tcPr>
            <w:tcW w:w="760" w:type="dxa"/>
            <w:vAlign w:val="bottom"/>
          </w:tcPr>
          <w:p>
            <w:pPr>
              <w:ind w:left="20"/>
              <w:spacing w:after="0"/>
              <w:rPr>
                <w:sz w:val="20"/>
                <w:szCs w:val="20"/>
                <w:color w:val="auto"/>
              </w:rPr>
            </w:pPr>
            <w:r>
              <w:rPr>
                <w:rFonts w:ascii="Arial" w:cs="Arial" w:eastAsia="Arial" w:hAnsi="Arial"/>
                <w:sz w:val="14"/>
                <w:szCs w:val="14"/>
                <w:color w:val="auto"/>
              </w:rPr>
              <w:t>- 54.55%</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46.50%</w:t>
            </w:r>
          </w:p>
        </w:tc>
        <w:tc>
          <w:tcPr>
            <w:tcW w:w="760" w:type="dxa"/>
            <w:vAlign w:val="bottom"/>
          </w:tcPr>
          <w:p>
            <w:pPr>
              <w:ind w:left="20"/>
              <w:spacing w:after="0"/>
              <w:rPr>
                <w:sz w:val="20"/>
                <w:szCs w:val="20"/>
                <w:color w:val="auto"/>
              </w:rPr>
            </w:pPr>
            <w:r>
              <w:rPr>
                <w:rFonts w:ascii="Arial" w:cs="Arial" w:eastAsia="Arial" w:hAnsi="Arial"/>
                <w:sz w:val="14"/>
                <w:szCs w:val="14"/>
                <w:color w:val="auto"/>
              </w:rPr>
              <w:t>- 52.43%</w:t>
            </w:r>
          </w:p>
        </w:tc>
      </w:tr>
    </w:tbl>
    <w:p>
      <w:pPr>
        <w:spacing w:after="0" w:line="32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description of the methods used in the significant assumptions used to estimate the fair value of stock-based compensation awards follows:</w:t>
      </w:r>
    </w:p>
    <w:p>
      <w:pPr>
        <w:spacing w:after="0" w:line="131" w:lineRule="exact"/>
        <w:rPr>
          <w:sz w:val="20"/>
          <w:szCs w:val="20"/>
          <w:color w:val="auto"/>
        </w:rPr>
      </w:pPr>
    </w:p>
    <w:p>
      <w:pPr>
        <w:ind w:left="1100" w:hanging="307"/>
        <w:spacing w:after="0"/>
        <w:tabs>
          <w:tab w:leader="none" w:pos="110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Dividend yield – </w:t>
      </w:r>
      <w:r>
        <w:rPr>
          <w:rFonts w:ascii="Arial" w:cs="Arial" w:eastAsia="Arial" w:hAnsi="Arial"/>
          <w:sz w:val="16"/>
          <w:szCs w:val="16"/>
          <w:color w:val="auto"/>
        </w:rPr>
        <w:t>The Company uses 0% as it has never issued dividends and does not anticipate issuing dividends in the near term.</w:t>
      </w:r>
    </w:p>
    <w:p>
      <w:pPr>
        <w:spacing w:after="0" w:line="131" w:lineRule="exact"/>
        <w:rPr>
          <w:rFonts w:ascii="Arial" w:cs="Arial" w:eastAsia="Arial" w:hAnsi="Arial"/>
          <w:sz w:val="16"/>
          <w:szCs w:val="16"/>
          <w:i w:val="1"/>
          <w:iCs w:val="1"/>
          <w:color w:val="auto"/>
        </w:rPr>
      </w:pPr>
    </w:p>
    <w:p>
      <w:pPr>
        <w:ind w:left="1100" w:hanging="307"/>
        <w:spacing w:after="0" w:line="260" w:lineRule="auto"/>
        <w:tabs>
          <w:tab w:leader="none" w:pos="1096"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 </w:t>
      </w:r>
      <w:r>
        <w:rPr>
          <w:rFonts w:ascii="Arial" w:cs="Arial" w:eastAsia="Arial" w:hAnsi="Arial"/>
          <w:sz w:val="18"/>
          <w:szCs w:val="18"/>
          <w:color w:val="auto"/>
        </w:rPr>
        <w:t>The Company uses the market yield on U.S. Treasury securities at five years with constant maturity, representing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expected life of stock options in years.</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Expected life – </w:t>
      </w:r>
      <w:r>
        <w:rPr>
          <w:rFonts w:ascii="Arial" w:cs="Arial" w:eastAsia="Arial" w:hAnsi="Arial"/>
          <w:sz w:val="18"/>
          <w:szCs w:val="18"/>
          <w:color w:val="auto"/>
        </w:rPr>
        <w:t>The Company uses historical data to estimate the expected life of a stock option.</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Historical volatility – </w:t>
      </w:r>
      <w:r>
        <w:rPr>
          <w:rFonts w:ascii="Arial" w:cs="Arial" w:eastAsia="Arial" w:hAnsi="Arial"/>
          <w:sz w:val="18"/>
          <w:szCs w:val="18"/>
          <w:color w:val="auto"/>
        </w:rPr>
        <w:t>The Company uses a trailing five year from grant date to determine volatility.</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Restructuring</w:t>
      </w:r>
    </w:p>
    <w:p>
      <w:pPr>
        <w:spacing w:after="0" w:line="24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In response to the COVID-19 pandemic, the Company went through a re-evaluation of its real estate needs. In connection with this re-evaluation, and the success the Company has had working remotely, it was decided in July 2020 that the Company would significantly reduce the real estate space it leases. This decision resulted in the significant reduction of the real estate space the Company leases and the removal of the associated right of use assets. Furthermore, this resulted in various one-time expenses in connection with the abandonment of the majority of the Company’s leased facilities. The lease restructuring costs noted below are a result of this transition to an employee-centric model.</w:t>
      </w:r>
    </w:p>
    <w:p>
      <w:pPr>
        <w:spacing w:after="0" w:line="190"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On top of the lease restructuring costs, the Company went through a further restructuring related to costs associated with re-prioritizing and reallocating resources to focus on areas believed by management to show high growth potential.</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detail of expenses for the Company’s restructuring charges for the periods presented: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2420" w:type="dxa"/>
            <w:vAlign w:val="bottom"/>
            <w:gridSpan w:val="4"/>
          </w:tcPr>
          <w:p>
            <w:pPr>
              <w:jc w:val="center"/>
              <w:ind w:left="464"/>
              <w:spacing w:after="0"/>
              <w:rPr>
                <w:sz w:val="20"/>
                <w:szCs w:val="20"/>
                <w:color w:val="auto"/>
              </w:rPr>
            </w:pPr>
            <w:r>
              <w:rPr>
                <w:rFonts w:ascii="Arial" w:cs="Arial" w:eastAsia="Arial" w:hAnsi="Arial"/>
                <w:sz w:val="14"/>
                <w:szCs w:val="14"/>
                <w:b w:val="1"/>
                <w:bCs w:val="1"/>
                <w:color w:val="auto"/>
                <w:w w:val="92"/>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9"/>
        </w:trPr>
        <w:tc>
          <w:tcPr>
            <w:tcW w:w="52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343"/>
              <w:spacing w:after="0"/>
              <w:rPr>
                <w:sz w:val="20"/>
                <w:szCs w:val="20"/>
                <w:color w:val="auto"/>
              </w:rPr>
            </w:pPr>
            <w:r>
              <w:rPr>
                <w:rFonts w:ascii="Arial" w:cs="Arial" w:eastAsia="Arial" w:hAnsi="Arial"/>
                <w:sz w:val="14"/>
                <w:szCs w:val="14"/>
                <w:b w:val="1"/>
                <w:bCs w:val="1"/>
                <w:color w:val="auto"/>
                <w:w w:val="89"/>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20" w:type="dxa"/>
            <w:vAlign w:val="bottom"/>
          </w:tcPr>
          <w:p>
            <w:pPr>
              <w:spacing w:after="0"/>
              <w:rPr>
                <w:sz w:val="15"/>
                <w:szCs w:val="15"/>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restructuring costs: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07"/>
        </w:trPr>
        <w:tc>
          <w:tcPr>
            <w:tcW w:w="5220" w:type="dxa"/>
            <w:vAlign w:val="bottom"/>
          </w:tcPr>
          <w:p>
            <w:pPr>
              <w:ind w:left="220"/>
              <w:spacing w:after="0"/>
              <w:rPr>
                <w:sz w:val="20"/>
                <w:szCs w:val="20"/>
                <w:color w:val="auto"/>
              </w:rPr>
            </w:pPr>
            <w:r>
              <w:rPr>
                <w:rFonts w:ascii="Arial" w:cs="Arial" w:eastAsia="Arial" w:hAnsi="Arial"/>
                <w:sz w:val="16"/>
                <w:szCs w:val="16"/>
                <w:color w:val="auto"/>
              </w:rPr>
              <w:t>Right of use assets write down</w:t>
            </w:r>
          </w:p>
        </w:tc>
        <w:tc>
          <w:tcPr>
            <w:tcW w:w="940" w:type="dxa"/>
            <w:vAlign w:val="bottom"/>
          </w:tcPr>
          <w:p>
            <w:pPr>
              <w:jc w:val="right"/>
              <w:ind w:right="764"/>
              <w:spacing w:after="0"/>
              <w:rPr>
                <w:sz w:val="20"/>
                <w:szCs w:val="20"/>
                <w:color w:val="auto"/>
              </w:rPr>
            </w:pPr>
            <w:r>
              <w:rPr>
                <w:rFonts w:ascii="Arial" w:cs="Arial" w:eastAsia="Arial" w:hAnsi="Arial"/>
                <w:sz w:val="16"/>
                <w:szCs w:val="16"/>
                <w:color w:val="auto"/>
                <w:w w:val="89"/>
              </w:rPr>
              <w:t>$</w:t>
            </w:r>
          </w:p>
        </w:tc>
        <w:tc>
          <w:tcPr>
            <w:tcW w:w="58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ind w:right="2"/>
              <w:spacing w:after="0"/>
              <w:rPr>
                <w:sz w:val="20"/>
                <w:szCs w:val="20"/>
                <w:color w:val="auto"/>
              </w:rPr>
            </w:pPr>
            <w:r>
              <w:rPr>
                <w:rFonts w:ascii="Arial" w:cs="Arial" w:eastAsia="Arial" w:hAnsi="Arial"/>
                <w:sz w:val="16"/>
                <w:szCs w:val="16"/>
                <w:color w:val="auto"/>
                <w:w w:val="89"/>
              </w:rPr>
              <w:t>13,938</w:t>
            </w:r>
          </w:p>
        </w:tc>
        <w:tc>
          <w:tcPr>
            <w:tcW w:w="100" w:type="dxa"/>
            <w:vAlign w:val="bottom"/>
          </w:tcPr>
          <w:p>
            <w:pPr>
              <w:spacing w:after="0"/>
              <w:rPr>
                <w:sz w:val="17"/>
                <w:szCs w:val="17"/>
                <w:color w:val="auto"/>
              </w:rPr>
            </w:pP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13,938</w:t>
            </w:r>
          </w:p>
        </w:tc>
      </w:tr>
      <w:tr>
        <w:trPr>
          <w:trHeight w:val="213"/>
        </w:trPr>
        <w:tc>
          <w:tcPr>
            <w:tcW w:w="5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Abandonment of property and equipment</w:t>
            </w:r>
          </w:p>
        </w:tc>
        <w:tc>
          <w:tcPr>
            <w:tcW w:w="9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5,147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5,147</w:t>
            </w:r>
          </w:p>
        </w:tc>
      </w:tr>
      <w:tr>
        <w:trPr>
          <w:trHeight w:val="207"/>
        </w:trPr>
        <w:tc>
          <w:tcPr>
            <w:tcW w:w="522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lease restructuring costs</w:t>
            </w:r>
          </w:p>
        </w:tc>
        <w:tc>
          <w:tcPr>
            <w:tcW w:w="9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4,976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4,976</w:t>
            </w:r>
          </w:p>
        </w:tc>
      </w:tr>
      <w:tr>
        <w:trPr>
          <w:trHeight w:val="206"/>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lease restructuring costs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w w:val="89"/>
              </w:rPr>
              <w:t>24,061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24,061</w:t>
            </w:r>
          </w:p>
        </w:tc>
      </w:tr>
      <w:tr>
        <w:trPr>
          <w:trHeight w:val="263"/>
        </w:trPr>
        <w:tc>
          <w:tcPr>
            <w:tcW w:w="52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07"/>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Severance and other compensation associated costs</w:t>
            </w:r>
          </w:p>
        </w:tc>
        <w:tc>
          <w:tcPr>
            <w:tcW w:w="940" w:type="dxa"/>
            <w:vAlign w:val="bottom"/>
            <w:shd w:val="clear" w:color="auto" w:fill="CCEEFF"/>
          </w:tcPr>
          <w:p>
            <w:pPr>
              <w:jc w:val="right"/>
              <w:ind w:right="764"/>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2,381</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5,574</w:t>
            </w:r>
          </w:p>
        </w:tc>
      </w:tr>
      <w:tr>
        <w:trPr>
          <w:trHeight w:val="206"/>
        </w:trPr>
        <w:tc>
          <w:tcPr>
            <w:tcW w:w="5220" w:type="dxa"/>
            <w:vAlign w:val="bottom"/>
          </w:tcPr>
          <w:p>
            <w:pPr>
              <w:ind w:left="220"/>
              <w:spacing w:after="0"/>
              <w:rPr>
                <w:sz w:val="20"/>
                <w:szCs w:val="20"/>
                <w:color w:val="auto"/>
              </w:rPr>
            </w:pPr>
            <w:r>
              <w:rPr>
                <w:rFonts w:ascii="Arial" w:cs="Arial" w:eastAsia="Arial" w:hAnsi="Arial"/>
                <w:sz w:val="16"/>
                <w:szCs w:val="16"/>
                <w:color w:val="auto"/>
              </w:rPr>
              <w:t>Total restructuring costs</w:t>
            </w:r>
          </w:p>
        </w:tc>
        <w:tc>
          <w:tcPr>
            <w:tcW w:w="940" w:type="dxa"/>
            <w:vAlign w:val="bottom"/>
            <w:tcBorders>
              <w:top w:val="single" w:sz="8" w:color="auto"/>
              <w:bottom w:val="single" w:sz="8" w:color="auto"/>
            </w:tcBorders>
          </w:tcPr>
          <w:p>
            <w:pPr>
              <w:jc w:val="right"/>
              <w:ind w:right="764"/>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ind w:right="2"/>
              <w:spacing w:after="0"/>
              <w:rPr>
                <w:sz w:val="20"/>
                <w:szCs w:val="20"/>
                <w:color w:val="auto"/>
              </w:rPr>
            </w:pPr>
            <w:r>
              <w:rPr>
                <w:rFonts w:ascii="Arial" w:cs="Arial" w:eastAsia="Arial" w:hAnsi="Arial"/>
                <w:sz w:val="16"/>
                <w:szCs w:val="16"/>
                <w:color w:val="auto"/>
                <w:w w:val="89"/>
              </w:rPr>
              <w:t>26,442</w:t>
            </w:r>
          </w:p>
        </w:tc>
        <w:tc>
          <w:tcPr>
            <w:tcW w:w="10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3,269</w:t>
            </w:r>
          </w:p>
        </w:tc>
        <w:tc>
          <w:tcPr>
            <w:tcW w:w="12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29,635</w:t>
            </w:r>
          </w:p>
        </w:tc>
      </w:tr>
      <w:tr>
        <w:trPr>
          <w:trHeight w:val="20"/>
        </w:trPr>
        <w:tc>
          <w:tcPr>
            <w:tcW w:w="5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 Company expects to incur additional restructuring costs through December 31, 2021. The restructuring liability was approximately $1.8 million and $4.7 million as of September 30, 2021 and December 31, 2020, respectively. It is classified as accrued expenses and other current liabilities on the condensed consolidated balance sheets, as the liability is expected to be settled in the next 12 months.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4" w:right="339" w:bottom="1440" w:gutter="0" w:footer="0" w:header="0"/>
        </w:sectPr>
      </w:pPr>
    </w:p>
    <w:bookmarkStart w:id="31" w:name="page32"/>
    <w:bookmarkEnd w:id="31"/>
    <w:p>
      <w:pPr>
        <w:ind w:left="420"/>
        <w:spacing w:after="0"/>
        <w:rPr>
          <w:sz w:val="20"/>
          <w:szCs w:val="20"/>
          <w:color w:val="auto"/>
        </w:rPr>
      </w:pPr>
      <w:r>
        <w:rPr>
          <w:rFonts w:ascii="Arial" w:cs="Arial" w:eastAsia="Arial" w:hAnsi="Arial"/>
          <w:sz w:val="18"/>
          <w:szCs w:val="18"/>
          <w:color w:val="auto"/>
        </w:rPr>
        <w:t>The following table presents the detail of the liability for the Company’s restructuring charges for the periods presented: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1220" w:type="dxa"/>
            <w:vAlign w:val="bottom"/>
          </w:tcPr>
          <w:p>
            <w:pPr>
              <w:jc w:val="right"/>
              <w:ind w:right="224"/>
              <w:spacing w:after="0"/>
              <w:rPr>
                <w:sz w:val="20"/>
                <w:szCs w:val="20"/>
                <w:color w:val="auto"/>
              </w:rPr>
            </w:pPr>
            <w:r>
              <w:rPr>
                <w:rFonts w:ascii="Arial" w:cs="Arial" w:eastAsia="Arial" w:hAnsi="Arial"/>
                <w:sz w:val="14"/>
                <w:szCs w:val="14"/>
                <w:b w:val="1"/>
                <w:bCs w:val="1"/>
                <w:color w:val="auto"/>
                <w:w w:val="98"/>
              </w:rPr>
              <w:t>December 31,</w:t>
            </w:r>
          </w:p>
        </w:tc>
      </w:tr>
      <w:tr>
        <w:trPr>
          <w:trHeight w:val="183"/>
        </w:trPr>
        <w:tc>
          <w:tcPr>
            <w:tcW w:w="8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r>
      <w:tr>
        <w:trPr>
          <w:trHeight w:val="177"/>
        </w:trPr>
        <w:tc>
          <w:tcPr>
            <w:tcW w:w="8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80" w:type="dxa"/>
            <w:vAlign w:val="bottom"/>
            <w:gridSpan w:val="4"/>
          </w:tcPr>
          <w:p>
            <w:pPr>
              <w:jc w:val="right"/>
              <w:ind w:right="964"/>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beginning of the year</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w:t>
            </w:r>
          </w:p>
        </w:tc>
      </w:tr>
      <w:tr>
        <w:trPr>
          <w:trHeight w:val="207"/>
        </w:trPr>
        <w:tc>
          <w:tcPr>
            <w:tcW w:w="8280" w:type="dxa"/>
            <w:vAlign w:val="bottom"/>
          </w:tcPr>
          <w:p>
            <w:pPr>
              <w:ind w:left="220"/>
              <w:spacing w:after="0"/>
              <w:rPr>
                <w:sz w:val="20"/>
                <w:szCs w:val="20"/>
                <w:color w:val="auto"/>
              </w:rPr>
            </w:pPr>
            <w:r>
              <w:rPr>
                <w:rFonts w:ascii="Arial" w:cs="Arial" w:eastAsia="Arial" w:hAnsi="Arial"/>
                <w:sz w:val="16"/>
                <w:szCs w:val="16"/>
                <w:color w:val="auto"/>
              </w:rPr>
              <w:t>Lease restructuring costs</w:t>
            </w: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5,034</w:t>
            </w:r>
          </w:p>
        </w:tc>
      </w:tr>
      <w:tr>
        <w:trPr>
          <w:trHeight w:val="213"/>
        </w:trPr>
        <w:tc>
          <w:tcPr>
            <w:tcW w:w="82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Severance and other compensation associated costs</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5,090</w:t>
            </w:r>
          </w:p>
        </w:tc>
      </w:tr>
      <w:tr>
        <w:trPr>
          <w:trHeight w:val="207"/>
        </w:trPr>
        <w:tc>
          <w:tcPr>
            <w:tcW w:w="82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Cash payments</w:t>
            </w:r>
          </w:p>
        </w:tc>
        <w:tc>
          <w:tcPr>
            <w:tcW w:w="1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(6,181)</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(5,706)</w:t>
            </w:r>
          </w:p>
        </w:tc>
      </w:tr>
      <w:tr>
        <w:trPr>
          <w:trHeight w:val="231"/>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end of period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1,820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4,732</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Legal Matters</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currently anticipates that [24]7 may elect to pursue challenges to this award on procedural grounds. Accordingly, no amounts for the settlement have been reflected in the Company’s financial statements. Trial for [24]7’s patent infringement claims has been vacated, to be reset by the Court.</w:t>
      </w:r>
    </w:p>
    <w:p>
      <w:pPr>
        <w:spacing w:after="0" w:line="200"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208"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 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200"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its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Note 16. Income Taxes</w:t>
      </w:r>
    </w:p>
    <w:p>
      <w:pPr>
        <w:spacing w:after="0" w:line="245" w:lineRule="exact"/>
        <w:rPr>
          <w:sz w:val="20"/>
          <w:szCs w:val="20"/>
          <w:color w:val="auto"/>
        </w:rPr>
      </w:pPr>
    </w:p>
    <w:p>
      <w:pPr>
        <w:jc w:val="both"/>
        <w:ind w:firstLine="420"/>
        <w:spacing w:after="0" w:line="276"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The Company includes interest accrued on the underpayment of income taxes in interest expense and penalties, if any, related to unrecognized tax benefits in general and administrative expenses. The Company recorded a valuation allowance against its U.S. deferred tax asset as it considered its cumulative loss in recent years as a significant piece of negative evidence. Since valuation allowances are evaluated on a jurisdiction by jurisdiction basis, the Company believes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 For the three months ended September 30, 2021, the Company recorded a tax provision of $2.5 million. This amount consists of a tax provision for the period of $2.7 million on operating earnings for the period offset by a tax benefit of $0.2 million related to stock compensation deductions for LivePerson UK Ltd. and LivePerson Ltd. (Israel). For the nine months ended September 30, 2021, the Company recorded a tax provision of $2.3 million. This amount consists of a tax provision of $4.3 million on operating earnings offset by a tax benefit of $1.5 million for the release of a reserve of uncertain tax benefits recorded against deferred tax assets related to Israeli stock compensation deductions and a benefit of $0.5 million for excess tax benefits from stock compensation.</w:t>
      </w:r>
    </w:p>
    <w:p>
      <w:pPr>
        <w:spacing w:after="0" w:line="209"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A statutory rate change in the United Kingdom was enacted during the nine months ended September 30, 2021. Effective April 1, 2023, the tax rate will increase from 19% to 25%. During the period, the Company assessed the impact of the rate change and concluded that it is immaterial to its deferred taxes.</w:t>
      </w:r>
    </w:p>
    <w:p>
      <w:pPr>
        <w:spacing w:after="0" w:line="161"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The Company had a valuation allowance on certain deferred tax assets for the year ended December 31, 2020 of $55.4 million. Inherent in the Company’s 2021 annual effective tax rate is an estimated increase in the valuation allowance of $31.2 million, all of which will be recorded as an expense. During 2020, an increase in the valuation allowance in the amount of $35.1 million was recorded as an expense and a decrease of $28.2 million related to convertible notes was charged to equity.</w:t>
      </w:r>
    </w:p>
    <w:p>
      <w:pPr>
        <w:spacing w:after="0" w:line="21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On March 27, 2020, the Coronavirus Aid, Relief, and Economic Security Act (the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As a result of the CARES Act, the Company filed refund claims relating to prior years totaling $0.6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Events</w:t>
      </w:r>
    </w:p>
    <w:p>
      <w:pPr>
        <w:spacing w:after="0" w:line="245"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On October 18, 2021, the Company closed on an acquisition of VoiceBase, Inc., a voice analytics platform operating in the United States. VoiceBase, Inc. is a leading provider of speech analytics to the enterprise. The purchase price was approximately $120.0 million and consisted of cash, stock, and a contingent earn-out component.</w:t>
      </w:r>
    </w:p>
    <w:p>
      <w:pPr>
        <w:spacing w:after="0" w:line="21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On October 25, 2021, the Company closed on an acquisition of Callinize Inc., dba Tenfold ("Tenfold"), a leading customer experience integration platform operating in the United States. Tenfold was built to integrate the world’s leading communication service providers with the leading CRM and support systems. The purchase price was approximately $133.0 million and consisted of cash, stock, and a contingent earn-out component.</w:t>
      </w:r>
    </w:p>
    <w:p>
      <w:pPr>
        <w:spacing w:after="0" w:line="181"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The transactions are still being evaluated but most likely will be accounted for under the purchase method of accounting and, accordingly, the operating results of VoiceBase, Inc. and Tenfold will be included in the Company’s consolidated results of operations from the date of acquisition. Due to the timing of these transactions, the initial accounting for the business combinations is incomplete and a preliminary allocation of purchase consideration cannot be estimated. However, the Company does anticipate that a significant portion of the purchase price will be allocated to goodwill and acquired identifiable intangible assets for both transactions.</w:t>
      </w:r>
    </w:p>
    <w:p>
      <w:pPr>
        <w:spacing w:after="0" w:line="200" w:lineRule="exact"/>
        <w:rPr>
          <w:sz w:val="20"/>
          <w:szCs w:val="20"/>
          <w:color w:val="auto"/>
        </w:rPr>
      </w:pPr>
    </w:p>
    <w:p>
      <w:pPr>
        <w:spacing w:after="0" w:line="36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3" w:name="page34"/>
    <w:bookmarkEnd w:id="33"/>
    <w:p>
      <w:pPr>
        <w:ind w:left="420"/>
        <w:spacing w:after="0"/>
        <w:rPr>
          <w:sz w:val="20"/>
          <w:szCs w:val="20"/>
          <w:color w:val="auto"/>
        </w:rPr>
      </w:pPr>
      <w:r>
        <w:rPr>
          <w:rFonts w:ascii="Arial" w:cs="Arial" w:eastAsia="Arial" w:hAnsi="Arial"/>
          <w:sz w:val="18"/>
          <w:szCs w:val="18"/>
          <w:b w:val="1"/>
          <w:bCs w:val="1"/>
          <w:color w:val="auto"/>
        </w:rPr>
        <w:t>Item 2. Management</w:t>
      </w:r>
      <w:r>
        <w:rPr>
          <w:rFonts w:ascii="Arial" w:cs="Arial" w:eastAsia="Arial" w:hAnsi="Arial"/>
          <w:sz w:val="18"/>
          <w:szCs w:val="18"/>
          <w:color w:val="auto"/>
        </w:rPr>
        <w:t>’</w:t>
      </w:r>
      <w:r>
        <w:rPr>
          <w:rFonts w:ascii="Arial" w:cs="Arial" w:eastAsia="Arial" w:hAnsi="Arial"/>
          <w:sz w:val="18"/>
          <w:szCs w:val="18"/>
          <w:b w:val="1"/>
          <w:bCs w:val="1"/>
          <w:color w:val="auto"/>
        </w:rPr>
        <w:t>s Discussion and Analysis of Financial Condition and Results of Operations</w:t>
      </w:r>
    </w:p>
    <w:p>
      <w:pPr>
        <w:spacing w:after="0" w:line="23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General</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i w:val="1"/>
          <w:iCs w:val="1"/>
          <w:color w:val="auto"/>
        </w:rPr>
        <w:t xml:space="preserve">Our discussion and analysis of our financial condition and results of operations is based upon our condensed consolidated financial statements, which are prepared in conformity with accounting principles generally accepted in the United States of America.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condensed consolidated financial statements and the reported amounts of revenue and expenses during the reporting periods. These estimates and assumptions relate to estimates of the carrying amount of goodwill, intangibles, depreciation, stock based-compensation, valuation allowances for deferred income taxes, accounts receivable, the expected term of a customer relationship, accruals and other factors. We evaluate these estimates on an ongoing basis. Actual results could differ from those estimates under different assumptions or conditions, and any differences could be material. </w:t>
      </w:r>
      <w:r>
        <w:rPr>
          <w:rFonts w:ascii="Arial" w:cs="Arial" w:eastAsia="Arial" w:hAnsi="Arial"/>
          <w:sz w:val="16"/>
          <w:szCs w:val="16"/>
          <w:i w:val="1"/>
          <w:iCs w:val="1"/>
          <w:color w:val="212529"/>
        </w:rPr>
        <w:t>In addition, our actual results could differ from our estimates and assumptions based upon impacts on our business and general</w:t>
      </w:r>
      <w:r>
        <w:rPr>
          <w:rFonts w:ascii="Arial" w:cs="Arial" w:eastAsia="Arial" w:hAnsi="Arial"/>
          <w:sz w:val="16"/>
          <w:szCs w:val="16"/>
          <w:i w:val="1"/>
          <w:iCs w:val="1"/>
          <w:color w:val="auto"/>
        </w:rPr>
        <w:t xml:space="preserve"> </w:t>
      </w:r>
      <w:r>
        <w:rPr>
          <w:rFonts w:ascii="Arial" w:cs="Arial" w:eastAsia="Arial" w:hAnsi="Arial"/>
          <w:sz w:val="16"/>
          <w:szCs w:val="16"/>
          <w:i w:val="1"/>
          <w:iCs w:val="1"/>
          <w:color w:val="212529"/>
        </w:rPr>
        <w:t>economic conditions due to the current COVID-19 pandemic.</w:t>
      </w:r>
    </w:p>
    <w:p>
      <w:pPr>
        <w:spacing w:after="0" w:line="197"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Overview</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LivePerson, Inc. makes life easier for people and brands everywhere through trusted Conversational AI. Conversational AI allows humans and machines to interact using natural language, including speech or text. During the past decade, consumers have made mobile devices the center of their digital lives, and they have made mobile messaging the center of communication with friends, family and peers. This trend has been significantly accelerated by the COVID-19 pandemic and can now be viewed as a permanent, structural shift in consumer behavior. Our technology enables consumers to connect with businesses through these same preferred conversational interfaces, including Facebook Messenger, SMS, WhatsApp, Apple Business Chat, Google Rich Business Messenger and Alexa. These messaging conversations harness human agents, bots and AI to power convenient, personalized and content-rich journeys across the entire consumer lifecycle, from discovery and research, to sales, service and support, and increasingly marketing, social, and brick and mortar engagements. For example, consumers can look up product info like ratings, images and pricing, search for stores, see product inventory, schedule appointments, apply for credit, approve repairs, and make purchases or payments - all without ever leaving the messaging channel. These AI and human-assisted conversational experiences constitute the Conversational Space, within which LivePerson has strategically developed one of the industry’s largest ecosystems of messaging endpoints and use cases.</w:t>
      </w:r>
    </w:p>
    <w:p>
      <w:pPr>
        <w:spacing w:after="0" w:line="203"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The Conversational Cloud enables businesses to become conversational by securely deploying AI-powered messaging at scale for brands with tens of millions of customers and many thousands of agents. The Conversational Cloud powers conversations across each of a brand’s primary digital channels, including mobile apps, mobile and desktop web browsers, SMS, social media and third-party consumer messaging platforms. Brands can also use the Conversational Cloud to message consumers when they dial a 1-800 number instead of forcing them to navigate IVRs and wait on hold. Similarly, the Conversational Cloud can ingest traditional emails and convert them into messaging conversations, or embed messaging conversations directly into web advertisements, rather than redirect consumers to static website landing pages. Agents can manage all conversations with consumers through a single console interface, regardless of where the conversations originated.</w:t>
      </w:r>
    </w:p>
    <w:p>
      <w:pPr>
        <w:spacing w:after="0" w:line="193"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LivePerson’s robust, cloud-based suite of rich messaging, real-time chat, AI and automation offerings features consumer and agent facing bots, intelligent routing and capacity mapping, real-time intent detection and analysis, queue prioritization, customer sentiment, analytics and reporting, content delivery, PCI compliance, cobrowsing and a sophisticated proactive targeting engine. An extensible API stack facilitates a lower cost of ownership by facilitating robust integration into back-end systems, as well as enabling developers to build their own programs and services on top of the platform. More than 40 APIs and software development kits are available on the Conversational Cloud.</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your reference:</w:t>
      </w:r>
    </w:p>
    <w:p>
      <w:pPr>
        <w:spacing w:after="0" w:line="108" w:lineRule="exact"/>
        <w:rPr>
          <w:sz w:val="20"/>
          <w:szCs w:val="20"/>
          <w:color w:val="auto"/>
        </w:rPr>
      </w:pPr>
    </w:p>
    <w:p>
      <w:pPr>
        <w:ind w:left="1100" w:hanging="307"/>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Conversational AI: Conversational AI allows humans and machines to interact using natural language, including speech or text.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5" w:lineRule="exact"/>
        <w:rPr>
          <w:rFonts w:ascii="Arial" w:cs="Arial" w:eastAsia="Arial" w:hAnsi="Arial"/>
          <w:sz w:val="18"/>
          <w:szCs w:val="18"/>
          <w:color w:val="auto"/>
        </w:rPr>
      </w:pPr>
    </w:p>
    <w:p>
      <w:pPr>
        <w:ind w:left="5740"/>
        <w:spacing w:after="0"/>
        <w:rPr>
          <w:rFonts w:ascii="Arial" w:cs="Arial" w:eastAsia="Arial" w:hAnsi="Arial"/>
          <w:sz w:val="18"/>
          <w:szCs w:val="18"/>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34" w:name="page35"/>
    <w:bookmarkEnd w:id="34"/>
    <w:p>
      <w:pPr>
        <w:jc w:val="both"/>
        <w:ind w:left="1100" w:hanging="307"/>
        <w:spacing w:after="0" w:line="298" w:lineRule="auto"/>
        <w:tabs>
          <w:tab w:leader="none" w:pos="10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Conversational Space: In the Conversational Space, consumers message with brands on their own schedule, using natural language, to resolve their intents - all on their preferred messaging service. The core capabilities of the Conversational Space are voice and text-based interfaces, powered by AI and humans working together. Conversational Space is the simplest, most intuitive interface of all.</w:t>
      </w:r>
    </w:p>
    <w:p>
      <w:pPr>
        <w:spacing w:after="0" w:line="49" w:lineRule="exact"/>
        <w:rPr>
          <w:rFonts w:ascii="Arial" w:cs="Arial" w:eastAsia="Arial" w:hAnsi="Arial"/>
          <w:sz w:val="16"/>
          <w:szCs w:val="16"/>
          <w:color w:val="auto"/>
        </w:rPr>
      </w:pPr>
    </w:p>
    <w:p>
      <w:pPr>
        <w:ind w:left="1100" w:hanging="307"/>
        <w:spacing w:after="0" w:line="260" w:lineRule="auto"/>
        <w:tabs>
          <w:tab w:leader="none" w:pos="10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Conversational Cloud: LivePerson’s enterprise-class, AI-powered Conversational Cloud platform empowers consumers to message their favorite brands, just as they do with friends and family.</w:t>
      </w:r>
    </w:p>
    <w:p>
      <w:pPr>
        <w:spacing w:after="0" w:line="208" w:lineRule="exact"/>
        <w:rPr>
          <w:sz w:val="20"/>
          <w:szCs w:val="20"/>
          <w:color w:val="auto"/>
        </w:rPr>
      </w:pPr>
    </w:p>
    <w:p>
      <w:pPr>
        <w:jc w:val="both"/>
        <w:ind w:firstLine="420"/>
        <w:spacing w:after="0" w:line="306" w:lineRule="auto"/>
        <w:rPr>
          <w:sz w:val="20"/>
          <w:szCs w:val="20"/>
          <w:color w:val="auto"/>
        </w:rPr>
      </w:pPr>
      <w:r>
        <w:rPr>
          <w:rFonts w:ascii="Arial" w:cs="Arial" w:eastAsia="Arial" w:hAnsi="Arial"/>
          <w:sz w:val="15"/>
          <w:szCs w:val="15"/>
          <w:color w:val="auto"/>
        </w:rPr>
        <w:t>LivePerson’s Conversational AI offerings put the power of bot development, training, management and analysis into the hands of the contact center and its agents, the teams most familiar with how to structure sales and service conversations to drive successful outcomes. The platform enables what we call “the tango” of humans, AI and bots, whereby human agents act as bot managers, overseeing AI-powered conversations and seamlessly stepping into the flow when a personal touch is needed. Agents become ultra-efficient, leveraging the AI engine to serve up relevant content, define next-best actions and take over repetitive transactional work, so that the agent can focus on relationship building. By seamlessly integrating messaging with our proprietary Conversational AI, as well as third-party bots, the Conversational Cloud offers brands a comprehensive approach to scaling automations across their millions of customer conversations.</w:t>
      </w:r>
    </w:p>
    <w:p>
      <w:pPr>
        <w:spacing w:after="0" w:line="177"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Complementing our proprietary messaging and Conversational AI offerings are teams of technical, solutions and consulting professionals that have developed deep domain expertise in the implementation and optimization of conversational services across industries and messaging endpoints. We are a leading authority in the Conversational Space. LivePerson’s products, coupled with our domain knowledge, industry expertise and professional services, have been proven to maximize the effectiveness of the Conversational Space and deliver measurable return on investment. Certain of our customers have achieved the following advantages from our offerings:</w:t>
      </w:r>
    </w:p>
    <w:p>
      <w:pPr>
        <w:spacing w:after="0" w:line="90" w:lineRule="exact"/>
        <w:rPr>
          <w:sz w:val="20"/>
          <w:szCs w:val="20"/>
          <w:color w:val="auto"/>
        </w:rPr>
      </w:pPr>
    </w:p>
    <w:p>
      <w:pPr>
        <w:ind w:left="1100" w:hanging="307"/>
        <w:spacing w:after="0" w:line="323" w:lineRule="auto"/>
        <w:tabs>
          <w:tab w:leader="none" w:pos="1096"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ability for each agent to manage as many as 40 messaging conversations at a time, as compared to one at a time for a voice agent and two to four at a time for a good chat agent. Adding AI and bots provides even greater scale to the number of conversations managed;</w:t>
      </w:r>
    </w:p>
    <w:p>
      <w:pPr>
        <w:spacing w:after="0" w:line="29" w:lineRule="exact"/>
        <w:rPr>
          <w:rFonts w:ascii="Arial" w:cs="Arial" w:eastAsia="Arial" w:hAnsi="Arial"/>
          <w:sz w:val="16"/>
          <w:szCs w:val="16"/>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 efficiency gains of at least two times that of voice agents, effectively cutting labor costs by at least 50%;</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improving the overall customer experience, thereby fueling customer satisfaction score increases of up to 20 percentage points, and enhancing retention and loyalty;</w:t>
      </w:r>
    </w:p>
    <w:p>
      <w:pPr>
        <w:spacing w:after="0" w:line="76"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convenient, personalized and content-rich conversations that increase sales conversion by up to 20%, increase average order value and reduce abandonment;</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satisfied contact center agents, thereby reducing agent churn by up to 50%;</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valued connection with consumers via mobile devices, either through native applications, websites, text messages, or third-party messaging platforms;</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leverage of spending that drives visitor traffic by increasing visitor conversions;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refinement and improvement of performance by understanding which initiatives deliver the highest rate of return; and</w:t>
      </w:r>
    </w:p>
    <w:p>
      <w:pPr>
        <w:spacing w:after="0" w:line="108"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lead generation through a single platform that engages consumers through advertisements and listings on branded and third-party websites.</w:t>
      </w:r>
    </w:p>
    <w:p>
      <w:pPr>
        <w:spacing w:after="0" w:line="208"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As a “cloud computing” or software-as-a-service provider, LivePerson provides solutions on a hosted basis. This model offers significant benefits over premise-based software, including lower up-front costs, faster implementation, lower total cost of ownership, scalability, cost predictability, and simplified upgrades. Organizations that adopt a fully-hosted, multi-tenant architecture that is maintained by LivePerson eliminate the majority of the time, server infrastructure costs, and IT resources required to implement, maintain, and support traditional on-premise software.</w:t>
      </w:r>
    </w:p>
    <w:p>
      <w:pPr>
        <w:spacing w:after="0" w:line="187"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To further enhance our platform, in September 2020 we signed a partnership with Infosys, a leader in next-generation digital services and consulting. We are working with Infosys to transform our technology infrastructure on the public cloud, to build integrated solutions and a global practice around our Conversational Cloud to sell into their channels and global enterprise customer base, and to redefine how the world’s top brands communicate.</w:t>
      </w:r>
    </w:p>
    <w:p>
      <w:pPr>
        <w:spacing w:after="0" w:line="181"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More than 18,000 businesses, including HSBC, Orange, The Home Depot, and GM Financial use our conversational solutions to orchestrate humans and AI, at scale, and create a convenient, deeply personal relationship with their customers.</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5" w:name="page36"/>
    <w:bookmarkEnd w:id="35"/>
    <w:p>
      <w:pPr>
        <w:ind w:left="420"/>
        <w:spacing w:after="0"/>
        <w:rPr>
          <w:sz w:val="20"/>
          <w:szCs w:val="20"/>
          <w:color w:val="auto"/>
        </w:rPr>
      </w:pPr>
      <w:r>
        <w:rPr>
          <w:rFonts w:ascii="Arial" w:cs="Arial" w:eastAsia="Arial" w:hAnsi="Arial"/>
          <w:sz w:val="18"/>
          <w:szCs w:val="18"/>
          <w:color w:val="auto"/>
        </w:rPr>
        <w:t>The key elements of LivePerson’s business solutions strategy include:</w:t>
      </w:r>
    </w:p>
    <w:p>
      <w:pPr>
        <w:spacing w:after="0" w:line="239"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b w:val="1"/>
          <w:bCs w:val="1"/>
          <w:i w:val="1"/>
          <w:iCs w:val="1"/>
          <w:color w:val="auto"/>
        </w:rPr>
        <w:t xml:space="preserve">Build awareness and drive adoption of the Conversational Space. </w:t>
      </w:r>
      <w:r>
        <w:rPr>
          <w:rFonts w:ascii="Arial" w:cs="Arial" w:eastAsia="Arial" w:hAnsi="Arial"/>
          <w:sz w:val="18"/>
          <w:szCs w:val="18"/>
          <w:color w:val="auto"/>
        </w:rPr>
        <w:t>LivePerson brought our first customer live on messaging in June 2016. Since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time, we have been focused on building awareness for conversational experiences and driving adoption. We have educated businesses on the financial and operational transformation that occurs when a contact center shifts to an asynchronous messaging environment, where the consumer controls the pace of the conversation, which can last minutes, hours or days, from a synchronous call or chat center, where conversations occur in real-time and have a distinct start and end.</w:t>
      </w:r>
    </w:p>
    <w:p>
      <w:pPr>
        <w:spacing w:after="0" w:line="221"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A key component of our industry awareness marketing strategy has been to hold multiple global customer summits each year (events in 2020 were held virtually in light of the COVID-19 pandemic) that target executives from enterprise customers and prospects, and feature a key theme within the Conversational Space, such as Apple Business Chat, Google Rich Business Messenger, IVR deflection or AI. LivePerson customers are the centerpoint of these summits, presenting why they chose LivePerson for conversational experiences, how they achieved success, and what type of ROI they have realized. Each attendee then receives a blueprint for how they can pursue similar outcomes. We have found this strategy to drive strong results for LivePerson, as we have seen a greater than 40% conversion rate on opportunities that were created or advanced as part of the customer summits. By year-end 2020, we had brought approximately 400 customers live on messaging and increased adoption within our enterprise customers to 66%. In addition, nearly 70% of messaging conversations had automation attached. We continue to focus on building awareness for the Conversational Space and driving adoption of messaging and AI across our customer base.</w:t>
      </w:r>
    </w:p>
    <w:p>
      <w:pPr>
        <w:spacing w:after="0" w:line="19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b w:val="1"/>
          <w:bCs w:val="1"/>
          <w:i w:val="1"/>
          <w:iCs w:val="1"/>
          <w:color w:val="auto"/>
        </w:rPr>
        <w:t xml:space="preserve">Increase messaging volumes by developing a broad ecosystem, expanding customer use cases, and focusing on AI and automation. </w:t>
      </w:r>
      <w:r>
        <w:rPr>
          <w:rFonts w:ascii="Arial" w:cs="Arial" w:eastAsia="Arial" w:hAnsi="Arial"/>
          <w:sz w:val="16"/>
          <w:szCs w:val="16"/>
          <w:color w:val="auto"/>
        </w:rPr>
        <w:t>Our strategy is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drive higher messaging volumes by going both wide across messaging endpoints, deep across consumer use cases, and focusing on AI and automation as the means to deliver powerful scale. LivePerson offers a platform usage pricing model, where customers are offered access to our entire suite of messaging technologies across their entire agent pool for a pre-negotiated cost per interaction. We believe that over time this model will drive higher revenue for LivePerson by reducing barriers to adoption of new messaging endpoints and use cases.</w:t>
      </w:r>
    </w:p>
    <w:p>
      <w:pPr>
        <w:spacing w:after="0" w:line="190"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In order to drive broad messaging adoption, it is imperative that the Conversational Cloud integrates to all of the messaging apps that consumers prefer to use for communication and addresses all key use cases. For example, if a consumer is an avid WhatsApp user, and a brand only offers SMS as a messaging option, that consumer may be reluctant to try messaging the brand. Therefore, a key strategy of ours has been to build one of the industry’s broadest ecosystems of messaging endpoints and use cases. In June 2016, we launched with In-App messaging. In 2017, we introduced Facebook Messenger, SMS, Web messaging and IVR deflection integrations. In 2018, we added Apple Business Chat, Google Rich Business Messenger, Line, WhatsApp, Alexa, Google Home, Google Ad Lingo and Twitter. In 2019, we added email, allowing brands to manage emails through the same console they use for messaging, and to convert legacy emails into messaging conversations. We also added social monitoring and conversational tools for Twitter and Facebook, and introduced proactive messaging, allowing brands to transform traditional one-way notifications such as flight cancellations or phone plan overage alerts into two-way conversations. Finally, we connected to Facebook and WhatsApp digital advertisements, enabling consumers to initiate messaging conversations for marketing and customer care directly within the advertisement. In 2020, we added Instagram and Google’s Business Messages, allowing brands to bring customer-initiated conversations into the Conversational Cloud directly from Instagram, Google Search, and Google Maps.</w:t>
      </w:r>
    </w:p>
    <w:p>
      <w:pPr>
        <w:spacing w:after="0" w:line="203"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Each channel and use case added opens the door to new consumers, providing brands a greater opportunity to shift share away from their legacy contact center channels into messaging. For example, in 2019, leading airlines launched on WhatsApp and Apple Business Chat with the ability to make secure payments; a baseball stadium launched an automated conversational concierge providing answers to a wide range of questions from restroom locations to player stats; and a multinational telecommunications company used proactive two-way messaging for outbound campaigns. In 2020, one of the largest telcos in Australia fully virtualized their contact centers, a leading U.S. quick-serve restaurant launched on Facebook Messenger to help customers order meals, one of the biggest banks in the world launched an Apple Business Chat channel to provide a secure way to perform day-to-day banking, and one of the world’s largest jewelry retailers used the Conversational Cloud and QR codes to sell millions of dollars of product.</w:t>
      </w:r>
    </w:p>
    <w:p>
      <w:pPr>
        <w:spacing w:after="0" w:line="193"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LivePerson makes the management of all these disparate channels seamless to the brand. AI-based intelligent routing, queuing and prioritization software orchestrates these conversations at scale, regardless of which messaging endpoint they originated from, so that human and bot agents can engage with all customers through just one console.</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6" w:name="page37"/>
    <w:bookmarkEnd w:id="36"/>
    <w:p>
      <w:pPr>
        <w:jc w:val="both"/>
        <w:ind w:firstLine="420"/>
        <w:spacing w:after="0" w:line="279" w:lineRule="auto"/>
        <w:rPr>
          <w:sz w:val="20"/>
          <w:szCs w:val="20"/>
          <w:color w:val="auto"/>
        </w:rPr>
      </w:pPr>
      <w:r>
        <w:rPr>
          <w:rFonts w:ascii="Arial" w:cs="Arial" w:eastAsia="Arial" w:hAnsi="Arial"/>
          <w:sz w:val="16"/>
          <w:szCs w:val="16"/>
          <w:color w:val="auto"/>
        </w:rPr>
        <w:t>We believe LivePerson is leading the structural shift to Conversational AI. In the wake of the COVID-19 pandemic, leading brands are turning to LivePerson’s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Our Conversational AI leadership and the increase in adoption have influenced LivePerson’s enterprise and mid-market revenue retention rate, (the trailing-twelve-month change in total revenue from existing customers after upsells, downsells and attrition) which exceeded the high end of our target range of 105% to 115% for 2020. The benefit can also be seen in LivePerson’s average revenue per enterprise and midmarket customers, which increased approximately 35% in 2020 to $465,000 from approximately $345,000 in 2019. We believe these ARPU trends are a clear indication of how LivePerson’s strategy to drive messaging adoption has successfully influenced our revenue growth by taking share from legacy communication channels. Average annual revenue per enterprise and mid-market customer increased approximately 34% to $570,000 for the trailing twelve months ended September 30, 2021.</w:t>
      </w:r>
    </w:p>
    <w:p>
      <w:pPr>
        <w:spacing w:after="0" w:line="198" w:lineRule="exact"/>
        <w:rPr>
          <w:sz w:val="20"/>
          <w:szCs w:val="20"/>
          <w:color w:val="auto"/>
        </w:rPr>
      </w:pPr>
    </w:p>
    <w:p>
      <w:pPr>
        <w:jc w:val="both"/>
        <w:ind w:firstLine="420"/>
        <w:spacing w:after="0" w:line="309" w:lineRule="auto"/>
        <w:rPr>
          <w:sz w:val="20"/>
          <w:szCs w:val="20"/>
          <w:color w:val="auto"/>
        </w:rPr>
      </w:pPr>
      <w:r>
        <w:rPr>
          <w:rFonts w:ascii="Arial" w:cs="Arial" w:eastAsia="Arial" w:hAnsi="Arial"/>
          <w:sz w:val="15"/>
          <w:szCs w:val="15"/>
          <w:b w:val="1"/>
          <w:bCs w:val="1"/>
          <w:i w:val="1"/>
          <w:iCs w:val="1"/>
          <w:color w:val="auto"/>
        </w:rPr>
        <w:t xml:space="preserve">Attract the industry’s best AI, machine learning and conversational talent. </w:t>
      </w:r>
      <w:r>
        <w:rPr>
          <w:rFonts w:ascii="Arial" w:cs="Arial" w:eastAsia="Arial" w:hAnsi="Arial"/>
          <w:sz w:val="15"/>
          <w:szCs w:val="15"/>
          <w:color w:val="auto"/>
        </w:rPr>
        <w:t>We believe that AI and machine learning are critical to successfully scaling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Conversational Space, and that in order to develop the industry’s leading technology, we need to attract the industry’s best talent. Since 2018, LivePerson hired more than 280 of the industry’s brightest data scientists, machine learning engineers and automation engineers, many from firms such as Nike, Amazon.com, Microsoft and Target, who are working exclusively on applying AI to the Conversational Space. LivePerson also expanded its development talent base in Germany, and added key development talent through the acquisitions of BotCentral in Mountain View, California and Conversable in Austin, Texas.</w:t>
      </w:r>
    </w:p>
    <w:p>
      <w:pPr>
        <w:spacing w:after="0" w:line="176"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b w:val="1"/>
          <w:bCs w:val="1"/>
          <w:i w:val="1"/>
          <w:iCs w:val="1"/>
          <w:color w:val="auto"/>
        </w:rPr>
        <w:t xml:space="preserve">Bring to market best-in-class AI and machine learning technologies designed for the Conversational Space. </w:t>
      </w:r>
      <w:r>
        <w:rPr>
          <w:rFonts w:ascii="Arial" w:cs="Arial" w:eastAsia="Arial" w:hAnsi="Arial"/>
          <w:sz w:val="16"/>
          <w:szCs w:val="16"/>
          <w:color w:val="auto"/>
        </w:rPr>
        <w:t>We believe that in the last decade many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vendors introduced AI and bot offerings that created frustrating experiences for consumers and businesses alike, which in turn has eroded trust in automation. Many of these solutions have proven difficult to build and scale, and have been limited by stand-alone implementations that lacked the measurement, reporting and human oversight of conversational platforms such as the Conversational Cloud. In December 2018, LivePerson announced its patent pending AI engine that is designed to overcome these shortcomings and help brands rapidly bring to market conversational AI that can scale to millions of interactions, while increasing customer satisfaction and conversion rates.</w:t>
      </w:r>
    </w:p>
    <w:p>
      <w:pPr>
        <w:spacing w:after="0" w:line="19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 xml:space="preserve">Unlike alternative solutions designed solely for IT departments, LivePerson’s Conversational AI was built to be used by developers </w:t>
      </w:r>
      <w:r>
        <w:rPr>
          <w:rFonts w:ascii="Arial" w:cs="Arial" w:eastAsia="Arial" w:hAnsi="Arial"/>
          <w:sz w:val="18"/>
          <w:szCs w:val="18"/>
          <w:i w:val="1"/>
          <w:iCs w:val="1"/>
          <w:color w:val="auto"/>
        </w:rPr>
        <w:t>and</w:t>
      </w:r>
      <w:r>
        <w:rPr>
          <w:rFonts w:ascii="Arial" w:cs="Arial" w:eastAsia="Arial" w:hAnsi="Arial"/>
          <w:sz w:val="18"/>
          <w:szCs w:val="18"/>
          <w:color w:val="auto"/>
        </w:rPr>
        <w:t xml:space="preserve"> contact center agents. By putting the power of conversational design and bot management in the hands of contact center agents, LivePerson’s Conversational AI gives brands the ability to leverage the employees closest to the customer, those who are most versed in the voice of the brand, and with the most expertise in how to craft successful outcomes for customer service and sales journeys.</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Some of the key innovations behind LivePerson’s Conversational AI include:</w:t>
      </w:r>
    </w:p>
    <w:p>
      <w:pPr>
        <w:spacing w:after="0" w:line="108" w:lineRule="exact"/>
        <w:rPr>
          <w:sz w:val="20"/>
          <w:szCs w:val="20"/>
          <w:color w:val="auto"/>
        </w:rPr>
      </w:pPr>
    </w:p>
    <w:p>
      <w:pPr>
        <w:ind w:left="1100" w:hanging="307"/>
        <w:spacing w:after="0" w:line="323" w:lineRule="auto"/>
        <w:tabs>
          <w:tab w:leader="none" w:pos="1096"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holistic approach to scaling AI by combining consumer facing bots, agent facing bots, intelligent routing and real-time intent understanding, with an analytics dashboard that helps users focus on the intents that are impacting their business and prioritize which intents to automate next;</w:t>
      </w:r>
    </w:p>
    <w:p>
      <w:pPr>
        <w:spacing w:after="0" w:line="29" w:lineRule="exact"/>
        <w:rPr>
          <w:rFonts w:ascii="Arial" w:cs="Arial" w:eastAsia="Arial" w:hAnsi="Arial"/>
          <w:sz w:val="16"/>
          <w:szCs w:val="16"/>
          <w:color w:val="auto"/>
        </w:rPr>
      </w:pPr>
    </w:p>
    <w:p>
      <w:pPr>
        <w:ind w:left="1100" w:hanging="307"/>
        <w:spacing w:after="0" w:line="260" w:lineRule="auto"/>
        <w:tabs>
          <w:tab w:leader="none" w:pos="10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bot building software that is based on dialogue instead of workflow or code, so non-technical employees like contact center agents can design automations;</w:t>
      </w:r>
    </w:p>
    <w:p>
      <w:pPr>
        <w:spacing w:after="0" w:line="76" w:lineRule="exact"/>
        <w:rPr>
          <w:rFonts w:ascii="Arial" w:cs="Arial" w:eastAsia="Arial" w:hAnsi="Arial"/>
          <w:sz w:val="18"/>
          <w:szCs w:val="18"/>
          <w:color w:val="auto"/>
        </w:rPr>
      </w:pPr>
    </w:p>
    <w:p>
      <w:pPr>
        <w:jc w:val="both"/>
        <w:ind w:left="1100" w:hanging="307"/>
        <w:spacing w:after="0" w:line="252" w:lineRule="auto"/>
        <w:tabs>
          <w:tab w:leader="none" w:pos="10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leveraging data moat from hundreds of millions of conversations to feed the machine learning that rapidly and accurately detects consumer sentiment and intents in real-time. Customers of LivePerson can use intent understanding for advanced routing, next-best actions, and to fully contain conversations with automation;</w:t>
      </w:r>
    </w:p>
    <w:p>
      <w:pPr>
        <w:spacing w:after="0" w:line="83"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establishing of contact center agents as bot managers, ensuring that every conversation is safeguarded by a human and that agents are continuously training the AI to be smarter and drive more successful outcomes;</w:t>
      </w:r>
    </w:p>
    <w:p>
      <w:pPr>
        <w:spacing w:after="0" w:line="76"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powerful Assist technology that multiplies the efficiency of agents by analyzing intents in real time and then suggesting next best actions, predefined content, and bots that can take over transactional work;</w:t>
      </w:r>
    </w:p>
    <w:p>
      <w:pPr>
        <w:spacing w:after="0" w:line="76" w:lineRule="exact"/>
        <w:rPr>
          <w:rFonts w:ascii="Arial" w:cs="Arial" w:eastAsia="Arial" w:hAnsi="Arial"/>
          <w:sz w:val="18"/>
          <w:szCs w:val="18"/>
          <w:color w:val="auto"/>
        </w:rPr>
      </w:pPr>
    </w:p>
    <w:p>
      <w:pPr>
        <w:ind w:left="1100" w:hanging="30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pre-built templates for target verticals that provide out of the box support for the top intents and back-end integrations;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ability to bootstrap conversations with existing transcripts, reducing design effort and speeding time to market;</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7" w:name="page38"/>
    <w:bookmarkEnd w:id="37"/>
    <w:p>
      <w:pPr>
        <w:ind w:left="1100" w:hanging="307"/>
        <w:spacing w:after="0"/>
        <w:tabs>
          <w:tab w:leader="none" w:pos="1100" w:val="left"/>
        </w:tabs>
        <w:numPr>
          <w:ilvl w:val="0"/>
          <w:numId w:val="16"/>
        </w:numPr>
        <w:rPr>
          <w:rFonts w:ascii="Arial" w:cs="Arial" w:eastAsia="Arial" w:hAnsi="Arial"/>
          <w:sz w:val="19"/>
          <w:szCs w:val="19"/>
          <w:color w:val="auto"/>
        </w:rPr>
      </w:pPr>
      <w:r>
        <w:rPr>
          <w:rFonts w:ascii="Arial" w:cs="Arial" w:eastAsia="Arial" w:hAnsi="Arial"/>
          <w:sz w:val="18"/>
          <w:szCs w:val="18"/>
          <w:color w:val="auto"/>
        </w:rPr>
        <w:t>third-party AI natural language understanding (“NLU”) integration, so customers are not boxed into one vendor; and</w:t>
      </w:r>
    </w:p>
    <w:p>
      <w:pPr>
        <w:spacing w:after="0" w:line="96" w:lineRule="exact"/>
        <w:rPr>
          <w:rFonts w:ascii="Arial" w:cs="Arial" w:eastAsia="Arial" w:hAnsi="Arial"/>
          <w:sz w:val="19"/>
          <w:szCs w:val="19"/>
          <w:color w:val="auto"/>
        </w:rPr>
      </w:pPr>
    </w:p>
    <w:p>
      <w:pPr>
        <w:ind w:left="1100" w:hanging="307"/>
        <w:spacing w:after="0" w:line="260" w:lineRule="auto"/>
        <w:tabs>
          <w:tab w:leader="none" w:pos="1096" w:val="left"/>
        </w:tabs>
        <w:numPr>
          <w:ilvl w:val="0"/>
          <w:numId w:val="16"/>
        </w:numPr>
        <w:rPr>
          <w:rFonts w:ascii="Arial" w:cs="Arial" w:eastAsia="Arial" w:hAnsi="Arial"/>
          <w:sz w:val="18"/>
          <w:szCs w:val="18"/>
          <w:color w:val="auto"/>
        </w:rPr>
      </w:pPr>
      <w:r>
        <w:rPr>
          <w:rFonts w:ascii="Arial" w:cs="Arial" w:eastAsia="Arial" w:hAnsi="Arial"/>
          <w:sz w:val="18"/>
          <w:szCs w:val="18"/>
          <w:color w:val="auto"/>
        </w:rPr>
        <w:t>AI analytics and reporting tailored to the Conversational Space, providing brands with immediate, actionable insights about their businesses and contact center operations.</w:t>
      </w:r>
    </w:p>
    <w:p>
      <w:pPr>
        <w:spacing w:after="0" w:line="208"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strategy is to continue to enhance the Conversational AI engine and related products, by leveraging our global R&amp;D footprint and substantial library of mobile and online conversational data, with the aim of increasing agent efficiency, decreasing customer care costs, improving the customer experience and increasing customer lifetime value.</w:t>
      </w:r>
    </w:p>
    <w:p>
      <w:pPr>
        <w:spacing w:after="0" w:line="214"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b w:val="1"/>
          <w:bCs w:val="1"/>
          <w:i w:val="1"/>
          <w:iCs w:val="1"/>
          <w:color w:val="auto"/>
        </w:rPr>
        <w:t xml:space="preserve">Sustain our leadership position by aligning brands to a vision that transforms how they communicate with consumers and delivers a superior return on investment. </w:t>
      </w:r>
      <w:r>
        <w:rPr>
          <w:rFonts w:ascii="Arial" w:cs="Arial" w:eastAsia="Arial" w:hAnsi="Arial"/>
          <w:sz w:val="16"/>
          <w:szCs w:val="16"/>
          <w:color w:val="auto"/>
        </w:rPr>
        <w:t>We believe that most contact center technology vendors incorrectly view messaging as a feature. They are content with building integrations to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messaging endpoint and offering messaging as just another product in their suite. LivePerson holds the perspective that messaging and AI are the foundation for transforming conversational experiences, disrupting how agents operate and how brands engage with consumers. Brands must adapt their contact centers to an asynchronous messaging environment and leverage a combination of human agents, bots and AI to achieve scale and efficiencies. When done correctly, the entire consumer lifecycle with a brand will be maintained within the Conversational Space, and traffic will steadily shift away from lower returning voice calls, websites, emails and apps to higher returning messaging endpoints.</w:t>
      </w:r>
    </w:p>
    <w:p>
      <w:pPr>
        <w:spacing w:after="0" w:line="1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believe that LivePerson is uniquely positioned to deliver this transformation due to our technology and expertise:</w:t>
      </w:r>
    </w:p>
    <w:p>
      <w:pPr>
        <w:spacing w:after="0" w:line="108" w:lineRule="exact"/>
        <w:rPr>
          <w:sz w:val="20"/>
          <w:szCs w:val="20"/>
          <w:color w:val="auto"/>
        </w:rPr>
      </w:pPr>
    </w:p>
    <w:p>
      <w:pPr>
        <w:jc w:val="both"/>
        <w:ind w:left="1100" w:hanging="307"/>
        <w:spacing w:after="0" w:line="247"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Conversational Cloud, LivePerson’s enterprise-class, automation-first, cloud-based platform, was designed for AI-assisted and human-powered messaging in mobile and online channels. The platform offers best-in-class security and scalability, offers the broadest ecosystem of messaging endpoints, is designed for ease of use, and features an AI engine custom built for the Conversational Space, intent recognition, robust real-time reporting, role-based real-time analytics, predictive intelligence, and innovations in customer satisfaction and connection measurement. Additionally, the Conversational Cloud is an open platform with pre-built, enterprise-grade integrations into back-end systems as well as the ability to work across NLU providers.</w:t>
      </w:r>
    </w:p>
    <w:p>
      <w:pPr>
        <w:spacing w:after="0" w:line="87"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 has a data moat built on hundreds of millions of conversations across industries, geographies and use cases that is feeding the machine learning engines that power intent understanding.</w:t>
      </w:r>
    </w:p>
    <w:p>
      <w:pPr>
        <w:spacing w:after="0" w:line="76" w:lineRule="exact"/>
        <w:rPr>
          <w:rFonts w:ascii="Arial" w:cs="Arial" w:eastAsia="Arial" w:hAnsi="Arial"/>
          <w:sz w:val="18"/>
          <w:szCs w:val="18"/>
          <w:color w:val="auto"/>
        </w:rPr>
      </w:pPr>
    </w:p>
    <w:p>
      <w:pPr>
        <w:ind w:left="1100" w:hanging="307"/>
        <w:spacing w:after="0" w:line="260"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platform has expanded to power conversations across a broad spectrum of channels and use cases, from traditional sales and customer service, to marketing, social, email, advertising and brick and mortar.</w:t>
      </w:r>
    </w:p>
    <w:p>
      <w:pPr>
        <w:spacing w:after="0" w:line="76" w:lineRule="exact"/>
        <w:rPr>
          <w:rFonts w:ascii="Arial" w:cs="Arial" w:eastAsia="Arial" w:hAnsi="Arial"/>
          <w:sz w:val="18"/>
          <w:szCs w:val="18"/>
          <w:color w:val="auto"/>
        </w:rPr>
      </w:pPr>
    </w:p>
    <w:p>
      <w:pPr>
        <w:jc w:val="both"/>
        <w:ind w:left="1100" w:hanging="307"/>
        <w:spacing w:after="0" w:line="252" w:lineRule="auto"/>
        <w:tabs>
          <w:tab w:leader="none" w:pos="1096"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LivePerson has deep domain expertise across verticals and messaging endpoints, a global footprint, referenceable enterprise brands and a team of technical, solutions and consulting professionals to assist customers along their transformational journeys. We are positioned as an authority in the Conversational Space.</w:t>
      </w:r>
    </w:p>
    <w:p>
      <w:pPr>
        <w:spacing w:after="0" w:line="83" w:lineRule="exact"/>
        <w:rPr>
          <w:rFonts w:ascii="Arial" w:cs="Arial" w:eastAsia="Arial" w:hAnsi="Arial"/>
          <w:sz w:val="18"/>
          <w:szCs w:val="18"/>
          <w:color w:val="auto"/>
        </w:rPr>
      </w:pPr>
    </w:p>
    <w:p>
      <w:pPr>
        <w:jc w:val="both"/>
        <w:ind w:left="1100" w:hanging="307"/>
        <w:spacing w:after="0" w:line="282" w:lineRule="auto"/>
        <w:tabs>
          <w:tab w:leader="none" w:pos="10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Company has developed Gainshare - a Transformation Model that is introduced to existing and prospective customers to help guide them on their journeys from legacy voice, email, and chat solutions to modern conversational ones powered by messaging and AI. Gainshare is a fully managed solution where LivePerson not only provides the messaging and AI automation technology, but also the labor, automation, and end-to-end program management, leveraging the Company’s expertise with Conversational AI and messaging operations. Gainshare is an option for brands that want to accelerate a transformation to Conversational AI, or that want a worry-free solution where LivePerson manages the entire operation, from staffing to automation building and optimization, to conversation design and consumer experience. Gainshare pricing is bespoke, and is typically structured around a brand’s desired goals, whether driving incremental revenue or reducing operational costs.</w:t>
      </w:r>
    </w:p>
    <w:p>
      <w:pPr>
        <w:spacing w:after="0" w:line="193"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We believe that LivePerson’s differentiated approach to the Conversational Space, combined with our unique technology and expertise has established us as a market leader, with an ability to deliver superior returns on investment. LivePerson customers manage as many as 40 messaging conversations at a time, as compared to one at a time for a voice agent and two to four at a time for a good chat agent. Adding AI and bots provides even greater scale to the number of conversations managed. Our customers often see labor efficiency gains of at least two times that of voice agents, effectively cutting labor costs by at least 50%. Furthermore, our ability to deliver more convenient, personalized and content-rich conversations often drives increases in customer satisfaction score of up to 20 percentage points and increases in sales conversions of up to 20%, while enhancing average order value, customer retention and loyalty.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85" w:right="339" w:bottom="1440" w:gutter="0" w:footer="0" w:header="0"/>
        </w:sectPr>
      </w:pPr>
    </w:p>
    <w:bookmarkStart w:id="38" w:name="page39"/>
    <w:bookmarkEnd w:id="38"/>
    <w:p>
      <w:pPr>
        <w:jc w:val="both"/>
        <w:ind w:firstLine="420"/>
        <w:spacing w:after="0" w:line="282" w:lineRule="auto"/>
        <w:rPr>
          <w:sz w:val="20"/>
          <w:szCs w:val="20"/>
          <w:color w:val="auto"/>
        </w:rPr>
      </w:pPr>
      <w:r>
        <w:rPr>
          <w:rFonts w:ascii="Arial" w:cs="Arial" w:eastAsia="Arial" w:hAnsi="Arial"/>
          <w:sz w:val="16"/>
          <w:szCs w:val="16"/>
          <w:b w:val="1"/>
          <w:bCs w:val="1"/>
          <w:i w:val="1"/>
          <w:iCs w:val="1"/>
          <w:color w:val="auto"/>
        </w:rPr>
        <w:t xml:space="preserve">Strengthen our position in both existing and new industries. </w:t>
      </w:r>
      <w:r>
        <w:rPr>
          <w:rFonts w:ascii="Arial" w:cs="Arial" w:eastAsia="Arial" w:hAnsi="Arial"/>
          <w:sz w:val="16"/>
          <w:szCs w:val="16"/>
          <w:color w:val="auto"/>
        </w:rPr>
        <w:t>We plan to continue to develop our market position by increasing our customer base,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expanding within our installed base. We continue to focus primarily on key target markets: consumer/retail, telecommunications, financial services, travel/hospitality, technology and automotive within both our enterprise and mid-market sectors, as well as the small business (“SMB”) sector. In 2019, we made strong inroads into new verticals with key wins in the airline, food service and healthcare industries. In 2020, we strengthened our presence in key markets including travel/hospitality and retail, and opened new verticals like healthcare and government. We are experimenting with new conversational businesses, including some that are in regulated industries, like online banking. We are increasingly structuring our field organization to emphasize our domain expertise and strengthen customer relationships across target industries.</w:t>
      </w:r>
    </w:p>
    <w:p>
      <w:pPr>
        <w:spacing w:after="0" w:line="193"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b w:val="1"/>
          <w:bCs w:val="1"/>
          <w:i w:val="1"/>
          <w:iCs w:val="1"/>
          <w:color w:val="auto"/>
        </w:rPr>
        <w:t xml:space="preserve">Continue to build our international presence. </w:t>
      </w:r>
      <w:r>
        <w:rPr>
          <w:rFonts w:ascii="Arial" w:cs="Arial" w:eastAsia="Arial" w:hAnsi="Arial"/>
          <w:sz w:val="18"/>
          <w:szCs w:val="18"/>
          <w:color w:val="auto"/>
        </w:rPr>
        <w:t>We are focused on building our international presence and expanding our international revenue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contribution, which accounted for 38% and 41% of total revenue in 2020 and 2019, respectively. International revenue contribution for the nine months ended September 30, 2021 accounted for 34% of total revenue. We are generating positive results from our recent investments in the Asia Pacific, Europe, and Latin America regions. Expanding go-to-market capacity in international theaters is one of our key strategic focuses and also part of our motivation for our recent acquisition of e-bot7.</w:t>
      </w:r>
    </w:p>
    <w:p>
      <w:pPr>
        <w:spacing w:after="0" w:line="221"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b w:val="1"/>
          <w:bCs w:val="1"/>
          <w:i w:val="1"/>
          <w:iCs w:val="1"/>
          <w:color w:val="auto"/>
        </w:rPr>
        <w:t xml:space="preserve">Leverage our open architecture to support partners and developers. </w:t>
      </w:r>
      <w:r>
        <w:rPr>
          <w:rFonts w:ascii="Arial" w:cs="Arial" w:eastAsia="Arial" w:hAnsi="Arial"/>
          <w:sz w:val="16"/>
          <w:szCs w:val="16"/>
          <w:color w:val="auto"/>
        </w:rPr>
        <w:t>In addition to developing our own applications, we continue to cultivate a partner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eco-system capable of offering additional applications and services to our customers. We integrate into third-party messaging endpoints including SMS, Facebook Messenger, Apple Business Chat, Google Rich Business Messenger, Line, WhatsApp, Alexa, Google Home, WeChat, Google Ad Lingo, Google Search, Google Maps, Instagram and Twitter, multiple IVR vendors and dozens of branded apps. The Conversational Cloud integrates our proprietary messaging and Conversational AI with third-party bot offerings, empowering our customers to manage a mix of different bots, human agents and technologies from one control panel, thereby optimizing contact center efficiency. LivePerson’s proprietary and third-party AI/bots enable brands to partially or fully automate communications with their customers.</w:t>
      </w:r>
    </w:p>
    <w:p>
      <w:pPr>
        <w:spacing w:after="0" w:line="193"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In addition, we have opened up access to our platform and our products with more than 40 APIs and software development kits that allow customers and third parties to develop on top of our platform. Customers and partners can utilize these APIs to build our capabilities into their own applications and to enhance our applications with their services. In 2019, we launched LivePerson Functions, a serverless Function as a Service integration which enables brands to develop custom behaviors within LivePerson’s conversational platform to easily and rapidly tailor conversation flows to their specific needs.</w:t>
      </w:r>
    </w:p>
    <w:p>
      <w:pPr>
        <w:spacing w:after="0" w:line="187"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b w:val="1"/>
          <w:bCs w:val="1"/>
          <w:i w:val="1"/>
          <w:iCs w:val="1"/>
          <w:color w:val="auto"/>
        </w:rPr>
        <w:t xml:space="preserve">Expand sales partnerships to broaden our presence and accelerate sales cycles. </w:t>
      </w:r>
      <w:r>
        <w:rPr>
          <w:rFonts w:ascii="Arial" w:cs="Arial" w:eastAsia="Arial" w:hAnsi="Arial"/>
          <w:sz w:val="16"/>
          <w:szCs w:val="16"/>
          <w:color w:val="auto"/>
        </w:rPr>
        <w:t>We are focused on broadening our market reach and accelerating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cycles by partnering with systems integrators, technology providers, business process outsourcers, value added resellers and other sales partners. We formalized a relationship with IBM Global Business Services in 2017 and Accenture in 2018. In 2019, we announced strategic partnerships with TTEC, a leading BPO focused on customer experience, and DMI, a digital transformation company, to redefine the customer experience with digital engagement, messaging, and AI-driven automation. In 2020, Infosys joined LivePerson’s network with a first-of-its-kind 360-degree partnership focusing not only on capturing the global rising demand for conversational commerce and building a personalized experience for customers, but also driving the transformation for internal corporate messaging and the employee experience through Conversational AI. LivePerson increased the number of partners focused on SMBs to more than 300 at year-end 2020 and 2019, from over 150 at year-end 2018, and approximately 40 at the end of 2017. Approximately one quarter of all opportunities were influenced by partners in 2020, and we are focused on driving that contribution toward 50% longer term.</w:t>
      </w:r>
    </w:p>
    <w:p>
      <w:pPr>
        <w:spacing w:after="0" w:line="195"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b w:val="1"/>
          <w:bCs w:val="1"/>
          <w:i w:val="1"/>
          <w:iCs w:val="1"/>
          <w:color w:val="auto"/>
        </w:rPr>
        <w:t xml:space="preserve">Maintain market leadership in technology and security expertise. </w:t>
      </w:r>
      <w:r>
        <w:rPr>
          <w:rFonts w:ascii="Arial" w:cs="Arial" w:eastAsia="Arial" w:hAnsi="Arial"/>
          <w:sz w:val="16"/>
          <w:szCs w:val="16"/>
          <w:color w:val="auto"/>
        </w:rPr>
        <w:t>As described above, we are devoting significant resources to creating new products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enabling technologies designed to accelerate innovation. We evaluate emerging technologies and industry standards and continually update our technology in order to retain our leadership position in each market we serve. We monitor legal and technological developments in the area of information security and confidentiality to ensure our policies and procedures meet or exceed the demands of the world’s largest and most demanding corporations. We believe that these efforts will allow us to effectively anticipate changing customer and consumer requirements in our rapidly evolving industry.</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b w:val="1"/>
          <w:bCs w:val="1"/>
          <w:i w:val="1"/>
          <w:iCs w:val="1"/>
          <w:color w:val="auto"/>
        </w:rPr>
        <w:t xml:space="preserve">Evaluate strategic alliances and acquisitions when appropriate. </w:t>
      </w:r>
      <w:r>
        <w:rPr>
          <w:rFonts w:ascii="Arial" w:cs="Arial" w:eastAsia="Arial" w:hAnsi="Arial"/>
          <w:sz w:val="16"/>
          <w:szCs w:val="16"/>
          <w:color w:val="auto"/>
        </w:rPr>
        <w:t>We have successfully integrated several acquisitions over the past decade.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39" w:name="page40"/>
    <w:bookmarkEnd w:id="39"/>
    <w:p>
      <w:pPr>
        <w:jc w:val="center"/>
        <w:ind w:left="400"/>
        <w:spacing w:after="0"/>
        <w:rPr>
          <w:sz w:val="20"/>
          <w:szCs w:val="20"/>
          <w:color w:val="auto"/>
        </w:rPr>
      </w:pPr>
      <w:r>
        <w:rPr>
          <w:rFonts w:ascii="Arial" w:cs="Arial" w:eastAsia="Arial" w:hAnsi="Arial"/>
          <w:sz w:val="18"/>
          <w:szCs w:val="18"/>
          <w:b w:val="1"/>
          <w:bCs w:val="1"/>
          <w:color w:val="auto"/>
        </w:rPr>
        <w:t>Key Metrics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Financial overview of the three months ended September 30, 2021 compared to the three months ended September 30, 2020:</w:t>
      </w:r>
    </w:p>
    <w:p>
      <w:pPr>
        <w:spacing w:after="0" w:line="108" w:lineRule="exact"/>
        <w:rPr>
          <w:sz w:val="20"/>
          <w:szCs w:val="20"/>
          <w:color w:val="auto"/>
        </w:rPr>
      </w:pPr>
    </w:p>
    <w:p>
      <w:pPr>
        <w:ind w:left="1100" w:hanging="30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Total revenue increased 25% to $118.3 million from $94.8 million.</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from our Business segment increased 26% to $109.2 million from $86.9 million.</w:t>
      </w:r>
    </w:p>
    <w:p>
      <w:pPr>
        <w:spacing w:after="0" w:line="108" w:lineRule="exact"/>
        <w:rPr>
          <w:rFonts w:ascii="Arial" w:cs="Arial" w:eastAsia="Arial" w:hAnsi="Arial"/>
          <w:sz w:val="18"/>
          <w:szCs w:val="18"/>
          <w:color w:val="auto"/>
        </w:rPr>
      </w:pPr>
    </w:p>
    <w:p>
      <w:pPr>
        <w:ind w:left="1100" w:hanging="307"/>
        <w:spacing w:after="0" w:line="323" w:lineRule="auto"/>
        <w:tabs>
          <w:tab w:leader="none" w:pos="10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Average annual revenue per enterprise and mid-market customer increased approximately 34% to $570,000 for the trailing-twelve-months ended September 30, 2021, as compared to $425,000 for the trailing twelve months ended September 30, 2020.</w:t>
      </w:r>
    </w:p>
    <w:p>
      <w:pPr>
        <w:spacing w:after="0" w:line="29" w:lineRule="exact"/>
        <w:rPr>
          <w:rFonts w:ascii="Arial" w:cs="Arial" w:eastAsia="Arial" w:hAnsi="Arial"/>
          <w:sz w:val="16"/>
          <w:szCs w:val="16"/>
          <w:color w:val="auto"/>
        </w:rPr>
      </w:pPr>
    </w:p>
    <w:p>
      <w:pPr>
        <w:jc w:val="both"/>
        <w:ind w:left="1100" w:hanging="307"/>
        <w:spacing w:after="0" w:line="290" w:lineRule="auto"/>
        <w:tabs>
          <w:tab w:leader="none" w:pos="1096" w:val="left"/>
        </w:tabs>
        <w:numPr>
          <w:ilvl w:val="0"/>
          <w:numId w:val="18"/>
        </w:numPr>
        <w:rPr>
          <w:rFonts w:ascii="Arial" w:cs="Arial" w:eastAsia="Arial" w:hAnsi="Arial"/>
          <w:sz w:val="16"/>
          <w:szCs w:val="16"/>
          <w:color w:val="auto"/>
        </w:rPr>
      </w:pPr>
      <w:r>
        <w:rPr>
          <w:rFonts w:ascii="Arial" w:cs="Arial" w:eastAsia="Arial" w:hAnsi="Arial"/>
          <w:sz w:val="16"/>
          <w:szCs w:val="16"/>
          <w:color w:val="auto"/>
        </w:rPr>
        <w:t>Our target for enterprise and mid-market revenue retention in 2021 matches 2020, and is a range of 105% to 115%. Revenue retention rate for enterprise and mid-market customers on the Conversation Cloud was within our target range in the third quarter of 2021 and exceeded our target range in the third quarter of 2020. Revenue retention rate measures the percentage of revenue retained at quarter end, from full service customers that were on the Conversational Cloud at the same period a year ago.</w:t>
      </w:r>
    </w:p>
    <w:p>
      <w:pPr>
        <w:spacing w:after="0" w:line="181"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Adjusted EBITDA and Adjusted Operating (Loss) Income</w:t>
      </w:r>
    </w:p>
    <w:p>
      <w:pPr>
        <w:spacing w:after="0" w:line="245"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and adjusted operating income, which are non-GAAP financial measures. The tables below present a reconciliation of adjusted EBITDA and adjusted operating income to net (loss) income, the most directly comparable GAAP financial measures.</w:t>
      </w:r>
    </w:p>
    <w:p>
      <w:pPr>
        <w:spacing w:after="0" w:line="188"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We have included adjusted EBITDA and adjusted operating income in this Quarterly Report on Form 10-Q because these are key measures used by our management and board of directors to understand and evaluate our core operating performance and trends, to prepare and approve our annual budget and to develop short and long-term operational plans. In particular, the exclusion of certain expenses in calculating adjusted EBITDA and adjusted operating income can provide a useful measure for period-to-period comparisons of our core business. Additionally, adjusted EBITDA is a key financial measure used by the compensation committee of our board of directors in connection with the payment of bonuses to our executive officers. Accordingly, we believe that adjusted EBITDA and adjusted operating income provide useful information to investors and others in understanding and evaluating our operating results in the same manner as our management and board of directors.</w:t>
      </w:r>
    </w:p>
    <w:p>
      <w:pPr>
        <w:spacing w:after="0" w:line="193"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as reported under GAAP. Some of these limitations are:</w:t>
      </w:r>
    </w:p>
    <w:p>
      <w:pPr>
        <w:spacing w:after="0" w:line="77" w:lineRule="exact"/>
        <w:rPr>
          <w:sz w:val="20"/>
          <w:szCs w:val="20"/>
          <w:color w:val="auto"/>
        </w:rPr>
      </w:pPr>
    </w:p>
    <w:p>
      <w:pPr>
        <w:jc w:val="both"/>
        <w:ind w:left="1100" w:hanging="307"/>
        <w:spacing w:after="0" w:line="361" w:lineRule="auto"/>
        <w:tabs>
          <w:tab w:leader="none" w:pos="1054" w:val="left"/>
        </w:tabs>
        <w:numPr>
          <w:ilvl w:val="0"/>
          <w:numId w:val="19"/>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6" w:lineRule="exact"/>
        <w:rPr>
          <w:rFonts w:ascii="Arial" w:cs="Arial" w:eastAsia="Arial" w:hAnsi="Arial"/>
          <w:sz w:val="15"/>
          <w:szCs w:val="15"/>
          <w:color w:val="auto"/>
        </w:rPr>
      </w:pPr>
    </w:p>
    <w:p>
      <w:pPr>
        <w:ind w:left="1020" w:hanging="22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08" w:lineRule="exact"/>
        <w:rPr>
          <w:rFonts w:ascii="Arial" w:cs="Arial" w:eastAsia="Arial" w:hAnsi="Arial"/>
          <w:sz w:val="18"/>
          <w:szCs w:val="18"/>
          <w:color w:val="auto"/>
        </w:rPr>
      </w:pPr>
    </w:p>
    <w:p>
      <w:pPr>
        <w:ind w:left="1020" w:hanging="22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acquisition related costs;</w:t>
      </w:r>
    </w:p>
    <w:p>
      <w:pPr>
        <w:spacing w:after="0" w:line="108" w:lineRule="exact"/>
        <w:rPr>
          <w:rFonts w:ascii="Arial" w:cs="Arial" w:eastAsia="Arial" w:hAnsi="Arial"/>
          <w:sz w:val="18"/>
          <w:szCs w:val="18"/>
          <w:color w:val="auto"/>
        </w:rPr>
      </w:pPr>
    </w:p>
    <w:p>
      <w:pPr>
        <w:ind w:left="1020" w:hanging="22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restructuring costs;</w:t>
      </w:r>
    </w:p>
    <w:p>
      <w:pPr>
        <w:spacing w:after="0" w:line="108" w:lineRule="exact"/>
        <w:rPr>
          <w:rFonts w:ascii="Arial" w:cs="Arial" w:eastAsia="Arial" w:hAnsi="Arial"/>
          <w:sz w:val="18"/>
          <w:szCs w:val="18"/>
          <w:color w:val="auto"/>
        </w:rPr>
      </w:pPr>
    </w:p>
    <w:p>
      <w:pPr>
        <w:ind w:left="1020" w:hanging="22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consider the impact of other costs;</w:t>
      </w:r>
    </w:p>
    <w:p>
      <w:pPr>
        <w:spacing w:after="0" w:line="108" w:lineRule="exact"/>
        <w:rPr>
          <w:rFonts w:ascii="Arial" w:cs="Arial" w:eastAsia="Arial" w:hAnsi="Arial"/>
          <w:sz w:val="18"/>
          <w:szCs w:val="18"/>
          <w:color w:val="auto"/>
        </w:rPr>
      </w:pPr>
    </w:p>
    <w:p>
      <w:pPr>
        <w:ind w:left="1020" w:hanging="227"/>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08" w:lineRule="exact"/>
        <w:rPr>
          <w:rFonts w:ascii="Arial" w:cs="Arial" w:eastAsia="Arial" w:hAnsi="Arial"/>
          <w:sz w:val="18"/>
          <w:szCs w:val="18"/>
          <w:color w:val="auto"/>
        </w:rPr>
      </w:pPr>
    </w:p>
    <w:p>
      <w:pPr>
        <w:ind w:left="1100" w:hanging="307"/>
        <w:spacing w:after="0" w:line="260" w:lineRule="auto"/>
        <w:tabs>
          <w:tab w:leader="none" w:pos="10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EBITDA differently, which reduces its usefulness as a comparative measure.</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83"/>
        </w:trPr>
        <w:tc>
          <w:tcPr>
            <w:tcW w:w="5280" w:type="dxa"/>
            <w:vAlign w:val="bottom"/>
          </w:tcPr>
          <w:p>
            <w:pPr>
              <w:spacing w:after="0"/>
              <w:rPr>
                <w:sz w:val="15"/>
                <w:szCs w:val="15"/>
                <w:color w:val="auto"/>
              </w:rPr>
            </w:pPr>
          </w:p>
        </w:tc>
        <w:tc>
          <w:tcPr>
            <w:tcW w:w="236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5"/>
                <w:szCs w:val="15"/>
                <w:color w:val="auto"/>
              </w:rPr>
            </w:pPr>
          </w:p>
        </w:tc>
      </w:tr>
      <w:tr>
        <w:trPr>
          <w:trHeight w:val="189"/>
        </w:trPr>
        <w:tc>
          <w:tcPr>
            <w:tcW w:w="52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8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10"/>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Adjusted EBITDA</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6"/>
        </w:trPr>
        <w:tc>
          <w:tcPr>
            <w:tcW w:w="5280" w:type="dxa"/>
            <w:vAlign w:val="bottom"/>
          </w:tcPr>
          <w:p>
            <w:pPr>
              <w:ind w:left="20"/>
              <w:spacing w:after="0"/>
              <w:rPr>
                <w:sz w:val="20"/>
                <w:szCs w:val="20"/>
                <w:color w:val="auto"/>
              </w:rPr>
            </w:pPr>
            <w:r>
              <w:rPr>
                <w:rFonts w:ascii="Arial" w:cs="Arial" w:eastAsia="Arial" w:hAnsi="Arial"/>
                <w:sz w:val="14"/>
                <w:szCs w:val="14"/>
                <w:color w:val="auto"/>
              </w:rPr>
              <w:t>GAAP net loss</w:t>
            </w:r>
          </w:p>
        </w:tc>
        <w:tc>
          <w:tcPr>
            <w:tcW w:w="860" w:type="dxa"/>
            <w:vAlign w:val="bottom"/>
          </w:tcPr>
          <w:p>
            <w:pPr>
              <w:jc w:val="right"/>
              <w:ind w:right="69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1"/>
              </w:rPr>
              <w:t>(32,807)</w:t>
            </w:r>
          </w:p>
        </w:tc>
        <w:tc>
          <w:tcPr>
            <w:tcW w:w="100" w:type="dxa"/>
            <w:vAlign w:val="bottom"/>
          </w:tcPr>
          <w:p>
            <w:pPr>
              <w:spacing w:after="0"/>
              <w:rPr>
                <w:sz w:val="16"/>
                <w:szCs w:val="16"/>
                <w:color w:val="auto"/>
              </w:rPr>
            </w:pPr>
          </w:p>
        </w:tc>
        <w:tc>
          <w:tcPr>
            <w:tcW w:w="860" w:type="dxa"/>
            <w:vAlign w:val="bottom"/>
          </w:tcPr>
          <w:p>
            <w:pPr>
              <w:jc w:val="right"/>
              <w:ind w:right="71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1"/>
              </w:rPr>
              <w:t>(38,710)</w:t>
            </w:r>
          </w:p>
        </w:tc>
        <w:tc>
          <w:tcPr>
            <w:tcW w:w="100" w:type="dxa"/>
            <w:vAlign w:val="bottom"/>
          </w:tcPr>
          <w:p>
            <w:pPr>
              <w:spacing w:after="0"/>
              <w:rPr>
                <w:sz w:val="16"/>
                <w:szCs w:val="16"/>
                <w:color w:val="auto"/>
              </w:rPr>
            </w:pPr>
          </w:p>
        </w:tc>
        <w:tc>
          <w:tcPr>
            <w:tcW w:w="500" w:type="dxa"/>
            <w:vAlign w:val="bottom"/>
          </w:tcPr>
          <w:p>
            <w:pPr>
              <w:jc w:val="right"/>
              <w:ind w:right="35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(75,121)</w:t>
            </w:r>
          </w:p>
        </w:tc>
        <w:tc>
          <w:tcPr>
            <w:tcW w:w="120" w:type="dxa"/>
            <w:vAlign w:val="bottom"/>
          </w:tcPr>
          <w:p>
            <w:pPr>
              <w:spacing w:after="0"/>
              <w:rPr>
                <w:sz w:val="16"/>
                <w:szCs w:val="16"/>
                <w:color w:val="auto"/>
              </w:rPr>
            </w:pPr>
          </w:p>
        </w:tc>
        <w:tc>
          <w:tcPr>
            <w:tcW w:w="560" w:type="dxa"/>
            <w:vAlign w:val="bottom"/>
          </w:tcPr>
          <w:p>
            <w:pPr>
              <w:jc w:val="right"/>
              <w:ind w:right="41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(94,338)</w:t>
            </w:r>
          </w:p>
        </w:tc>
      </w:tr>
      <w:tr>
        <w:trPr>
          <w:trHeight w:val="24"/>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purchased intangibles</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697</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4,939</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2,073</w:t>
            </w:r>
          </w:p>
        </w:tc>
      </w:tr>
      <w:tr>
        <w:trPr>
          <w:trHeight w:val="186"/>
        </w:trPr>
        <w:tc>
          <w:tcPr>
            <w:tcW w:w="52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18,269</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15,532</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47,967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46,171</w:t>
            </w:r>
          </w:p>
        </w:tc>
      </w:tr>
      <w:tr>
        <w:trPr>
          <w:trHeight w:val="24"/>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90"/>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earn-out adjustments</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210"/>
        </w:trPr>
        <w:tc>
          <w:tcPr>
            <w:tcW w:w="5280" w:type="dxa"/>
            <w:vAlign w:val="bottom"/>
          </w:tcPr>
          <w:p>
            <w:pPr>
              <w:ind w:left="2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(1)</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26,442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3,269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29,635</w:t>
            </w:r>
          </w:p>
        </w:tc>
      </w:tr>
      <w:tr>
        <w:trPr>
          <w:trHeight w:val="190"/>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Depreciation</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6,893</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4"/>
                <w:szCs w:val="14"/>
                <w:color w:val="auto"/>
              </w:rPr>
              <w:t>5,948</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20,471</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17,223</w:t>
            </w:r>
          </w:p>
        </w:tc>
      </w:tr>
      <w:tr>
        <w:trPr>
          <w:trHeight w:val="210"/>
        </w:trPr>
        <w:tc>
          <w:tcPr>
            <w:tcW w:w="5280" w:type="dxa"/>
            <w:vAlign w:val="bottom"/>
          </w:tcPr>
          <w:p>
            <w:pPr>
              <w:ind w:left="220"/>
              <w:spacing w:after="0"/>
              <w:rPr>
                <w:sz w:val="20"/>
                <w:szCs w:val="20"/>
                <w:color w:val="auto"/>
              </w:rPr>
            </w:pPr>
            <w:r>
              <w:rPr>
                <w:rFonts w:ascii="Arial" w:cs="Arial" w:eastAsia="Arial" w:hAnsi="Arial"/>
                <w:sz w:val="14"/>
                <w:szCs w:val="14"/>
                <w:color w:val="auto"/>
              </w:rPr>
              <w:t xml:space="preserve">Other litigation and consulting costs </w:t>
            </w:r>
            <w:r>
              <w:rPr>
                <w:rFonts w:ascii="Arial" w:cs="Arial" w:eastAsia="Arial" w:hAnsi="Arial"/>
                <w:sz w:val="18"/>
                <w:szCs w:val="18"/>
                <w:color w:val="auto"/>
                <w:vertAlign w:val="superscript"/>
              </w:rPr>
              <w:t>(2)</w:t>
            </w:r>
          </w:p>
        </w:tc>
        <w:tc>
          <w:tcPr>
            <w:tcW w:w="8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4,784</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7,634</w:t>
            </w:r>
          </w:p>
        </w:tc>
      </w:tr>
      <w:tr>
        <w:trPr>
          <w:trHeight w:val="190"/>
        </w:trPr>
        <w:tc>
          <w:tcPr>
            <w:tcW w:w="5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2,538</w:t>
            </w:r>
          </w:p>
        </w:tc>
        <w:tc>
          <w:tcPr>
            <w:tcW w:w="1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2,285</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w:t>
            </w:r>
          </w:p>
        </w:tc>
      </w:tr>
      <w:tr>
        <w:trPr>
          <w:trHeight w:val="186"/>
        </w:trPr>
        <w:tc>
          <w:tcPr>
            <w:tcW w:w="52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8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9,442</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jc w:val="right"/>
              <w:ind w:right="10"/>
              <w:spacing w:after="0"/>
              <w:rPr>
                <w:sz w:val="20"/>
                <w:szCs w:val="20"/>
                <w:color w:val="auto"/>
              </w:rPr>
            </w:pPr>
            <w:r>
              <w:rPr>
                <w:rFonts w:ascii="Arial" w:cs="Arial" w:eastAsia="Arial" w:hAnsi="Arial"/>
                <w:sz w:val="14"/>
                <w:szCs w:val="14"/>
                <w:color w:val="auto"/>
              </w:rPr>
              <w:t>3,159</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27,852</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9,161</w:t>
            </w:r>
          </w:p>
        </w:tc>
      </w:tr>
      <w:tr>
        <w:trPr>
          <w:trHeight w:val="24"/>
        </w:trPr>
        <w:tc>
          <w:tcPr>
            <w:tcW w:w="5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0"/>
        </w:trPr>
        <w:tc>
          <w:tcPr>
            <w:tcW w:w="5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(income) expense, net </w:t>
            </w:r>
            <w:r>
              <w:rPr>
                <w:rFonts w:ascii="Arial" w:cs="Arial" w:eastAsia="Arial" w:hAnsi="Arial"/>
                <w:sz w:val="18"/>
                <w:szCs w:val="18"/>
                <w:color w:val="auto"/>
                <w:vertAlign w:val="superscript"/>
              </w:rPr>
              <w:t>(3)</w:t>
            </w: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w:t>
            </w:r>
          </w:p>
        </w:tc>
      </w:tr>
      <w:tr>
        <w:trPr>
          <w:trHeight w:val="203"/>
        </w:trPr>
        <w:tc>
          <w:tcPr>
            <w:tcW w:w="52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86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right"/>
              <w:ind w:right="71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color w:val="auto"/>
              </w:rPr>
              <w:t>15,065</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33,576</w:t>
            </w:r>
          </w:p>
        </w:tc>
        <w:tc>
          <w:tcPr>
            <w:tcW w:w="120" w:type="dxa"/>
            <w:vAlign w:val="bottom"/>
          </w:tcPr>
          <w:p>
            <w:pPr>
              <w:spacing w:after="0"/>
              <w:rPr>
                <w:sz w:val="17"/>
                <w:szCs w:val="17"/>
                <w:color w:val="auto"/>
              </w:rPr>
            </w:pPr>
          </w:p>
        </w:tc>
        <w:tc>
          <w:tcPr>
            <w:tcW w:w="5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19,693</w:t>
            </w:r>
          </w:p>
        </w:tc>
      </w:tr>
      <w:tr>
        <w:trPr>
          <w:trHeight w:val="20"/>
        </w:trPr>
        <w:tc>
          <w:tcPr>
            <w:tcW w:w="5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480" w:hanging="475"/>
        <w:spacing w:after="0" w:line="239" w:lineRule="auto"/>
        <w:tabs>
          <w:tab w:leader="none" w:pos="4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$2.7 million and lease restructuring costs of $0.6 million for the nine months ended September 30, 2021. Includes lease restructuring costs of $24.1 million and severance costs and other compensation related costs of $2.4 million for the three months ended September 30, 2020. Includes lease restructuring costs of $24.1 million and severance costs and other compensation related costs of $5.6 million for the nine months ended September 30, 2020.</w:t>
      </w:r>
    </w:p>
    <w:p>
      <w:pPr>
        <w:spacing w:after="0" w:line="32" w:lineRule="exact"/>
        <w:rPr>
          <w:rFonts w:ascii="Arial" w:cs="Arial" w:eastAsia="Arial" w:hAnsi="Arial"/>
          <w:sz w:val="14"/>
          <w:szCs w:val="14"/>
          <w:color w:val="auto"/>
        </w:rPr>
      </w:pPr>
    </w:p>
    <w:p>
      <w:pPr>
        <w:jc w:val="both"/>
        <w:ind w:left="480" w:hanging="475"/>
        <w:spacing w:after="0" w:line="241" w:lineRule="auto"/>
        <w:tabs>
          <w:tab w:leader="none" w:pos="4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consulting costs of $0.7 million and litigation costs of $0.4 million and reversals of reserve for sales and use tax liability of $0.5 million for the three months ended September 30, 2021. Includes litigation costs of $1.3 million and consulting costs of $0.3 million for the three months ended September 30, 2020. Includes litigation costs of $3.2 million, employee benefit cost of $0.6 million, consulting costs of $1.3 million, and a reversal of reserve for sales and use tax liability of $0.3 million for the nine months ended September 30, 2021. Includes reserve for sales and use tax liability of $2.3 million, litigation costs of $2.3 million, employee benefit cost of $0.8 million, and consulting costs of $2.2 million for the nine months ended September 30, 2020.</w:t>
      </w:r>
    </w:p>
    <w:p>
      <w:pPr>
        <w:spacing w:after="0" w:line="31" w:lineRule="exact"/>
        <w:rPr>
          <w:rFonts w:ascii="Arial" w:cs="Arial" w:eastAsia="Arial" w:hAnsi="Arial"/>
          <w:sz w:val="14"/>
          <w:szCs w:val="14"/>
          <w:color w:val="auto"/>
        </w:rPr>
      </w:pPr>
    </w:p>
    <w:p>
      <w:pPr>
        <w:ind w:left="480" w:hanging="475"/>
        <w:spacing w:after="0" w:line="249" w:lineRule="auto"/>
        <w:tabs>
          <w:tab w:leader="none" w:pos="472"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$0.2 million and $3.5 million of other income related to the settlement of leases for the three and nine months ended September 30, 2021, respectively. The remaining amount of other (income) expense is attributable to currency rate fluctuations.</w:t>
      </w:r>
    </w:p>
    <w:p>
      <w:pPr>
        <w:spacing w:after="0" w:line="1" w:lineRule="exact"/>
        <w:rPr>
          <w:sz w:val="20"/>
          <w:szCs w:val="20"/>
          <w:color w:val="auto"/>
        </w:rPr>
      </w:pPr>
    </w:p>
    <w:p>
      <w:pPr>
        <w:ind w:firstLine="420"/>
        <w:spacing w:after="0" w:line="244" w:lineRule="auto"/>
        <w:rPr>
          <w:sz w:val="20"/>
          <w:szCs w:val="20"/>
          <w:color w:val="auto"/>
        </w:rPr>
      </w:pPr>
      <w:r>
        <w:rPr>
          <w:rFonts w:ascii="Arial" w:cs="Arial" w:eastAsia="Arial" w:hAnsi="Arial"/>
          <w:sz w:val="18"/>
          <w:szCs w:val="18"/>
          <w:color w:val="auto"/>
        </w:rPr>
        <w:t>Our use of adjusted operating income has limitations as an analytical tool, and you should not consider it in isolation or as a substitute for analysis of our results as reported under GAAP. Some of these limitations are:</w:t>
      </w:r>
    </w:p>
    <w:p>
      <w:pPr>
        <w:spacing w:after="0" w:line="90" w:lineRule="exact"/>
        <w:rPr>
          <w:sz w:val="20"/>
          <w:szCs w:val="20"/>
          <w:color w:val="auto"/>
        </w:rPr>
      </w:pPr>
    </w:p>
    <w:p>
      <w:pPr>
        <w:ind w:left="1100" w:hanging="307"/>
        <w:spacing w:after="0" w:line="323" w:lineRule="auto"/>
        <w:tabs>
          <w:tab w:leader="none" w:pos="1027"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although amortization is a non-cash charge, the assets being amortized may have to be replaced in the future, and adjusted operating income does not reflect cash capital expenditure requirements for such replacements or for new capital expenditure requirements;</w:t>
      </w:r>
    </w:p>
    <w:p>
      <w:pPr>
        <w:spacing w:after="0" w:line="29" w:lineRule="exact"/>
        <w:rPr>
          <w:rFonts w:ascii="Arial" w:cs="Arial" w:eastAsia="Arial" w:hAnsi="Arial"/>
          <w:sz w:val="16"/>
          <w:szCs w:val="16"/>
          <w:color w:val="auto"/>
        </w:rPr>
      </w:pPr>
    </w:p>
    <w:p>
      <w:pPr>
        <w:ind w:left="1020" w:hanging="22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acquisition related costs;</w:t>
      </w:r>
    </w:p>
    <w:p>
      <w:pPr>
        <w:spacing w:after="0" w:line="108" w:lineRule="exact"/>
        <w:rPr>
          <w:rFonts w:ascii="Arial" w:cs="Arial" w:eastAsia="Arial" w:hAnsi="Arial"/>
          <w:sz w:val="18"/>
          <w:szCs w:val="18"/>
          <w:color w:val="auto"/>
        </w:rPr>
      </w:pPr>
    </w:p>
    <w:p>
      <w:pPr>
        <w:ind w:left="1020" w:hanging="22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restructuring costs;</w:t>
      </w:r>
    </w:p>
    <w:p>
      <w:pPr>
        <w:spacing w:after="0" w:line="108" w:lineRule="exact"/>
        <w:rPr>
          <w:rFonts w:ascii="Arial" w:cs="Arial" w:eastAsia="Arial" w:hAnsi="Arial"/>
          <w:sz w:val="18"/>
          <w:szCs w:val="18"/>
          <w:color w:val="auto"/>
        </w:rPr>
      </w:pPr>
    </w:p>
    <w:p>
      <w:pPr>
        <w:ind w:left="1020" w:hanging="227"/>
        <w:spacing w:after="0"/>
        <w:tabs>
          <w:tab w:leader="none" w:pos="10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operating income does not consider the impact of other costs;</w:t>
      </w:r>
    </w:p>
    <w:p>
      <w:pPr>
        <w:spacing w:after="0" w:line="108" w:lineRule="exact"/>
        <w:rPr>
          <w:rFonts w:ascii="Arial" w:cs="Arial" w:eastAsia="Arial" w:hAnsi="Arial"/>
          <w:sz w:val="18"/>
          <w:szCs w:val="18"/>
          <w:color w:val="auto"/>
        </w:rPr>
      </w:pPr>
    </w:p>
    <w:p>
      <w:pPr>
        <w:ind w:left="1100" w:right="360" w:hanging="307"/>
        <w:spacing w:after="0" w:line="260" w:lineRule="auto"/>
        <w:tabs>
          <w:tab w:leader="none" w:pos="1021"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companies, including companies in our industry, may calculate adjusted operating income differently, which reduces its usefulness as a comparative measure.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3" w:right="339" w:bottom="1440" w:gutter="0" w:footer="0" w:header="0"/>
        </w:sectPr>
      </w:pPr>
    </w:p>
    <w:bookmarkStart w:id="41" w:name="page42"/>
    <w:bookmarkEnd w:id="41"/>
    <w:p>
      <w:pPr>
        <w:ind w:left="420"/>
        <w:spacing w:after="0"/>
        <w:rPr>
          <w:sz w:val="20"/>
          <w:szCs w:val="20"/>
          <w:color w:val="auto"/>
        </w:rPr>
      </w:pPr>
      <w:r>
        <w:rPr>
          <w:rFonts w:ascii="Arial" w:cs="Arial" w:eastAsia="Arial" w:hAnsi="Arial"/>
          <w:sz w:val="16"/>
          <w:szCs w:val="16"/>
          <w:color w:val="auto"/>
        </w:rPr>
        <w:t>Because of these limitations, you should consider adjusted operating income alongside other financial performance measures, including various pre-tax</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loss and our other GAAP results. The following table presents a reconciliation of adjusted operating (loss) income for each of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80" w:type="dxa"/>
            <w:vAlign w:val="bottom"/>
          </w:tcPr>
          <w:p>
            <w:pPr>
              <w:spacing w:after="0"/>
              <w:rPr>
                <w:sz w:val="15"/>
                <w:szCs w:val="15"/>
                <w:color w:val="auto"/>
              </w:rPr>
            </w:pPr>
          </w:p>
        </w:tc>
        <w:tc>
          <w:tcPr>
            <w:tcW w:w="2320" w:type="dxa"/>
            <w:vAlign w:val="bottom"/>
            <w:gridSpan w:val="4"/>
          </w:tcPr>
          <w:p>
            <w:pPr>
              <w:jc w:val="right"/>
              <w:ind w:right="19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5"/>
                <w:szCs w:val="15"/>
                <w:color w:val="auto"/>
              </w:rPr>
            </w:pPr>
          </w:p>
        </w:tc>
      </w:tr>
      <w:tr>
        <w:trPr>
          <w:trHeight w:val="189"/>
        </w:trPr>
        <w:tc>
          <w:tcPr>
            <w:tcW w:w="53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82"/>
        </w:trPr>
        <w:tc>
          <w:tcPr>
            <w:tcW w:w="538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90"/>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1"/>
        </w:trPr>
        <w:tc>
          <w:tcPr>
            <w:tcW w:w="5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Reconciliation of Adjusted Operating (Loss) Income</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05"/>
        </w:trPr>
        <w:tc>
          <w:tcPr>
            <w:tcW w:w="538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840" w:type="dxa"/>
            <w:vAlign w:val="bottom"/>
          </w:tcPr>
          <w:p>
            <w:pPr>
              <w:jc w:val="right"/>
              <w:ind w:right="69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1"/>
              </w:rPr>
              <w:t>(30,269)</w:t>
            </w:r>
          </w:p>
        </w:tc>
        <w:tc>
          <w:tcPr>
            <w:tcW w:w="100" w:type="dxa"/>
            <w:vAlign w:val="bottom"/>
          </w:tcPr>
          <w:p>
            <w:pPr>
              <w:spacing w:after="0"/>
              <w:rPr>
                <w:sz w:val="17"/>
                <w:szCs w:val="17"/>
                <w:color w:val="auto"/>
              </w:rPr>
            </w:pPr>
          </w:p>
        </w:tc>
        <w:tc>
          <w:tcPr>
            <w:tcW w:w="840" w:type="dxa"/>
            <w:vAlign w:val="bottom"/>
          </w:tcPr>
          <w:p>
            <w:pPr>
              <w:jc w:val="right"/>
              <w:ind w:right="69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(38,810)</w:t>
            </w:r>
          </w:p>
        </w:tc>
        <w:tc>
          <w:tcPr>
            <w:tcW w:w="100" w:type="dxa"/>
            <w:vAlign w:val="bottom"/>
          </w:tcPr>
          <w:p>
            <w:pPr>
              <w:spacing w:after="0"/>
              <w:rPr>
                <w:sz w:val="17"/>
                <w:szCs w:val="17"/>
                <w:color w:val="auto"/>
              </w:rPr>
            </w:pPr>
          </w:p>
        </w:tc>
        <w:tc>
          <w:tcPr>
            <w:tcW w:w="480" w:type="dxa"/>
            <w:vAlign w:val="bottom"/>
          </w:tcPr>
          <w:p>
            <w:pPr>
              <w:jc w:val="right"/>
              <w:ind w:right="330"/>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(72,836)</w:t>
            </w:r>
          </w:p>
        </w:tc>
        <w:tc>
          <w:tcPr>
            <w:tcW w:w="100" w:type="dxa"/>
            <w:vAlign w:val="bottom"/>
          </w:tcPr>
          <w:p>
            <w:pPr>
              <w:spacing w:after="0"/>
              <w:rPr>
                <w:sz w:val="17"/>
                <w:szCs w:val="17"/>
                <w:color w:val="auto"/>
              </w:rPr>
            </w:pPr>
          </w:p>
        </w:tc>
        <w:tc>
          <w:tcPr>
            <w:tcW w:w="560" w:type="dxa"/>
            <w:vAlign w:val="bottom"/>
          </w:tcPr>
          <w:p>
            <w:pPr>
              <w:jc w:val="right"/>
              <w:ind w:right="410"/>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(94,425)</w:t>
            </w:r>
          </w:p>
        </w:tc>
      </w:tr>
      <w:tr>
        <w:trPr>
          <w:trHeight w:val="195"/>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Amortization of purchased intangibles</w:t>
            </w: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1,831</w:t>
            </w: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4,939</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2,073</w:t>
            </w:r>
          </w:p>
        </w:tc>
      </w:tr>
      <w:tr>
        <w:trPr>
          <w:trHeight w:val="186"/>
        </w:trPr>
        <w:tc>
          <w:tcPr>
            <w:tcW w:w="53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18,269</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15,532</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47,967</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46,171</w:t>
            </w:r>
          </w:p>
        </w:tc>
      </w:tr>
      <w:tr>
        <w:trPr>
          <w:trHeight w:val="24"/>
        </w:trPr>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Restructuring costs </w:t>
            </w:r>
            <w:r>
              <w:rPr>
                <w:rFonts w:ascii="Arial" w:cs="Arial" w:eastAsia="Arial" w:hAnsi="Arial"/>
                <w:sz w:val="18"/>
                <w:szCs w:val="18"/>
                <w:color w:val="auto"/>
                <w:vertAlign w:val="superscript"/>
              </w:rPr>
              <w:t>(1)</w:t>
            </w: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26,442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29,635</w:t>
            </w:r>
          </w:p>
        </w:tc>
      </w:tr>
      <w:tr>
        <w:trPr>
          <w:trHeight w:val="210"/>
        </w:trPr>
        <w:tc>
          <w:tcPr>
            <w:tcW w:w="5380" w:type="dxa"/>
            <w:vAlign w:val="bottom"/>
          </w:tcPr>
          <w:p>
            <w:pPr>
              <w:ind w:left="220"/>
              <w:spacing w:after="0"/>
              <w:rPr>
                <w:sz w:val="20"/>
                <w:szCs w:val="20"/>
                <w:color w:val="auto"/>
              </w:rPr>
            </w:pPr>
            <w:r>
              <w:rPr>
                <w:rFonts w:ascii="Arial" w:cs="Arial" w:eastAsia="Arial" w:hAnsi="Arial"/>
                <w:sz w:val="14"/>
                <w:szCs w:val="14"/>
                <w:color w:val="auto"/>
              </w:rPr>
              <w:t xml:space="preserve">Other litigation and consulting costs </w:t>
            </w:r>
            <w:r>
              <w:rPr>
                <w:rFonts w:ascii="Arial" w:cs="Arial" w:eastAsia="Arial" w:hAnsi="Arial"/>
                <w:sz w:val="18"/>
                <w:szCs w:val="18"/>
                <w:color w:val="auto"/>
                <w:vertAlign w:val="superscript"/>
              </w:rPr>
              <w:t>(2)</w:t>
            </w: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1,589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4,784</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7,634</w:t>
            </w:r>
          </w:p>
        </w:tc>
      </w:tr>
      <w:tr>
        <w:trPr>
          <w:trHeight w:val="190"/>
        </w:trPr>
        <w:tc>
          <w:tcPr>
            <w:tcW w:w="5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Contingent earn-out adjustments</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r>
      <w:tr>
        <w:trPr>
          <w:trHeight w:val="186"/>
        </w:trPr>
        <w:tc>
          <w:tcPr>
            <w:tcW w:w="5380" w:type="dxa"/>
            <w:vAlign w:val="bottom"/>
          </w:tcPr>
          <w:p>
            <w:pPr>
              <w:ind w:left="220"/>
              <w:spacing w:after="0"/>
              <w:rPr>
                <w:sz w:val="20"/>
                <w:szCs w:val="20"/>
                <w:color w:val="auto"/>
              </w:rPr>
            </w:pPr>
            <w:r>
              <w:rPr>
                <w:rFonts w:ascii="Arial" w:cs="Arial" w:eastAsia="Arial" w:hAnsi="Arial"/>
                <w:sz w:val="14"/>
                <w:szCs w:val="14"/>
                <w:color w:val="auto"/>
              </w:rPr>
              <w:t>Interest expense, net</w:t>
            </w: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9,442</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3,159</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27,852</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9,161</w:t>
            </w:r>
          </w:p>
        </w:tc>
      </w:tr>
      <w:tr>
        <w:trPr>
          <w:trHeight w:val="24"/>
        </w:trPr>
        <w:tc>
          <w:tcPr>
            <w:tcW w:w="5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0"/>
        </w:trPr>
        <w:tc>
          <w:tcPr>
            <w:tcW w:w="53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 xml:space="preserve">Other (income) expense, net </w:t>
            </w:r>
            <w:r>
              <w:rPr>
                <w:rFonts w:ascii="Arial" w:cs="Arial" w:eastAsia="Arial" w:hAnsi="Arial"/>
                <w:sz w:val="18"/>
                <w:szCs w:val="18"/>
                <w:color w:val="auto"/>
                <w:vertAlign w:val="superscript"/>
              </w:rPr>
              <w:t>(3)</w:t>
            </w: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(3,002)</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w:t>
            </w:r>
          </w:p>
        </w:tc>
      </w:tr>
      <w:tr>
        <w:trPr>
          <w:trHeight w:val="177"/>
        </w:trPr>
        <w:tc>
          <w:tcPr>
            <w:tcW w:w="5380" w:type="dxa"/>
            <w:vAlign w:val="bottom"/>
          </w:tcPr>
          <w:p>
            <w:pPr>
              <w:ind w:left="220"/>
              <w:spacing w:after="0"/>
              <w:rPr>
                <w:sz w:val="20"/>
                <w:szCs w:val="20"/>
                <w:color w:val="auto"/>
              </w:rPr>
            </w:pPr>
            <w:r>
              <w:rPr>
                <w:rFonts w:ascii="Arial" w:cs="Arial" w:eastAsia="Arial" w:hAnsi="Arial"/>
                <w:sz w:val="14"/>
                <w:szCs w:val="14"/>
                <w:color w:val="auto"/>
              </w:rPr>
              <w:t>Adjusted operating (loss) income</w:t>
            </w:r>
          </w:p>
        </w:tc>
        <w:tc>
          <w:tcPr>
            <w:tcW w:w="84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840" w:type="dxa"/>
            <w:vAlign w:val="bottom"/>
            <w:tcBorders>
              <w:bottom w:val="single" w:sz="8" w:color="auto"/>
            </w:tcBorders>
          </w:tcPr>
          <w:p>
            <w:pPr>
              <w:jc w:val="right"/>
              <w:ind w:right="690"/>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9,117</w:t>
            </w:r>
          </w:p>
        </w:tc>
        <w:tc>
          <w:tcPr>
            <w:tcW w:w="100" w:type="dxa"/>
            <w:vAlign w:val="bottom"/>
          </w:tcPr>
          <w:p>
            <w:pPr>
              <w:spacing w:after="0"/>
              <w:rPr>
                <w:sz w:val="15"/>
                <w:szCs w:val="15"/>
                <w:color w:val="auto"/>
              </w:rPr>
            </w:pPr>
          </w:p>
        </w:tc>
        <w:tc>
          <w:tcPr>
            <w:tcW w:w="4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13,105</w:t>
            </w:r>
          </w:p>
        </w:tc>
        <w:tc>
          <w:tcPr>
            <w:tcW w:w="100" w:type="dxa"/>
            <w:vAlign w:val="bottom"/>
          </w:tcPr>
          <w:p>
            <w:pPr>
              <w:spacing w:after="0"/>
              <w:rPr>
                <w:sz w:val="15"/>
                <w:szCs w:val="15"/>
                <w:color w:val="auto"/>
              </w:rPr>
            </w:pPr>
          </w:p>
        </w:tc>
        <w:tc>
          <w:tcPr>
            <w:tcW w:w="560" w:type="dxa"/>
            <w:vAlign w:val="bottom"/>
            <w:tcBorders>
              <w:bottom w:val="single" w:sz="8" w:color="auto"/>
            </w:tcBorders>
          </w:tcPr>
          <w:p>
            <w:pPr>
              <w:jc w:val="right"/>
              <w:ind w:right="410"/>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2,470</w:t>
            </w:r>
          </w:p>
        </w:tc>
      </w:tr>
      <w:tr>
        <w:trPr>
          <w:trHeight w:val="20"/>
        </w:trPr>
        <w:tc>
          <w:tcPr>
            <w:tcW w:w="5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both"/>
        <w:ind w:left="480" w:hanging="475"/>
        <w:spacing w:after="0" w:line="239" w:lineRule="auto"/>
        <w:tabs>
          <w:tab w:leader="none" w:pos="4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severance costs and other compensation related costs of $2.7 million and lease restructuring costs of $0.6 million for the nine months ended September 30, 2021. Includes lease restructuring costs of $24.1 million and severance costs and other compensation related costs of $2.4 million for the three months ended September 30, 2020. Includes lease restructuring costs of $24.1 million and severance costs and other compensation related costs of $5.6 million for the nine months ended September 30, 2020.</w:t>
      </w:r>
    </w:p>
    <w:p>
      <w:pPr>
        <w:spacing w:after="0" w:line="32" w:lineRule="exact"/>
        <w:rPr>
          <w:rFonts w:ascii="Arial" w:cs="Arial" w:eastAsia="Arial" w:hAnsi="Arial"/>
          <w:sz w:val="14"/>
          <w:szCs w:val="14"/>
          <w:color w:val="auto"/>
        </w:rPr>
      </w:pPr>
    </w:p>
    <w:p>
      <w:pPr>
        <w:jc w:val="both"/>
        <w:ind w:left="480" w:hanging="475"/>
        <w:spacing w:after="0" w:line="241" w:lineRule="auto"/>
        <w:tabs>
          <w:tab w:leader="none" w:pos="4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consulting costs of $0.7 million and litigation costs of $0.4 million and reversals of reserve for sales and use tax liability of $0.5 million for the three months ended September 30, 2021. Includes litigation costs of $1.3 million and consulting costs of $0.3 million for the three months ended September 30, 2020. Includes litigation costs of $3.2 million, employee benefit cost of $0.6 million, consulting costs of $1.3 million, and a reversal of reserve for sales and use tax liability of $0.3 million for the nine months ended September 30, 2021. Includes reserve for sales and use tax liability of $2.3 million, litigation costs of $2.3 million, employee benefit cost of $0.8 million, and consulting costs of $2.2 million for the nine months ended September 30, 2020.</w:t>
      </w:r>
    </w:p>
    <w:p>
      <w:pPr>
        <w:spacing w:after="0" w:line="31" w:lineRule="exact"/>
        <w:rPr>
          <w:rFonts w:ascii="Arial" w:cs="Arial" w:eastAsia="Arial" w:hAnsi="Arial"/>
          <w:sz w:val="14"/>
          <w:szCs w:val="14"/>
          <w:color w:val="auto"/>
        </w:rPr>
      </w:pPr>
    </w:p>
    <w:p>
      <w:pPr>
        <w:ind w:left="480" w:hanging="475"/>
        <w:spacing w:after="0" w:line="261" w:lineRule="auto"/>
        <w:tabs>
          <w:tab w:leader="none" w:pos="472"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Includes $0.2 million and $3.5 million of other income related to the settlement of leases for the three and nine months ended September 30, 2021, respectively. The remaining amount of other (income) expense is attributable to currency rate fluctuations.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2" w:name="page43"/>
    <w:bookmarkEnd w:id="42"/>
    <w:p>
      <w:pPr>
        <w:jc w:val="center"/>
        <w:ind w:left="4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5"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Our condensed consolidated financial statements are prepared in conformity with GAAP. As such, we are required to make certain estimates, judgments and assumptions that 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These estimates and assumptions affect the reported amounts of assets and liabilities and the disclosure of contingent assets and liabilities at the dates of the consolidated financial statements and the reported amounts of revenue and expenses during the reporting periods.</w:t>
      </w:r>
    </w:p>
    <w:p>
      <w:pPr>
        <w:spacing w:after="0" w:line="219"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We believe that the assumptions and estimates associated with revenue recognition, depreciation, stock-based compensation, accounts receivable, the valuation of goodwill and intangible assets, income taxes and legal contingencies have the greatest potential impact on our consolidated financial statements. We evaluate these estimates on an ongoing basis. Actual results could differ from those estimates under different assumptions or conditions, and any differences could be material. The significant accounting policies which we believe are the most critical to aid in fully understanding and evaluating the reported consolidated financial results include the following: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39"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The majority of our revenue is generated from monthly service revenues, which is inclusive of our platform usage pricing model, and related professional services from the sale of our services. Revenues are recognized when control of these services is transferred to our customers, in an amount that reflects the consideration we expect to be entitled to in exchange for those services. A large proportion of our revenue from new customers comes from large corporations. These companies typically have more significant implementation requirements and more stringent data security standards. Such customers also have more sophisticated data analysis and performance reporting requirements, and are likely to engage our professional services organization to provide such analysis and reporting on a recurring basis.</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108" w:lineRule="exact"/>
        <w:rPr>
          <w:sz w:val="20"/>
          <w:szCs w:val="20"/>
          <w:color w:val="auto"/>
        </w:rPr>
      </w:pPr>
    </w:p>
    <w:p>
      <w:pPr>
        <w:ind w:left="1100" w:hanging="30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 and</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Total revenue of $118.3 million and $94.8 million was recognized for the three months ended September 30, 2021 and 2020, respectively, and $345.8 million and $264.5 million during the nine months ended September 30, 2021 and 2020, respectively.</w:t>
      </w:r>
    </w:p>
    <w:p>
      <w:pPr>
        <w:spacing w:after="0" w:line="208"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We defer all incremental commission costs to obtain the contract (contract acquisition costs). The contract acquisition costs consist of prepaid sales commissions and have balances as of September 30, 2021 and December 31, 2020 of $43.7 million and $41.0 million, respectively. We amortize these costs over the related period of benefit using the expected life of the customer contract, which we determine to be three to five years, consistent with the transfer to the customer of the services to which the asset relates. We classify contract acquisition costs as long-term unless they have an original amortization period of one year or less.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 Business Revenue</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Hosted services - Business revenue is reported at the amount that reflects the ultimate consideration expected to be received and primarily consist of fees that provide customers access to the Conversational Cloud. We have determined such access represents a stand-ready service provided continually throughout the contract term. As such, control and satisfaction of this stand-ready performance obligation is deemed to occur over time. We recognize this revenue over time on a ratable basis over the contract term, beginning on the date that access to the Conversational Cloud platform is made available to the customer. The passage of time is deemed to be the most faithful depiction of the transfer of control of the services as the customer simultaneously receives and consumes the benefit provided by our performance. Subscription contracts are generally one year or longer in length, billed monthly, quarterly or annually in advance. Additionally, for certain of our larger</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3" w:name="page44"/>
    <w:bookmarkEnd w:id="43"/>
    <w:p>
      <w:pPr>
        <w:jc w:val="both"/>
        <w:spacing w:after="0" w:line="249" w:lineRule="auto"/>
        <w:rPr>
          <w:sz w:val="20"/>
          <w:szCs w:val="20"/>
          <w:color w:val="auto"/>
        </w:rPr>
      </w:pPr>
      <w:r>
        <w:rPr>
          <w:rFonts w:ascii="Arial" w:cs="Arial" w:eastAsia="Arial" w:hAnsi="Arial"/>
          <w:sz w:val="18"/>
          <w:szCs w:val="18"/>
          <w:color w:val="auto"/>
        </w:rPr>
        <w:t>customers, we may provide call center labor through an arrangement with one or more of several qualified vendors. For most of these customers, we pass the fee we incur with the labor provider and its fee for the hosted services through to our customers in the form of a fixed fee for each order placed via our online engagement solutions. For these Gainshare arrangements, we act as a principal in a transaction if we control the specified goods or services before they are transferred to the customer.</w:t>
      </w:r>
    </w:p>
    <w:p>
      <w:pPr>
        <w:spacing w:after="0" w:line="218" w:lineRule="exact"/>
        <w:rPr>
          <w:sz w:val="20"/>
          <w:szCs w:val="20"/>
          <w:color w:val="auto"/>
        </w:rPr>
      </w:pPr>
    </w:p>
    <w:p>
      <w:pPr>
        <w:ind w:firstLine="420"/>
        <w:spacing w:after="0" w:line="260" w:lineRule="auto"/>
        <w:rPr>
          <w:sz w:val="20"/>
          <w:szCs w:val="20"/>
          <w:color w:val="auto"/>
        </w:rPr>
      </w:pPr>
      <w:r>
        <w:rPr>
          <w:rFonts w:ascii="Arial" w:cs="Arial" w:eastAsia="Arial" w:hAnsi="Arial"/>
          <w:sz w:val="18"/>
          <w:szCs w:val="18"/>
          <w:color w:val="auto"/>
        </w:rPr>
        <w:t>Revenue attributable to our monthly hosted Business services accounted for 79% and 78% of total revenue for the three months ended September 30, 2021 and 2020, respectively and 79% for each of the nine months ended September 30, 2021 and 2020.</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Professional Services Revenues</w:t>
      </w:r>
    </w:p>
    <w:p>
      <w:pPr>
        <w:spacing w:after="0" w:line="239"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Professional Services Revenues primarily consists of fees for deployment and optimization services, as well as training delivered on an on-demand basis which is deemed to represent a distinct stand-ready performance obligation. Professional Services Revenues are reported at the amount that reflects the ultimate consideration we expect to receive in exchange for such services. Control for the majority of our Professional Services contracts passes over time to the customer and is recognized ratably over the contracted period, as the passage of time is deemed to be the most faithful depiction of the transfer of control. For certain deployment services, which are not deemed to represent a distinct performance obligation, revenue will be recognized in the same manner as the fee for access to the Conversational Cloud platform, and as such will be recognized on a straight-line basis over the contract term. For services billed on a fixed price basis, revenue is recognized over time based on the proportion performed using time and materials as the measure of progress toward complete satisfaction of the performance obligation. Professional service contracts are generally one year or longer in length, billed monthly, quarterly or annually in advance. There is no significant variable consideration related to these arrangements.</w:t>
      </w:r>
    </w:p>
    <w:p>
      <w:pPr>
        <w:spacing w:after="0" w:line="19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attributable to professional services accounted for 13% of total revenue for each of the three and nine months ended September 30, 2021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Hosted Services - Consumer Revenue</w:t>
      </w:r>
    </w:p>
    <w:p>
      <w:pPr>
        <w:spacing w:after="0" w:line="239"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For revenue from our Consumer segment generated from online transactions between Experts and Users, revenue is recognized at an amount net of Expert fees primarily because the Expert is the primary obligor. We do not act as a principal in a transaction since we do not control the specified goods or services before they are transferred to the customer. Additionally, we perform as an agent without any risk of loss for collection, and we are not involved in selecting the Expert or establishing the Expert’s fee. We collect a fee from the consumer and retain a portion of the fee, and then remit the balance to the Expert. Revenue from these transactions is recognized at the point in time when the transaction is complete and no significant performance obligations remain.</w:t>
      </w:r>
    </w:p>
    <w:p>
      <w:pPr>
        <w:spacing w:after="0" w:line="19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Revenue from our Consumer segment accounted for 8% of total revenue for each of the three and nine months ended September 30, 2021 and 2020.</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As of September 30, 2021, the aggregate amount of the total transaction price allocated in contracts with original duration of greater than one year to the remaining performance obligations was $370.3 million. Approximately 92% of our remaining performance obligations is expected to be recognized during the next 24 months, with the balance recognized thereafter. The aggregate balance of unsatisfied performance obligations represents contracted revenue that has not yet been recognized, and does not include contract amounts that are cancellable by the customer, amounts associated with optional renewal periods, and any amounts related to performance obligations, which are billed and recognized as they are delivered. We have elected the optional exemption, which allows for the exclusion of the amounts for remaining performance obligations that are part of contracts with an original expected duration of one year or less. Such remaining performance obligations represent unsatisfied or partially unsatisfied performance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Contracts with Multiple Performance Obligations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We determine the standalone selling prices based on our overall pricing</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4" w:name="page45"/>
    <w:bookmarkEnd w:id="44"/>
    <w:p>
      <w:pPr>
        <w:jc w:val="both"/>
        <w:spacing w:after="0" w:line="260" w:lineRule="auto"/>
        <w:rPr>
          <w:sz w:val="20"/>
          <w:szCs w:val="20"/>
          <w:color w:val="auto"/>
        </w:rPr>
      </w:pPr>
      <w:r>
        <w:rPr>
          <w:rFonts w:ascii="Arial" w:cs="Arial" w:eastAsia="Arial" w:hAnsi="Arial"/>
          <w:sz w:val="18"/>
          <w:szCs w:val="18"/>
          <w:color w:val="auto"/>
        </w:rPr>
        <w:t>objectives, taking into consideration market conditions and other factors, including the value of our contracts, the cloud applications sold, and the number and types of users within our contracts.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Revenues</w:t>
      </w:r>
    </w:p>
    <w:p>
      <w:pPr>
        <w:spacing w:after="0" w:line="239"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We record deferred revenues when cash payments are received or due in advance of our performance. The increase of $13.8 million in deferred revenue balance for the three months ended September 30, 2021 from the deferred revenue balance of $89.3 million for the year ended December 31, 2020 is primarily driven by cash payments received or due in advance of our performance obligations, partially offset by $70.5 million revenues recognized that were included in the deferred revenue balance as of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39"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follow ASC 718-10, “Stock Compensation,” which addresses the accounting for transactions in which an entity exchanges its equity instruments for goods or services, with a primary focus on transactions in which an entity obtains employee services in share-based payment transactions. ASC 718-10 requires measurement of the cost of employee services received in exchange for an award of equity instruments based on the grant-date fair value of the award with limited exceptions. Incremental compensation costs arising from subsequent modifications of awards after the grant date must be recognized.</w:t>
      </w:r>
    </w:p>
    <w:p>
      <w:pPr>
        <w:spacing w:after="0" w:line="187"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forfeiture rate assumptions, which estimate the share-based awards that will ultimately vest, requires judgment, and to the extent actual results or updated estimates differ from our current estimates, such amounts will be recorded as a cumulative adjustment in the period of change and could be materially different from share-based compensation expense recorded in prior periods.</w:t>
      </w:r>
    </w:p>
    <w:p>
      <w:pPr>
        <w:spacing w:after="0" w:line="214"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For the three months ended September 30, 2021 and 2020, we accrued approximately $5.1 million and $6.8 million in cash awards, respectively, and for the nine months ended September 30, 2021 and 2020, we accrued approximately $15.5 million and $18.4 million in cash awards, respectively, to be settled in shares of our stock and recorded a corresponding expense, which is included as a component of stock-based compensation expense in the accompanying condensed consolidated financial statements for the three and nine months ended September 30, 2021 and 2020, respectively.</w:t>
      </w:r>
    </w:p>
    <w:p>
      <w:pPr>
        <w:spacing w:after="0" w:line="187"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As of September 30, 2021, there was approximately $28.9 million of total unrecognized compensation cost related to nonvested share-based compensation arrangements. That cost is expected to be recognized over a weighted average period of approximately 2.9 years.</w:t>
      </w:r>
    </w:p>
    <w:p>
      <w:pPr>
        <w:spacing w:after="0" w:line="20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As of September 30, 2021, there was approximately $113.0 million of total unrecognized compensation cost related to nonvested restricted stock units.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That cost is expected to be recognized over the remaining weighted average period of approximately 3.1 years.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39"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We perform ongoing credit evaluations of our customers’ financial condition (except for customers who purchase the LivePerson services by credit card via Internet download) and have established an allowance for doubtful accounts based upon factors surrounding the credit risk of customers, historical trends and other information that we believe to be reasonable, although they may change in the future. If there is a deterioration of a customer’s credit worthiness or actual write-offs are higher than our historical experience, our estimates of recoverability for these receivables could be adversely affected. Although our large number of customers limits our concentration of credit risk, if we experience a significant write-off from one of our large customers, it could have a material adverse impact on our consolidated financial statements. No single customer accounted for or exceeded 10% of our total revenue in the three months ended September 30, 2021 and 2020. No single customer accounted for or exceeded 10% of our total accounts receivable as of September 30, 2021. No customer accounted for or exceeded 10% of our total accounts receivable in 2020. During the nine months ended September 30, 2021, we increased our allowance for doubtful accounts from $5.3 million as of December 31, 2020 to approximately $5.6 million. A large proportion of receivables are due from larger corporate customers that typically have longer payment cycles. Accounts receivable is presented net of an allowance for doubtful accounts and sales reserve of $5.6 million and $2.7 million as of September 30, 2021, respectively, and $5.3 million and $3.4 million as of December 31, 2020, respectively.</w:t>
      </w:r>
    </w:p>
    <w:p>
      <w:pPr>
        <w:spacing w:after="0" w:line="203"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An allowance for doubtful accounts is established for losses expected to be incurred on accounts receivable balances. Judgment is required in the estimation of the allowance and we evaluate the collectability of our accounts receivable based on a</w:t>
      </w:r>
    </w:p>
    <w:p>
      <w:pPr>
        <w:spacing w:after="0" w:line="200" w:lineRule="exact"/>
        <w:rPr>
          <w:sz w:val="20"/>
          <w:szCs w:val="20"/>
          <w:color w:val="auto"/>
        </w:rPr>
      </w:pPr>
    </w:p>
    <w:p>
      <w:pPr>
        <w:spacing w:after="0" w:line="34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5" w:name="page46"/>
    <w:bookmarkEnd w:id="45"/>
    <w:p>
      <w:pPr>
        <w:jc w:val="both"/>
        <w:spacing w:after="0" w:line="286" w:lineRule="auto"/>
        <w:rPr>
          <w:sz w:val="20"/>
          <w:szCs w:val="20"/>
          <w:color w:val="auto"/>
        </w:rPr>
      </w:pPr>
      <w:r>
        <w:rPr>
          <w:rFonts w:ascii="Arial" w:cs="Arial" w:eastAsia="Arial" w:hAnsi="Arial"/>
          <w:sz w:val="16"/>
          <w:szCs w:val="16"/>
          <w:color w:val="auto"/>
        </w:rPr>
        <w:t>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Goodwill represents the excess of the aggregate purchase price over the fair value of net identifiable assets acquired in a business combination. In the nine months ended September 30, 2021, we added $45.1 million to goodwill with the acquisition of e-bot7. Goodwill is not amortized and is tested for impairment at least annually or whenever events or changes in circumstances indicate that the carrying value may not be recoverable. We have determined that the Company operates as two reporting units and have selected September 30 as the date to perform our annual impairment test. In the valuation of goodwill, management must make assumptions regarding estimated future cash flows to be derived from our business. If these estimates or their related assumptions change in the future, we may be required to record impairment for these assets.</w:t>
      </w:r>
    </w:p>
    <w:p>
      <w:pPr>
        <w:spacing w:after="0" w:line="19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We have the option to first perform a qualitative assessment to determine if it is more likely than not that the fair value of a reporting unit is less than its carrying amount. However, we may elect to bypass the qualitative assessment and proceed directly to the quantitative impairment tests. The impairment test involves comparing the fair value of the reporting unit to its carrying value, including goodwill. A goodwill impairment will be the amount by which a reporting unit’s carrying value exceeds its fair value. The impairment is limited to the carrying amount of goodwill.</w:t>
      </w:r>
    </w:p>
    <w:p>
      <w:pPr>
        <w:spacing w:after="0" w:line="18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 goodwill impairment charges have been recorded for any period presented.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The carrying amounts of our long-lived assets, including property and equipment, lease right-of-use assets, capitalized internal-use software, costs to obtain customer contracts, and acquired intangible assets, are reviewed for impairment whenever events or changes in circumstances indicate that the carrying value of these assets may not be recoverable or that the useful lives are shorter than originally estimated. Recoverability of assets to be held and used is measured by comparing the carrying amount of an asset to future undiscounted net cash flows the asset is expected to generate over its remaining life. If the asset is considered to be impaired, the amount of any impairment is measured as the difference between the carrying value and the fair value of the impaired asset. If the useful life is shorter than originally estimated, we amortize the remaining carrying value over the new shorter useful life.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39" w:lineRule="exact"/>
        <w:rPr>
          <w:sz w:val="20"/>
          <w:szCs w:val="20"/>
          <w:color w:val="auto"/>
        </w:rPr>
      </w:pPr>
    </w:p>
    <w:p>
      <w:pPr>
        <w:jc w:val="both"/>
        <w:ind w:firstLine="420"/>
        <w:spacing w:after="0" w:line="297" w:lineRule="auto"/>
        <w:rPr>
          <w:sz w:val="20"/>
          <w:szCs w:val="20"/>
          <w:color w:val="auto"/>
        </w:rPr>
      </w:pPr>
      <w:r>
        <w:rPr>
          <w:rFonts w:ascii="Arial" w:cs="Arial" w:eastAsia="Arial" w:hAnsi="Arial"/>
          <w:sz w:val="15"/>
          <w:szCs w:val="15"/>
          <w:color w:val="auto"/>
        </w:rPr>
        <w:t>Income taxes are accounted for under the asset and liability method. Under this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In assessing the realizability of deferred tax assets, management considers whether it is more likely than not that some portion or all of the deferred tax assets will be realized. The ultimate realization of deferred tax assets is dependent upon the generation of future taxable income during the periods in which those temporary differences are expected to become deductible. Management considers the scheduled reversal of deferred tax liabilities, projected future taxable income and tax planning strategies in making this assessment. We include interest accrued on the underpayment of income taxes in interest expense and penalties, if any, related to unrecognized tax benefits in general and administrative expenses. We recorded a valuation allowance against our U.S. deferred tax asset as we considered our cumulative loss in recent years as a significant piece of negative evidence. Since valuation allowances are evaluated on a jurisdiction by jurisdiction basis, we believe that the deferred tax assets related to LivePerson Australia, LivePerson UK, Kasamba Israel, LivePerson Japan and LivePerson Ltd. Israel are more likely than not to be realized as these jurisdictions have positive cumulative pre-tax book income after adjusting for permanent and one-time items. During the year ended December 31, 2020, there was an increase in the valuation recorded of $6.9 million. For the three months ended September 30, 2021, we recorded a tax provision of $2.5 million. This amount consists of a tax provision for the period of $2.7 million on operating earnings for the period offset by a tax benefit of $0.2 million related to stock compensation deductions for LivePerson UK and LivePerson Ltd. (Israel). For the nine months ended September 30, 2021, we recorded a tax provision of $2.3 million. This</w:t>
      </w:r>
    </w:p>
    <w:p>
      <w:pPr>
        <w:spacing w:after="0" w:line="200" w:lineRule="exact"/>
        <w:rPr>
          <w:sz w:val="20"/>
          <w:szCs w:val="20"/>
          <w:color w:val="auto"/>
        </w:rPr>
      </w:pPr>
    </w:p>
    <w:p>
      <w:pPr>
        <w:spacing w:after="0" w:line="327"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6" w:name="page47"/>
    <w:bookmarkEnd w:id="46"/>
    <w:p>
      <w:pPr>
        <w:jc w:val="both"/>
        <w:spacing w:after="0" w:line="252" w:lineRule="auto"/>
        <w:rPr>
          <w:sz w:val="20"/>
          <w:szCs w:val="20"/>
          <w:color w:val="auto"/>
        </w:rPr>
      </w:pPr>
      <w:r>
        <w:rPr>
          <w:rFonts w:ascii="Arial" w:cs="Arial" w:eastAsia="Arial" w:hAnsi="Arial"/>
          <w:sz w:val="18"/>
          <w:szCs w:val="18"/>
          <w:color w:val="auto"/>
        </w:rPr>
        <w:t>amount consists of a tax provision of $4.3 million on operating earnings offset by a tax benefit of $1.5 million for the release of a reserve of uncertain tax benefits recorded against deferred tax assets related to Israeli stock compensation deductions and a benefit of $0.5 million for excess tax benefits from stock compensation.</w:t>
      </w:r>
    </w:p>
    <w:p>
      <w:pPr>
        <w:spacing w:after="0" w:line="214"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A statutory rate change in the United Kingdom was enacted during the nine months ended September 30, 2021. Effective April 1, 2023, the tax rate will increase from 19% to 25%. During the period, we assessed the impact of the rate change and concluded it is immaterial to our deferred taxes.</w:t>
      </w:r>
    </w:p>
    <w:p>
      <w:pPr>
        <w:spacing w:after="0" w:line="161"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We had a valuation allowance on certain deferred tax assets for the years ended December 31, 2020 of $55.4 million. Inherent in our 2021 annual effective tax rate is an estimated increase in the valuation allowance of $31.2 million, all of which will be recorded as an expense. During 2020, an increase in the valuation allowance in the amount of $35.1 million was recorded as an expense and a decrease of $28.2 million related to convertible notes was charged to equity.</w:t>
      </w:r>
    </w:p>
    <w:p>
      <w:pPr>
        <w:spacing w:after="0" w:line="21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On March 27, 2020, the CARES Act was signed into law making several changes to the Internal Revenue Code. The changes include, but are not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increasing the limitation on the amount of deductible interest expense, allowing companies to carryback certain net operating losses, and increasing the</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amount of net operating loss carryforwards that corporations can use to offset taxable income. As a result of the CARES Act, we filed refund claims relating to</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prior years totaling $0.6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Contingencies</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We are subject to legal proceedings and litigation arising in the ordinary course of business. Periodically, we evaluate the status of each legal matter and assess our potential financial exposure. If the potential loss from any legal proceeding or litigation is considered probable and the amount can be reasonably estimated, we accrue a liability for the estimated loss. Significant judgment is required to determine the probability of a loss and whether the amount of the loss is reasonably estimable. The outcome of any proceeding is not determinable in advance. As a result, the assessment of a potential liability and the amount of accruals recorded are based only on the information available at the time. As additional information becomes available, we reassess the potential liability related to the legal proceeding or litigation, and may revise our estimates. Any revisions could have a material effect on our results of operations. See Note 15 – Legal Matters in the Notes to the Condensed Consolidated Financial Statements for additional information on our legal proceedings and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See Note 1 – Description of Business and Basis of Presentation in the Notes to the Condensed Consolidated Financial Statements for a full description of recently issued accounting standards.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See Note 1 – Description of Business and Basis of Presentation in the Notes to the Condensed Consolidated Financial Statements for a full description of recently adopted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and Expenses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cost of revenue consists of:</w:t>
      </w:r>
    </w:p>
    <w:p>
      <w:pPr>
        <w:spacing w:after="0" w:line="108" w:lineRule="exact"/>
        <w:rPr>
          <w:sz w:val="20"/>
          <w:szCs w:val="20"/>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employees who provide customer support and implementation services to our customers;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outside labor provider costs;</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costs relating to our network support staff;</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depreciation of certain hardware and software;</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allocated occupancy costs and related overhead;</w:t>
      </w:r>
    </w:p>
    <w:p>
      <w:pPr>
        <w:spacing w:after="0" w:line="108" w:lineRule="exact"/>
        <w:rPr>
          <w:rFonts w:ascii="Arial" w:cs="Arial" w:eastAsia="Arial" w:hAnsi="Arial"/>
          <w:sz w:val="18"/>
          <w:szCs w:val="18"/>
          <w:color w:val="auto"/>
        </w:rPr>
      </w:pPr>
    </w:p>
    <w:p>
      <w:pPr>
        <w:ind w:left="1100" w:hanging="307"/>
        <w:spacing w:after="0"/>
        <w:tabs>
          <w:tab w:leader="none" w:pos="11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supporting our infrastructure, including expenses related to server leases, infrastructure support costs and Internet connectivity;</w:t>
      </w:r>
    </w:p>
    <w:p>
      <w:pPr>
        <w:spacing w:after="0" w:line="131" w:lineRule="exact"/>
        <w:rPr>
          <w:rFonts w:ascii="Arial" w:cs="Arial" w:eastAsia="Arial" w:hAnsi="Arial"/>
          <w:sz w:val="16"/>
          <w:szCs w:val="16"/>
          <w:color w:val="auto"/>
        </w:rPr>
      </w:pPr>
    </w:p>
    <w:p>
      <w:pPr>
        <w:ind w:left="1100" w:hanging="307"/>
        <w:spacing w:after="0"/>
        <w:tabs>
          <w:tab w:leader="none" w:pos="11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credit card fees and related payment processing costs associated with consumer and self-service customers; and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7" w:name="page48"/>
    <w:bookmarkEnd w:id="47"/>
    <w:p>
      <w:pPr>
        <w:ind w:left="1100" w:hanging="307"/>
        <w:spacing w:after="0"/>
        <w:tabs>
          <w:tab w:leader="none" w:pos="11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amortization of certain intangibles.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sales and marketing expenses consist of compensation and related expenses for sales personnel and marketing personnel, online marketing, allocated occupancy costs and related overhead, advertising, marketing events, sales commissions, public relations, promotional materials, travel expenses and trade show exhibit expenses.</w:t>
      </w:r>
    </w:p>
    <w:p>
      <w:pPr>
        <w:spacing w:after="0" w:line="214"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general and administrative expenses consist primarily of compensation and related expenses for executive, accounting, legal, information technology and human resources personnel, allocated occupancy costs and related overhead, professional fees, provision for doubtful accounts and other general corporate expenses.</w:t>
      </w:r>
    </w:p>
    <w:p>
      <w:pPr>
        <w:spacing w:after="0" w:line="214"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Our product development expenses consist primarily of compensation and related expenses for product development personnel, allocated occupancy costs and related overhead, outsourced labor and expenses for testing new versions of our software. Product development expenses are charged to operations as incurred.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Non-Cash Compensation Expense</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non-cash compensation amounts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Arial" w:cs="Arial" w:eastAsia="Arial" w:hAnsi="Arial"/>
                <w:sz w:val="14"/>
                <w:szCs w:val="14"/>
                <w:b w:val="1"/>
                <w:bCs w:val="1"/>
                <w:color w:val="auto"/>
                <w:w w:val="90"/>
              </w:rPr>
              <w:t>Three Months Ended</w:t>
            </w:r>
          </w:p>
        </w:tc>
        <w:tc>
          <w:tcPr>
            <w:tcW w:w="480" w:type="dxa"/>
            <w:vAlign w:val="bottom"/>
          </w:tcPr>
          <w:p>
            <w:pPr>
              <w:spacing w:after="0"/>
              <w:rPr>
                <w:sz w:val="15"/>
                <w:szCs w:val="15"/>
                <w:color w:val="auto"/>
              </w:rPr>
            </w:pPr>
          </w:p>
        </w:tc>
        <w:tc>
          <w:tcPr>
            <w:tcW w:w="1620" w:type="dxa"/>
            <w:vAlign w:val="bottom"/>
            <w:gridSpan w:val="2"/>
          </w:tcPr>
          <w:p>
            <w:pPr>
              <w:jc w:val="center"/>
              <w:ind w:left="308"/>
              <w:spacing w:after="0"/>
              <w:rPr>
                <w:sz w:val="20"/>
                <w:szCs w:val="20"/>
                <w:color w:val="auto"/>
              </w:rPr>
            </w:pPr>
            <w:r>
              <w:rPr>
                <w:rFonts w:ascii="Arial" w:cs="Arial" w:eastAsia="Arial" w:hAnsi="Arial"/>
                <w:sz w:val="14"/>
                <w:szCs w:val="14"/>
                <w:b w:val="1"/>
                <w:bCs w:val="1"/>
                <w:color w:val="auto"/>
                <w:w w:val="91"/>
              </w:rPr>
              <w:t>Nine Months Ended</w:t>
            </w:r>
          </w:p>
        </w:tc>
        <w:tc>
          <w:tcPr>
            <w:tcW w:w="860" w:type="dxa"/>
            <w:vAlign w:val="bottom"/>
          </w:tcPr>
          <w:p>
            <w:pPr>
              <w:spacing w:after="0"/>
              <w:rPr>
                <w:sz w:val="15"/>
                <w:szCs w:val="15"/>
                <w:color w:val="auto"/>
              </w:rPr>
            </w:pPr>
          </w:p>
        </w:tc>
      </w:tr>
      <w:tr>
        <w:trPr>
          <w:trHeight w:val="189"/>
        </w:trPr>
        <w:tc>
          <w:tcPr>
            <w:tcW w:w="52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center"/>
              <w:ind w:left="548"/>
              <w:spacing w:after="0"/>
              <w:rPr>
                <w:sz w:val="20"/>
                <w:szCs w:val="20"/>
                <w:color w:val="auto"/>
              </w:rPr>
            </w:pPr>
            <w:r>
              <w:rPr>
                <w:rFonts w:ascii="Arial" w:cs="Arial" w:eastAsia="Arial" w:hAnsi="Arial"/>
                <w:sz w:val="14"/>
                <w:szCs w:val="14"/>
                <w:b w:val="1"/>
                <w:bCs w:val="1"/>
                <w:color w:val="auto"/>
                <w:w w:val="89"/>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jc w:val="center"/>
              <w:ind w:left="308"/>
              <w:spacing w:after="0"/>
              <w:rPr>
                <w:sz w:val="20"/>
                <w:szCs w:val="20"/>
                <w:color w:val="auto"/>
              </w:rPr>
            </w:pPr>
            <w:r>
              <w:rPr>
                <w:rFonts w:ascii="Arial" w:cs="Arial" w:eastAsia="Arial" w:hAnsi="Arial"/>
                <w:sz w:val="14"/>
                <w:szCs w:val="14"/>
                <w:b w:val="1"/>
                <w:bCs w:val="1"/>
                <w:color w:val="auto"/>
                <w:w w:val="87"/>
              </w:rPr>
              <w:t>September 30,</w:t>
            </w:r>
          </w:p>
        </w:tc>
        <w:tc>
          <w:tcPr>
            <w:tcW w:w="860" w:type="dxa"/>
            <w:vAlign w:val="bottom"/>
            <w:tcBorders>
              <w:bottom w:val="single" w:sz="8" w:color="auto"/>
            </w:tcBorders>
          </w:tcPr>
          <w:p>
            <w:pPr>
              <w:spacing w:after="0"/>
              <w:rPr>
                <w:sz w:val="16"/>
                <w:szCs w:val="16"/>
                <w:color w:val="auto"/>
              </w:rPr>
            </w:pPr>
          </w:p>
        </w:tc>
      </w:tr>
      <w:tr>
        <w:trPr>
          <w:trHeight w:val="182"/>
        </w:trPr>
        <w:tc>
          <w:tcPr>
            <w:tcW w:w="52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50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6"/>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5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18,269</w:t>
            </w:r>
          </w:p>
        </w:tc>
        <w:tc>
          <w:tcPr>
            <w:tcW w:w="56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7"/>
              <w:spacing w:after="0"/>
              <w:rPr>
                <w:sz w:val="20"/>
                <w:szCs w:val="20"/>
                <w:color w:val="auto"/>
              </w:rPr>
            </w:pPr>
            <w:r>
              <w:rPr>
                <w:rFonts w:ascii="Arial" w:cs="Arial" w:eastAsia="Arial" w:hAnsi="Arial"/>
                <w:sz w:val="16"/>
                <w:szCs w:val="16"/>
                <w:color w:val="auto"/>
              </w:rPr>
              <w:t>15,532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6"/>
                <w:szCs w:val="16"/>
                <w:color w:val="auto"/>
              </w:rPr>
              <w:t>47,967</w:t>
            </w:r>
          </w:p>
        </w:tc>
        <w:tc>
          <w:tcPr>
            <w:tcW w:w="640" w:type="dxa"/>
            <w:vAlign w:val="bottom"/>
            <w:shd w:val="clear" w:color="auto" w:fill="CCEEFF"/>
          </w:tcPr>
          <w:p>
            <w:pPr>
              <w:jc w:val="right"/>
              <w:ind w:right="401"/>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46,171</w:t>
            </w:r>
          </w:p>
        </w:tc>
      </w:tr>
    </w:tbl>
    <w:p>
      <w:pPr>
        <w:spacing w:after="0" w:line="310"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Results of Operations</w:t>
      </w:r>
    </w:p>
    <w:p>
      <w:pPr>
        <w:spacing w:after="0" w:line="24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We are organized into two operating segments for purposes of making operating decisions and assessing performance. The Business segment enables brands to leverage the Conversational Cloud’s sophisticated intelligence engine to connect with consumers through an integrated suite of mobile and online business messaging technologies. The Consumer segment facilitates online transactions between Experts and Users seeking information and knowledge for a fee via mobile and online messaging.</w:t>
      </w:r>
    </w:p>
    <w:p>
      <w:pPr>
        <w:spacing w:after="0" w:line="212"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Comparison of the Three and Nine Months Ended September 30, 2021 and September 30, 2020</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our revenues for those periods. The period-to-period comparison of financial results is not necessarily indicative of future results.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Nine Months Ended</w:t>
            </w:r>
          </w:p>
        </w:tc>
        <w:tc>
          <w:tcPr>
            <w:tcW w:w="1300" w:type="dxa"/>
            <w:vAlign w:val="bottom"/>
          </w:tcPr>
          <w:p>
            <w:pPr>
              <w:spacing w:after="0"/>
              <w:rPr>
                <w:sz w:val="15"/>
                <w:szCs w:val="15"/>
                <w:color w:val="auto"/>
              </w:rPr>
            </w:pPr>
          </w:p>
        </w:tc>
      </w:tr>
      <w:tr>
        <w:trPr>
          <w:trHeight w:val="189"/>
        </w:trPr>
        <w:tc>
          <w:tcPr>
            <w:tcW w:w="2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September 30,</w:t>
            </w:r>
          </w:p>
        </w:tc>
        <w:tc>
          <w:tcPr>
            <w:tcW w:w="1300" w:type="dxa"/>
            <w:vAlign w:val="bottom"/>
            <w:tcBorders>
              <w:bottom w:val="single" w:sz="8" w:color="auto"/>
            </w:tcBorders>
          </w:tcPr>
          <w:p>
            <w:pPr>
              <w:spacing w:after="0"/>
              <w:rPr>
                <w:sz w:val="16"/>
                <w:szCs w:val="16"/>
                <w:color w:val="auto"/>
              </w:rPr>
            </w:pPr>
          </w:p>
        </w:tc>
      </w:tr>
      <w:tr>
        <w:trPr>
          <w:trHeight w:val="182"/>
        </w:trPr>
        <w:tc>
          <w:tcPr>
            <w:tcW w:w="27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0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60" w:type="dxa"/>
            <w:vAlign w:val="bottom"/>
            <w:gridSpan w:val="5"/>
          </w:tcPr>
          <w:p>
            <w:pPr>
              <w:ind w:left="70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Segment: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7"/>
        </w:trPr>
        <w:tc>
          <w:tcPr>
            <w:tcW w:w="2700" w:type="dxa"/>
            <w:vAlign w:val="bottom"/>
          </w:tcPr>
          <w:p>
            <w:pPr>
              <w:ind w:left="220"/>
              <w:spacing w:after="0"/>
              <w:rPr>
                <w:sz w:val="20"/>
                <w:szCs w:val="20"/>
                <w:color w:val="auto"/>
              </w:rPr>
            </w:pPr>
            <w:r>
              <w:rPr>
                <w:rFonts w:ascii="Arial" w:cs="Arial" w:eastAsia="Arial" w:hAnsi="Arial"/>
                <w:sz w:val="16"/>
                <w:szCs w:val="16"/>
                <w:color w:val="auto"/>
              </w:rPr>
              <w:t>Business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109,204</w:t>
            </w:r>
          </w:p>
        </w:tc>
        <w:tc>
          <w:tcPr>
            <w:tcW w:w="10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86,923</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7"/>
                <w:szCs w:val="17"/>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317,879</w:t>
            </w:r>
          </w:p>
        </w:tc>
        <w:tc>
          <w:tcPr>
            <w:tcW w:w="12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242,788</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2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Consumer</w:t>
            </w: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9,123</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7,881</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27,944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21,707</w:t>
            </w:r>
          </w:p>
        </w:tc>
        <w:tc>
          <w:tcPr>
            <w:tcW w:w="12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29 %</w:t>
            </w:r>
          </w:p>
        </w:tc>
      </w:tr>
      <w:tr>
        <w:trPr>
          <w:trHeight w:val="206"/>
        </w:trPr>
        <w:tc>
          <w:tcPr>
            <w:tcW w:w="2700" w:type="dxa"/>
            <w:vAlign w:val="bottom"/>
          </w:tcPr>
          <w:p>
            <w:pPr>
              <w:ind w:left="340"/>
              <w:spacing w:after="0"/>
              <w:rPr>
                <w:sz w:val="20"/>
                <w:szCs w:val="20"/>
                <w:color w:val="auto"/>
              </w:rPr>
            </w:pPr>
            <w:r>
              <w:rPr>
                <w:rFonts w:ascii="Arial" w:cs="Arial" w:eastAsia="Arial" w:hAnsi="Arial"/>
                <w:sz w:val="16"/>
                <w:szCs w:val="16"/>
                <w:color w:val="auto"/>
              </w:rPr>
              <w:t>Total</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118,327</w:t>
            </w:r>
          </w:p>
        </w:tc>
        <w:tc>
          <w:tcPr>
            <w:tcW w:w="100" w:type="dxa"/>
            <w:vAlign w:val="bottom"/>
          </w:tcPr>
          <w:p>
            <w:pPr>
              <w:spacing w:after="0"/>
              <w:rPr>
                <w:sz w:val="17"/>
                <w:szCs w:val="17"/>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94,804</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25 %</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345,823</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264,495</w:t>
            </w:r>
          </w:p>
        </w:tc>
        <w:tc>
          <w:tcPr>
            <w:tcW w:w="120" w:type="dxa"/>
            <w:vAlign w:val="bottom"/>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31 %</w:t>
            </w:r>
          </w:p>
        </w:tc>
      </w:tr>
      <w:tr>
        <w:trPr>
          <w:trHeight w:val="20"/>
        </w:trPr>
        <w:tc>
          <w:tcPr>
            <w:tcW w:w="27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222222"/>
        </w:rPr>
        <w:t xml:space="preserve">Business revenue increased by 26% to $109.2 million and by 31% to $317.9 million in the </w:t>
      </w:r>
      <w:r>
        <w:rPr>
          <w:rFonts w:ascii="Arial" w:cs="Arial" w:eastAsia="Arial" w:hAnsi="Arial"/>
          <w:sz w:val="18"/>
          <w:szCs w:val="18"/>
          <w:color w:val="000000"/>
        </w:rPr>
        <w:t>three and nine months ended September 30, 2021, respectively,</w:t>
      </w:r>
      <w:r>
        <w:rPr>
          <w:rFonts w:ascii="Arial" w:cs="Arial" w:eastAsia="Arial" w:hAnsi="Arial"/>
          <w:sz w:val="18"/>
          <w:szCs w:val="18"/>
          <w:color w:val="222222"/>
        </w:rPr>
        <w:t xml:space="preserve"> from $86.9 million and $242.8 million, respectively, in the comparable periods in 2020. The increase in Business revenue is driven primarily by increases in hosted services of $18.8 million and $64.1 million during the </w:t>
      </w:r>
      <w:r>
        <w:rPr>
          <w:rFonts w:ascii="Arial" w:cs="Arial" w:eastAsia="Arial" w:hAnsi="Arial"/>
          <w:sz w:val="18"/>
          <w:szCs w:val="18"/>
          <w:color w:val="000000"/>
        </w:rPr>
        <w:t>three and nine months</w:t>
      </w:r>
      <w:r>
        <w:rPr>
          <w:rFonts w:ascii="Arial" w:cs="Arial" w:eastAsia="Arial" w:hAnsi="Arial"/>
          <w:sz w:val="18"/>
          <w:szCs w:val="18"/>
          <w:color w:val="222222"/>
        </w:rPr>
        <w:t xml:space="preserve"> ended </w:t>
      </w:r>
      <w:r>
        <w:rPr>
          <w:rFonts w:ascii="Arial" w:cs="Arial" w:eastAsia="Arial" w:hAnsi="Arial"/>
          <w:sz w:val="18"/>
          <w:szCs w:val="18"/>
          <w:color w:val="000000"/>
        </w:rPr>
        <w:t>September 30, 2021</w:t>
      </w:r>
      <w:r>
        <w:rPr>
          <w:rFonts w:ascii="Arial" w:cs="Arial" w:eastAsia="Arial" w:hAnsi="Arial"/>
          <w:sz w:val="18"/>
          <w:szCs w:val="18"/>
          <w:color w:val="222222"/>
        </w:rPr>
        <w:t xml:space="preserve">, respectively, and increases in professional services of $3.4 million and $11.0 million during the </w:t>
      </w:r>
      <w:r>
        <w:rPr>
          <w:rFonts w:ascii="Arial" w:cs="Arial" w:eastAsia="Arial" w:hAnsi="Arial"/>
          <w:sz w:val="18"/>
          <w:szCs w:val="18"/>
          <w:color w:val="000000"/>
        </w:rPr>
        <w:t>three and nine</w:t>
      </w:r>
      <w:r>
        <w:rPr>
          <w:rFonts w:ascii="Arial" w:cs="Arial" w:eastAsia="Arial" w:hAnsi="Arial"/>
          <w:sz w:val="18"/>
          <w:szCs w:val="18"/>
          <w:color w:val="222222"/>
        </w:rPr>
        <w:t xml:space="preserve"> months ended </w:t>
      </w:r>
      <w:r>
        <w:rPr>
          <w:rFonts w:ascii="Arial" w:cs="Arial" w:eastAsia="Arial" w:hAnsi="Arial"/>
          <w:sz w:val="18"/>
          <w:szCs w:val="18"/>
          <w:color w:val="000000"/>
        </w:rPr>
        <w:t>September 30, 2021</w:t>
      </w:r>
      <w:r>
        <w:rPr>
          <w:rFonts w:ascii="Arial" w:cs="Arial" w:eastAsia="Arial" w:hAnsi="Arial"/>
          <w:sz w:val="18"/>
          <w:szCs w:val="18"/>
          <w:color w:val="222222"/>
        </w:rPr>
        <w:t xml:space="preserve">, respectively. Included in hosted services is an increase in revenue that is variable based on interaction and usage of approximately $12.9 million and $35.5 million during the </w:t>
      </w:r>
      <w:r>
        <w:rPr>
          <w:rFonts w:ascii="Arial" w:cs="Arial" w:eastAsia="Arial" w:hAnsi="Arial"/>
          <w:sz w:val="18"/>
          <w:szCs w:val="18"/>
          <w:color w:val="000000"/>
        </w:rPr>
        <w:t>three and nine months ended</w:t>
      </w:r>
      <w:r>
        <w:rPr>
          <w:rFonts w:ascii="Arial" w:cs="Arial" w:eastAsia="Arial" w:hAnsi="Arial"/>
          <w:sz w:val="18"/>
          <w:szCs w:val="18"/>
          <w:color w:val="222222"/>
        </w:rPr>
        <w:t xml:space="preserve"> </w:t>
      </w:r>
      <w:r>
        <w:rPr>
          <w:rFonts w:ascii="Arial" w:cs="Arial" w:eastAsia="Arial" w:hAnsi="Arial"/>
          <w:sz w:val="18"/>
          <w:szCs w:val="18"/>
          <w:color w:val="000000"/>
        </w:rPr>
        <w:t>September 30, 2021, respectively</w:t>
      </w:r>
      <w:r>
        <w:rPr>
          <w:rFonts w:ascii="Arial" w:cs="Arial" w:eastAsia="Arial" w:hAnsi="Arial"/>
          <w:sz w:val="18"/>
          <w:szCs w:val="18"/>
          <w:color w:val="222222"/>
        </w:rPr>
        <w: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8" w:name="page49"/>
    <w:bookmarkEnd w:id="48"/>
    <w:p>
      <w:pPr>
        <w:jc w:val="both"/>
        <w:ind w:firstLine="420"/>
        <w:spacing w:after="0" w:line="280" w:lineRule="auto"/>
        <w:rPr>
          <w:sz w:val="20"/>
          <w:szCs w:val="20"/>
          <w:color w:val="auto"/>
        </w:rPr>
      </w:pPr>
      <w:r>
        <w:rPr>
          <w:rFonts w:ascii="Arial" w:cs="Arial" w:eastAsia="Arial" w:hAnsi="Arial"/>
          <w:sz w:val="16"/>
          <w:szCs w:val="16"/>
          <w:color w:val="222222"/>
        </w:rPr>
        <w:t xml:space="preserve">The increase in Business revenue was driven in nearly equal parts by existing and new customers as LivePerson generated greater demand for its Conversational Commerce software and </w:t>
      </w:r>
      <w:r>
        <w:rPr>
          <w:rFonts w:ascii="Arial" w:cs="Arial" w:eastAsia="Arial" w:hAnsi="Arial"/>
          <w:sz w:val="16"/>
          <w:szCs w:val="16"/>
          <w:color w:val="000000"/>
        </w:rPr>
        <w:t>Gainshare</w:t>
      </w:r>
      <w:r>
        <w:rPr>
          <w:rFonts w:ascii="Arial" w:cs="Arial" w:eastAsia="Arial" w:hAnsi="Arial"/>
          <w:sz w:val="16"/>
          <w:szCs w:val="16"/>
          <w:color w:val="222222"/>
        </w:rPr>
        <w:t xml:space="preserve"> solutions. In the wake of the COVID-19 pandemic, leading brands are turning to LivePerson</w:t>
      </w:r>
      <w:r>
        <w:rPr>
          <w:rFonts w:ascii="Arial" w:cs="Arial" w:eastAsia="Arial" w:hAnsi="Arial"/>
          <w:sz w:val="16"/>
          <w:szCs w:val="16"/>
          <w:color w:val="000000"/>
        </w:rPr>
        <w:t>’</w:t>
      </w:r>
      <w:r>
        <w:rPr>
          <w:rFonts w:ascii="Arial" w:cs="Arial" w:eastAsia="Arial" w:hAnsi="Arial"/>
          <w:sz w:val="16"/>
          <w:szCs w:val="16"/>
          <w:color w:val="222222"/>
        </w:rPr>
        <w:t>s AI-powered messaging to overcome a capacity gap created by voice call agent work-from-home measures and increased demand for digital engagement as consumers practice social distancing. LivePerson is powering Conversational AI, automation and messaging strategies across a growing number of use cases from care and sales, to marketing, social, conversational advertising and brick and mortar. As adoption increases, we are seeing higher revenue per customer. Our average annual revenue per enterprise and mid-market customer increased approximately 34% year-over-year to $570,000 in the trailing twelve months ended September 30, 2021, as compared to $425,000 for the trailing twelve months ended September 30, 2020. Similarly, we are seeing strong revenue retention rates. Revenue retention for our enterprise and mid-market customers on Conversational Cloud was within our target range of 105% to 115% in the third quarter of 2021 and exceeded our target range in the third quarter of 2020.</w:t>
      </w:r>
    </w:p>
    <w:p>
      <w:pPr>
        <w:spacing w:after="0" w:line="195"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Consumer revenue increased by 16% to $9.1 million and by 29% to $27.9 million in the three and nine months ended September 30, 2021, respectively, from $7.9 million and $21.7 million in the comparable periods in 2020. This improvement was driven by an increasingly effective user value and higher demand by consumers to engage with experts and advisors through conversational messaging channels.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Business</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Cost of revenue - business consists of compensation costs relating to employees who provide customer service to our customers, compensation costs relating to our network support staff, outside labor provider costs, the cost of supporting our server and network infrastructure, and allocated occupancy costs and related overhead.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80" w:type="dxa"/>
            <w:vAlign w:val="bottom"/>
          </w:tcPr>
          <w:p>
            <w:pPr>
              <w:jc w:val="right"/>
              <w:ind w:right="286"/>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5"/>
                <w:szCs w:val="15"/>
                <w:color w:val="auto"/>
              </w:rPr>
            </w:pPr>
          </w:p>
        </w:tc>
      </w:tr>
      <w:tr>
        <w:trPr>
          <w:trHeight w:val="189"/>
        </w:trPr>
        <w:tc>
          <w:tcPr>
            <w:tcW w:w="25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r>
      <w:tr>
        <w:trPr>
          <w:trHeight w:val="182"/>
        </w:trPr>
        <w:tc>
          <w:tcPr>
            <w:tcW w:w="25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740" w:type="dxa"/>
            <w:vAlign w:val="bottom"/>
            <w:gridSpan w:val="4"/>
          </w:tcPr>
          <w:p>
            <w:pPr>
              <w:jc w:val="right"/>
              <w:ind w:right="78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1"/>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business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37,057</w:t>
            </w:r>
          </w:p>
        </w:tc>
        <w:tc>
          <w:tcPr>
            <w:tcW w:w="168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25,862</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43 %  $</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106,932</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73,291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r>
      <w:tr>
        <w:trPr>
          <w:trHeight w:val="207"/>
        </w:trPr>
        <w:tc>
          <w:tcPr>
            <w:tcW w:w="25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31 %</w:t>
            </w:r>
          </w:p>
        </w:tc>
        <w:tc>
          <w:tcPr>
            <w:tcW w:w="1680" w:type="dxa"/>
            <w:vAlign w:val="bottom"/>
          </w:tcPr>
          <w:p>
            <w:pPr>
              <w:jc w:val="right"/>
              <w:ind w:right="146"/>
              <w:spacing w:after="0"/>
              <w:rPr>
                <w:sz w:val="20"/>
                <w:szCs w:val="20"/>
                <w:color w:val="auto"/>
              </w:rPr>
            </w:pPr>
            <w:r>
              <w:rPr>
                <w:rFonts w:ascii="Arial" w:cs="Arial" w:eastAsia="Arial" w:hAnsi="Arial"/>
                <w:sz w:val="16"/>
                <w:szCs w:val="16"/>
                <w:color w:val="auto"/>
              </w:rPr>
              <w:t>27 %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31 %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28 %</w:t>
            </w:r>
          </w:p>
        </w:tc>
        <w:tc>
          <w:tcPr>
            <w:tcW w:w="1160" w:type="dxa"/>
            <w:vAlign w:val="bottom"/>
          </w:tcPr>
          <w:p>
            <w:pPr>
              <w:spacing w:after="0"/>
              <w:rPr>
                <w:sz w:val="17"/>
                <w:szCs w:val="17"/>
                <w:color w:val="auto"/>
              </w:rPr>
            </w:pPr>
          </w:p>
        </w:tc>
      </w:tr>
      <w:tr>
        <w:trPr>
          <w:trHeight w:val="213"/>
        </w:trPr>
        <w:tc>
          <w:tcPr>
            <w:tcW w:w="2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241</w:t>
            </w:r>
          </w:p>
        </w:tc>
        <w:tc>
          <w:tcPr>
            <w:tcW w:w="168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234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241</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234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bl>
    <w:p>
      <w:pPr>
        <w:spacing w:after="0" w:line="316"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Cost of revenue - business increased by 43% to $37.1 million in the three months ended September 30, 2021 from $25.9 million in the comparable period in 2020. This increase in expense is primarily attributable to business services and outsourced subcontracted labor of approximately $7.7 million driven by Health and Gainshare services, which power Conversational Commerce programs on behalf of customers. We also recognized an increase in expenses for backup server facilities of approximately $2.8 million and in amortization expense of approximately $1.1 million.</w:t>
      </w:r>
    </w:p>
    <w:p>
      <w:pPr>
        <w:spacing w:after="0" w:line="187"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Cost of revenue - business increased by 46% to $106.9 million in the nine months ended September 30, 2021 from $73.3 million in the comparable period in 2020. This increase in expense is primarily attributable to business services and outsourced subcontracted labor of approximately 24.1 million driven by Health and Gainshare services, which power Conversational Commerce programs on behalf of customers, an increase in expenses for backup server facilities of approximately $6.6 million, and in amortization expense of approximately $2.8 million.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Cost of Revenue - Consumer</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Cost of revenue - consumer consists of compensation costs relating to employees who provide customer service to Experts and Users, compensation costs relating to our network support staff, the cost of supporting our server and network infrastructure, credit card and transaction processing fees and related costs, and allocated occupancy costs and related overhead.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5"/>
                <w:szCs w:val="15"/>
                <w:color w:val="auto"/>
              </w:rPr>
            </w:pPr>
          </w:p>
        </w:tc>
      </w:tr>
      <w:tr>
        <w:trPr>
          <w:trHeight w:val="189"/>
        </w:trPr>
        <w:tc>
          <w:tcPr>
            <w:tcW w:w="2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r>
      <w:tr>
        <w:trPr>
          <w:trHeight w:val="182"/>
        </w:trPr>
        <w:tc>
          <w:tcPr>
            <w:tcW w:w="25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2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 - consumer</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4"/>
              </w:rPr>
              <w:t>1,738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1,830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  $</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5,445</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4,927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7"/>
                <w:szCs w:val="17"/>
                <w:color w:val="auto"/>
              </w:rPr>
            </w:pPr>
          </w:p>
        </w:tc>
        <w:tc>
          <w:tcPr>
            <w:tcW w:w="1460" w:type="dxa"/>
            <w:vAlign w:val="bottom"/>
          </w:tcPr>
          <w:p>
            <w:pPr>
              <w:jc w:val="right"/>
              <w:ind w:right="145"/>
              <w:spacing w:after="0"/>
              <w:rPr>
                <w:sz w:val="20"/>
                <w:szCs w:val="20"/>
                <w:color w:val="auto"/>
              </w:rPr>
            </w:pPr>
            <w:r>
              <w:rPr>
                <w:rFonts w:ascii="Arial" w:cs="Arial" w:eastAsia="Arial" w:hAnsi="Arial"/>
                <w:sz w:val="16"/>
                <w:szCs w:val="16"/>
                <w:color w:val="auto"/>
              </w:rPr>
              <w:t>2 %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2 %</w:t>
            </w:r>
          </w:p>
        </w:tc>
        <w:tc>
          <w:tcPr>
            <w:tcW w:w="1160" w:type="dxa"/>
            <w:vAlign w:val="bottom"/>
          </w:tcPr>
          <w:p>
            <w:pPr>
              <w:spacing w:after="0"/>
              <w:rPr>
                <w:sz w:val="17"/>
                <w:szCs w:val="17"/>
                <w:color w:val="auto"/>
              </w:rPr>
            </w:pPr>
          </w:p>
        </w:tc>
      </w:tr>
      <w:tr>
        <w:trPr>
          <w:trHeight w:val="21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18</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bl>
    <w:p>
      <w:pPr>
        <w:spacing w:after="0" w:line="316"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Cost of revenue - consumer decreased by 5% to $1.7 million in the three months ended September 30, 2021 from $1.8 million in the comparable period in 2020. This decrease in expense is primarily related to a decrease in outsourced subcontracted labor and salary and employee related expenses, partially offset by an increase in credit card processing fees.</w:t>
      </w:r>
    </w:p>
    <w:p>
      <w:pPr>
        <w:spacing w:after="0" w:line="214" w:lineRule="exact"/>
        <w:rPr>
          <w:sz w:val="20"/>
          <w:szCs w:val="20"/>
          <w:color w:val="auto"/>
        </w:rPr>
      </w:pPr>
    </w:p>
    <w:p>
      <w:pPr>
        <w:ind w:firstLine="420"/>
        <w:spacing w:after="0" w:line="323" w:lineRule="auto"/>
        <w:rPr>
          <w:sz w:val="20"/>
          <w:szCs w:val="20"/>
          <w:color w:val="auto"/>
        </w:rPr>
      </w:pPr>
      <w:r>
        <w:rPr>
          <w:rFonts w:ascii="Arial" w:cs="Arial" w:eastAsia="Arial" w:hAnsi="Arial"/>
          <w:sz w:val="16"/>
          <w:szCs w:val="16"/>
          <w:color w:val="auto"/>
        </w:rPr>
        <w:t>Cost of revenue - consumer increased by 11% to $5.4 million in the nine months ended September 30, 2021 from $4.9 million in the comparable period in 2020. This increase in expense is primarily related to an increase in salary and employee related expenses and in credit card processing fees.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 Business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Sales and marketing - business expenses consist of compensation and related expenses for sales and marketing personnel, as well as advertising, marketing events, public relations, trade show exhibit expenses and allocated occupancy costs and related overhead.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5"/>
                <w:szCs w:val="15"/>
                <w:color w:val="auto"/>
              </w:rPr>
            </w:pPr>
          </w:p>
        </w:tc>
      </w:tr>
      <w:tr>
        <w:trPr>
          <w:trHeight w:val="189"/>
        </w:trPr>
        <w:tc>
          <w:tcPr>
            <w:tcW w:w="2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r>
      <w:tr>
        <w:trPr>
          <w:trHeight w:val="182"/>
        </w:trPr>
        <w:tc>
          <w:tcPr>
            <w:tcW w:w="25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72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1"/>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 business</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34,640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27,525</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26 %  $</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96,758</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93,920</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29 %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28 %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36 %</w:t>
            </w:r>
          </w:p>
        </w:tc>
        <w:tc>
          <w:tcPr>
            <w:tcW w:w="1160" w:type="dxa"/>
            <w:vAlign w:val="bottom"/>
          </w:tcPr>
          <w:p>
            <w:pPr>
              <w:spacing w:after="0"/>
              <w:rPr>
                <w:sz w:val="17"/>
                <w:szCs w:val="17"/>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339</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334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339</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334</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bl>
    <w:p>
      <w:pPr>
        <w:spacing w:after="0" w:line="303"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Sales and marketing - business expenses increased by 26% to $34.6 million in the three months ended September 30, 2021 from $27.5 million in the comparable period in 2020. This increase was primarily attributable to an increase in salary and related employee expenses of approximately $4.2 million, an increase in marketing expense of approximately $2.9 million, and an increase in backup facilities of approximately $1.1 million partially offset by a decrease in business services of approximately $1.2 million.</w:t>
      </w:r>
    </w:p>
    <w:p>
      <w:pPr>
        <w:spacing w:after="0" w:line="218"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Sales and marketing - business expenses increased by 3% to $96.8 million in the nine months ended September 30, 2021 from $93.9 million in the comparable period in 2020. This increase was primarily attributable to an increase in marketing expense of approximately $4.3 million and an increase in salary and related employee expenses of approximately $2.5 million, partially offset by a decrease in business services of approximately $3.6 million and a decrease in backup server facilities of approximately $0.4 million.</w:t>
      </w:r>
    </w:p>
    <w:p>
      <w:pPr>
        <w:spacing w:after="0" w:line="218"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We have been able to adjust our marketing and hiring efforts to account for the impact of the COVID-19 pandemic. Additionally, we have adapted our marketing strategy to include targeted digital experiences that emphasize the unique positioning of our messaging and AI offerings to help brands succeed in this new environment. Our marketing message has shifted to include business continuity and virtualization of the contact center in addition to business improvement.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i w:val="1"/>
          <w:iCs w:val="1"/>
          <w:color w:val="auto"/>
        </w:rPr>
        <w:t>Sales and Marketing - Consumer</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Sales and marketing - consumer expenses consist of compensation and related expenses for marketing personnel, as well as online promotion, public relations and allocated occupancy costs and related overhead.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60" w:type="dxa"/>
            <w:vAlign w:val="bottom"/>
            <w:gridSpan w:val="2"/>
          </w:tcPr>
          <w:p>
            <w:pPr>
              <w:jc w:val="right"/>
              <w:ind w:right="265"/>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jc w:val="right"/>
              <w:ind w:right="325"/>
              <w:spacing w:after="0"/>
              <w:rPr>
                <w:sz w:val="20"/>
                <w:szCs w:val="20"/>
                <w:color w:val="auto"/>
              </w:rPr>
            </w:pPr>
            <w:r>
              <w:rPr>
                <w:rFonts w:ascii="Arial" w:cs="Arial" w:eastAsia="Arial" w:hAnsi="Arial"/>
                <w:sz w:val="14"/>
                <w:szCs w:val="14"/>
                <w:b w:val="1"/>
                <w:bCs w:val="1"/>
                <w:color w:val="auto"/>
                <w:w w:val="96"/>
              </w:rPr>
              <w:t>Nine Months Ended</w:t>
            </w:r>
          </w:p>
        </w:tc>
        <w:tc>
          <w:tcPr>
            <w:tcW w:w="1160" w:type="dxa"/>
            <w:vAlign w:val="bottom"/>
          </w:tcPr>
          <w:p>
            <w:pPr>
              <w:spacing w:after="0"/>
              <w:rPr>
                <w:sz w:val="15"/>
                <w:szCs w:val="15"/>
                <w:color w:val="auto"/>
              </w:rPr>
            </w:pPr>
          </w:p>
        </w:tc>
      </w:tr>
      <w:tr>
        <w:trPr>
          <w:trHeight w:val="189"/>
        </w:trPr>
        <w:tc>
          <w:tcPr>
            <w:tcW w:w="25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r>
      <w:tr>
        <w:trPr>
          <w:trHeight w:val="182"/>
        </w:trPr>
        <w:tc>
          <w:tcPr>
            <w:tcW w:w="25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4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Sales and marketing - consumer</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4"/>
              </w:rPr>
              <w:t>6,212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5,250</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18 %  $</w:t>
            </w:r>
          </w:p>
        </w:tc>
        <w:tc>
          <w:tcPr>
            <w:tcW w:w="11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19,669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16,153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8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5 %</w:t>
            </w:r>
          </w:p>
        </w:tc>
        <w:tc>
          <w:tcPr>
            <w:tcW w:w="200" w:type="dxa"/>
            <w:vAlign w:val="bottom"/>
          </w:tcPr>
          <w:p>
            <w:pPr>
              <w:spacing w:after="0"/>
              <w:rPr>
                <w:sz w:val="17"/>
                <w:szCs w:val="17"/>
                <w:color w:val="auto"/>
              </w:rPr>
            </w:pPr>
          </w:p>
        </w:tc>
        <w:tc>
          <w:tcPr>
            <w:tcW w:w="1460" w:type="dxa"/>
            <w:vAlign w:val="bottom"/>
          </w:tcPr>
          <w:p>
            <w:pPr>
              <w:jc w:val="right"/>
              <w:ind w:right="145"/>
              <w:spacing w:after="0"/>
              <w:rPr>
                <w:sz w:val="20"/>
                <w:szCs w:val="20"/>
                <w:color w:val="auto"/>
              </w:rPr>
            </w:pPr>
            <w:r>
              <w:rPr>
                <w:rFonts w:ascii="Arial" w:cs="Arial" w:eastAsia="Arial" w:hAnsi="Arial"/>
                <w:sz w:val="16"/>
                <w:szCs w:val="16"/>
                <w:color w:val="auto"/>
              </w:rPr>
              <w:t>6 %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3"/>
              <w:spacing w:after="0"/>
              <w:rPr>
                <w:sz w:val="20"/>
                <w:szCs w:val="20"/>
                <w:color w:val="auto"/>
              </w:rPr>
            </w:pPr>
            <w:r>
              <w:rPr>
                <w:rFonts w:ascii="Arial" w:cs="Arial" w:eastAsia="Arial" w:hAnsi="Arial"/>
                <w:sz w:val="16"/>
                <w:szCs w:val="16"/>
                <w:color w:val="auto"/>
              </w:rPr>
              <w:t>6 %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6 %</w:t>
            </w:r>
          </w:p>
        </w:tc>
        <w:tc>
          <w:tcPr>
            <w:tcW w:w="1160" w:type="dxa"/>
            <w:vAlign w:val="bottom"/>
          </w:tcPr>
          <w:p>
            <w:pPr>
              <w:spacing w:after="0"/>
              <w:rPr>
                <w:sz w:val="17"/>
                <w:szCs w:val="17"/>
                <w:color w:val="auto"/>
              </w:rPr>
            </w:pPr>
          </w:p>
        </w:tc>
      </w:tr>
      <w:tr>
        <w:trPr>
          <w:trHeight w:val="21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8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83"/>
              <w:spacing w:after="0"/>
              <w:rPr>
                <w:sz w:val="20"/>
                <w:szCs w:val="20"/>
                <w:color w:val="auto"/>
              </w:rPr>
            </w:pPr>
            <w:r>
              <w:rPr>
                <w:rFonts w:ascii="Arial" w:cs="Arial" w:eastAsia="Arial" w:hAnsi="Arial"/>
                <w:sz w:val="16"/>
                <w:szCs w:val="16"/>
                <w:color w:val="auto"/>
              </w:rPr>
              <w:t>18</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bl>
    <w:p>
      <w:pPr>
        <w:spacing w:after="0" w:line="316"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Sales and marketing - consumer expenses increased by 18% to $6.2 million in the three months ended September 30, 2021 from $5.3 million in the comparable period in 2020. This increase is primarily attributable to an increase in marketing expense of approximately $1.1 million.</w:t>
      </w:r>
    </w:p>
    <w:p>
      <w:pPr>
        <w:spacing w:after="0" w:line="161"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Sales and marketing - consumer expenses increased by 22% to $19.7 million in the nine months ended September 30, 2021 from $16.2 million in the comparable period in 2020. This increase is primarily attributable to an increase in marketing expense of approximately $3.2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general and administrative expenses consist of compensation and related expenses for executive, accounting, legal, human resources and administrative personnel, professional fees and other general corporate expenses.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80" w:type="dxa"/>
            <w:vAlign w:val="bottom"/>
            <w:gridSpan w:val="2"/>
          </w:tcPr>
          <w:p>
            <w:pPr>
              <w:jc w:val="right"/>
              <w:ind w:right="285"/>
              <w:spacing w:after="0"/>
              <w:rPr>
                <w:sz w:val="20"/>
                <w:szCs w:val="20"/>
                <w:color w:val="auto"/>
              </w:rPr>
            </w:pPr>
            <w:r>
              <w:rPr>
                <w:rFonts w:ascii="Arial" w:cs="Arial" w:eastAsia="Arial" w:hAnsi="Arial"/>
                <w:sz w:val="14"/>
                <w:szCs w:val="14"/>
                <w:b w:val="1"/>
                <w:bCs w:val="1"/>
                <w:color w:val="auto"/>
                <w:w w:val="93"/>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5"/>
                <w:szCs w:val="15"/>
                <w:color w:val="auto"/>
              </w:rPr>
            </w:pPr>
          </w:p>
        </w:tc>
      </w:tr>
      <w:tr>
        <w:trPr>
          <w:trHeight w:val="189"/>
        </w:trPr>
        <w:tc>
          <w:tcPr>
            <w:tcW w:w="2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1"/>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r>
      <w:tr>
        <w:trPr>
          <w:trHeight w:val="182"/>
        </w:trPr>
        <w:tc>
          <w:tcPr>
            <w:tcW w:w="2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72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1"/>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17,193</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14,891</w:t>
            </w:r>
          </w:p>
        </w:tc>
        <w:tc>
          <w:tcPr>
            <w:tcW w:w="158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16 %  $</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47,784</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47,713</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r>
      <w:tr>
        <w:trPr>
          <w:trHeight w:val="207"/>
        </w:trPr>
        <w:tc>
          <w:tcPr>
            <w:tcW w:w="256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15 %</w:t>
            </w:r>
          </w:p>
        </w:tc>
        <w:tc>
          <w:tcPr>
            <w:tcW w:w="220" w:type="dxa"/>
            <w:vAlign w:val="bottom"/>
          </w:tcPr>
          <w:p>
            <w:pPr>
              <w:spacing w:after="0"/>
              <w:rPr>
                <w:sz w:val="17"/>
                <w:szCs w:val="17"/>
                <w:color w:val="auto"/>
              </w:rPr>
            </w:pPr>
          </w:p>
        </w:tc>
        <w:tc>
          <w:tcPr>
            <w:tcW w:w="1460" w:type="dxa"/>
            <w:vAlign w:val="bottom"/>
          </w:tcPr>
          <w:p>
            <w:pPr>
              <w:jc w:val="right"/>
              <w:ind w:right="145"/>
              <w:spacing w:after="0"/>
              <w:rPr>
                <w:sz w:val="20"/>
                <w:szCs w:val="20"/>
                <w:color w:val="auto"/>
              </w:rPr>
            </w:pPr>
            <w:r>
              <w:rPr>
                <w:rFonts w:ascii="Arial" w:cs="Arial" w:eastAsia="Arial" w:hAnsi="Arial"/>
                <w:sz w:val="16"/>
                <w:szCs w:val="16"/>
                <w:color w:val="auto"/>
              </w:rPr>
              <w:t>16 %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18 %</w:t>
            </w:r>
          </w:p>
        </w:tc>
        <w:tc>
          <w:tcPr>
            <w:tcW w:w="1160" w:type="dxa"/>
            <w:vAlign w:val="bottom"/>
          </w:tcPr>
          <w:p>
            <w:pPr>
              <w:spacing w:after="0"/>
              <w:rPr>
                <w:sz w:val="17"/>
                <w:szCs w:val="17"/>
                <w:color w:val="auto"/>
              </w:rPr>
            </w:pPr>
          </w:p>
        </w:tc>
      </w:tr>
      <w:tr>
        <w:trPr>
          <w:trHeight w:val="213"/>
        </w:trPr>
        <w:tc>
          <w:tcPr>
            <w:tcW w:w="2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137</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141</w:t>
            </w:r>
          </w:p>
        </w:tc>
        <w:tc>
          <w:tcPr>
            <w:tcW w:w="1160" w:type="dxa"/>
            <w:vAlign w:val="bottom"/>
            <w:shd w:val="clear" w:color="auto" w:fill="CCEEFF"/>
          </w:tcPr>
          <w:p>
            <w:pPr>
              <w:ind w:left="820"/>
              <w:spacing w:after="0"/>
              <w:rPr>
                <w:sz w:val="20"/>
                <w:szCs w:val="20"/>
                <w:color w:val="auto"/>
              </w:rPr>
            </w:pPr>
            <w:r>
              <w:rPr>
                <w:rFonts w:ascii="Arial" w:cs="Arial" w:eastAsia="Arial" w:hAnsi="Arial"/>
                <w:sz w:val="16"/>
                <w:szCs w:val="16"/>
                <w:color w:val="auto"/>
                <w:w w:val="94"/>
              </w:rPr>
              <w:t>(3)%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137</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141</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bl>
    <w:p>
      <w:pPr>
        <w:spacing w:after="0" w:line="303"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General and administrative expenses increased by 16% to $17.2 million in the three months ended September 30, 2021 from $14.9 million in the comparable period in 2020. This increase is primarily attributable to an increase in business services of approximately $2.7 million and an increase in salary and related employee expenses of approximately $1.3 million, partially offset by a decrease in hosting services of approximately $1.9 million.</w:t>
      </w:r>
    </w:p>
    <w:p>
      <w:pPr>
        <w:spacing w:after="0" w:line="181"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General and administrative expenses was essentially unchanged at $47.8 million in the nine months ended September 30, 2021 from $47.7 million in the comparable period in 2020.</w:t>
      </w:r>
    </w:p>
    <w:p>
      <w:pPr>
        <w:spacing w:after="0" w:line="208"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General and administrative expense as a percentage of revenue has decreased primarily as a result our continued deferral of hiring, outside of core growth areas, as our internal automation initiatives have enhanced employee productivity. Additionally, the reduction in rent expense after officially transitioning to a “work from home” model in the three and nine month period ended September 30, 2021 also contributed to the decrease.</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Product Development</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product development expenses consist of compensation and related expenses for product development personnel as well as allocated occupancy costs and related overhead and outsourced labor and expenses for testing new versions of our software.</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80" w:type="dxa"/>
            <w:vAlign w:val="bottom"/>
          </w:tcPr>
          <w:p>
            <w:pPr>
              <w:jc w:val="right"/>
              <w:ind w:right="266"/>
              <w:spacing w:after="0"/>
              <w:rPr>
                <w:sz w:val="20"/>
                <w:szCs w:val="20"/>
                <w:color w:val="auto"/>
              </w:rPr>
            </w:pPr>
            <w:r>
              <w:rPr>
                <w:rFonts w:ascii="Arial" w:cs="Arial" w:eastAsia="Arial" w:hAnsi="Arial"/>
                <w:sz w:val="14"/>
                <w:szCs w:val="14"/>
                <w:b w:val="1"/>
                <w:bCs w:val="1"/>
                <w:color w:val="auto"/>
                <w:w w:val="95"/>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ind w:left="80"/>
              <w:spacing w:after="0"/>
              <w:rPr>
                <w:sz w:val="20"/>
                <w:szCs w:val="20"/>
                <w:color w:val="auto"/>
              </w:rPr>
            </w:pPr>
            <w:r>
              <w:rPr>
                <w:rFonts w:ascii="Arial" w:cs="Arial" w:eastAsia="Arial" w:hAnsi="Arial"/>
                <w:sz w:val="14"/>
                <w:szCs w:val="14"/>
                <w:b w:val="1"/>
                <w:bCs w:val="1"/>
                <w:color w:val="auto"/>
              </w:rPr>
              <w:t>Nine Months Ended</w:t>
            </w:r>
          </w:p>
        </w:tc>
        <w:tc>
          <w:tcPr>
            <w:tcW w:w="1160" w:type="dxa"/>
            <w:vAlign w:val="bottom"/>
          </w:tcPr>
          <w:p>
            <w:pPr>
              <w:spacing w:after="0"/>
              <w:rPr>
                <w:sz w:val="15"/>
                <w:szCs w:val="15"/>
                <w:color w:val="auto"/>
              </w:rPr>
            </w:pPr>
          </w:p>
        </w:tc>
      </w:tr>
      <w:tr>
        <w:trPr>
          <w:trHeight w:val="189"/>
        </w:trPr>
        <w:tc>
          <w:tcPr>
            <w:tcW w:w="2540" w:type="dxa"/>
            <w:vAlign w:val="bottom"/>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w w:val="93"/>
              </w:rPr>
              <w:t>September 30,</w:t>
            </w:r>
          </w:p>
        </w:tc>
        <w:tc>
          <w:tcPr>
            <w:tcW w:w="1160" w:type="dxa"/>
            <w:vAlign w:val="bottom"/>
            <w:tcBorders>
              <w:bottom w:val="single" w:sz="8" w:color="auto"/>
            </w:tcBorders>
          </w:tcPr>
          <w:p>
            <w:pPr>
              <w:spacing w:after="0"/>
              <w:rPr>
                <w:sz w:val="16"/>
                <w:szCs w:val="16"/>
                <w:color w:val="auto"/>
              </w:rPr>
            </w:pPr>
          </w:p>
        </w:tc>
      </w:tr>
      <w:tr>
        <w:trPr>
          <w:trHeight w:val="182"/>
        </w:trPr>
        <w:tc>
          <w:tcPr>
            <w:tcW w:w="2540" w:type="dxa"/>
            <w:vAlign w:val="bottom"/>
          </w:tcPr>
          <w:p>
            <w:pPr>
              <w:spacing w:after="0"/>
              <w:rPr>
                <w:sz w:val="15"/>
                <w:szCs w:val="15"/>
                <w:color w:val="auto"/>
              </w:rPr>
            </w:pPr>
          </w:p>
        </w:tc>
        <w:tc>
          <w:tcPr>
            <w:tcW w:w="144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2021</w:t>
            </w:r>
          </w:p>
        </w:tc>
        <w:tc>
          <w:tcPr>
            <w:tcW w:w="168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5"/>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740" w:type="dxa"/>
            <w:vAlign w:val="bottom"/>
            <w:gridSpan w:val="4"/>
          </w:tcPr>
          <w:p>
            <w:pPr>
              <w:jc w:val="right"/>
              <w:ind w:right="763"/>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1"/>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14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41,734</w:t>
            </w:r>
          </w:p>
        </w:tc>
        <w:tc>
          <w:tcPr>
            <w:tcW w:w="168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27,736</w:t>
            </w:r>
          </w:p>
        </w:tc>
        <w:tc>
          <w:tcPr>
            <w:tcW w:w="1600" w:type="dxa"/>
            <w:vAlign w:val="bottom"/>
            <w:gridSpan w:val="3"/>
            <w:shd w:val="clear" w:color="auto" w:fill="CCEEFF"/>
          </w:tcPr>
          <w:p>
            <w:pPr>
              <w:ind w:left="800"/>
              <w:spacing w:after="0"/>
              <w:rPr>
                <w:sz w:val="20"/>
                <w:szCs w:val="20"/>
                <w:color w:val="auto"/>
              </w:rPr>
            </w:pPr>
            <w:r>
              <w:rPr>
                <w:rFonts w:ascii="Arial" w:cs="Arial" w:eastAsia="Arial" w:hAnsi="Arial"/>
                <w:sz w:val="16"/>
                <w:szCs w:val="16"/>
                <w:color w:val="auto"/>
              </w:rPr>
              <w:t>51 %  $</w:t>
            </w: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112,715</w:t>
            </w:r>
          </w:p>
        </w:tc>
        <w:tc>
          <w:tcPr>
            <w:tcW w:w="200" w:type="dxa"/>
            <w:vAlign w:val="bottom"/>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80,417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r>
      <w:tr>
        <w:trPr>
          <w:trHeight w:val="207"/>
        </w:trPr>
        <w:tc>
          <w:tcPr>
            <w:tcW w:w="254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1440" w:type="dxa"/>
            <w:vAlign w:val="bottom"/>
          </w:tcPr>
          <w:p>
            <w:pPr>
              <w:jc w:val="right"/>
              <w:spacing w:after="0"/>
              <w:rPr>
                <w:sz w:val="20"/>
                <w:szCs w:val="20"/>
                <w:color w:val="auto"/>
              </w:rPr>
            </w:pPr>
            <w:r>
              <w:rPr>
                <w:rFonts w:ascii="Arial" w:cs="Arial" w:eastAsia="Arial" w:hAnsi="Arial"/>
                <w:sz w:val="16"/>
                <w:szCs w:val="16"/>
                <w:color w:val="auto"/>
              </w:rPr>
              <w:t>35 %</w:t>
            </w:r>
          </w:p>
        </w:tc>
        <w:tc>
          <w:tcPr>
            <w:tcW w:w="1680" w:type="dxa"/>
            <w:vAlign w:val="bottom"/>
          </w:tcPr>
          <w:p>
            <w:pPr>
              <w:jc w:val="right"/>
              <w:ind w:right="146"/>
              <w:spacing w:after="0"/>
              <w:rPr>
                <w:sz w:val="20"/>
                <w:szCs w:val="20"/>
                <w:color w:val="auto"/>
              </w:rPr>
            </w:pPr>
            <w:r>
              <w:rPr>
                <w:rFonts w:ascii="Arial" w:cs="Arial" w:eastAsia="Arial" w:hAnsi="Arial"/>
                <w:sz w:val="16"/>
                <w:szCs w:val="16"/>
                <w:color w:val="auto"/>
              </w:rPr>
              <w:t>29 %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33 %</w:t>
            </w:r>
          </w:p>
        </w:tc>
        <w:tc>
          <w:tcPr>
            <w:tcW w:w="200" w:type="dxa"/>
            <w:vAlign w:val="bottom"/>
          </w:tcPr>
          <w:p>
            <w:pPr>
              <w:spacing w:after="0"/>
              <w:rPr>
                <w:sz w:val="17"/>
                <w:szCs w:val="17"/>
                <w:color w:val="auto"/>
              </w:rPr>
            </w:pPr>
          </w:p>
        </w:tc>
        <w:tc>
          <w:tcPr>
            <w:tcW w:w="1480" w:type="dxa"/>
            <w:vAlign w:val="bottom"/>
          </w:tcPr>
          <w:p>
            <w:pPr>
              <w:jc w:val="right"/>
              <w:ind w:right="145"/>
              <w:spacing w:after="0"/>
              <w:rPr>
                <w:sz w:val="20"/>
                <w:szCs w:val="20"/>
                <w:color w:val="auto"/>
              </w:rPr>
            </w:pPr>
            <w:r>
              <w:rPr>
                <w:rFonts w:ascii="Arial" w:cs="Arial" w:eastAsia="Arial" w:hAnsi="Arial"/>
                <w:sz w:val="16"/>
                <w:szCs w:val="16"/>
                <w:color w:val="auto"/>
              </w:rPr>
              <w:t>30 %</w:t>
            </w:r>
          </w:p>
        </w:tc>
        <w:tc>
          <w:tcPr>
            <w:tcW w:w="1160" w:type="dxa"/>
            <w:vAlign w:val="bottom"/>
          </w:tcPr>
          <w:p>
            <w:pPr>
              <w:spacing w:after="0"/>
              <w:rPr>
                <w:sz w:val="17"/>
                <w:szCs w:val="17"/>
                <w:color w:val="auto"/>
              </w:rPr>
            </w:pPr>
          </w:p>
        </w:tc>
      </w:tr>
      <w:tr>
        <w:trPr>
          <w:trHeight w:val="213"/>
        </w:trPr>
        <w:tc>
          <w:tcPr>
            <w:tcW w:w="2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Headcount (at period end)</w:t>
            </w:r>
          </w:p>
        </w:tc>
        <w:tc>
          <w:tcPr>
            <w:tcW w:w="14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574</w:t>
            </w:r>
          </w:p>
        </w:tc>
        <w:tc>
          <w:tcPr>
            <w:tcW w:w="168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467</w:t>
            </w:r>
          </w:p>
        </w:tc>
        <w:tc>
          <w:tcPr>
            <w:tcW w:w="1160" w:type="dxa"/>
            <w:vAlign w:val="bottom"/>
            <w:shd w:val="clear" w:color="auto" w:fill="CCEEFF"/>
          </w:tcPr>
          <w:p>
            <w:pPr>
              <w:ind w:left="800"/>
              <w:spacing w:after="0"/>
              <w:rPr>
                <w:sz w:val="20"/>
                <w:szCs w:val="20"/>
                <w:color w:val="auto"/>
              </w:rPr>
            </w:pPr>
            <w:r>
              <w:rPr>
                <w:rFonts w:ascii="Arial" w:cs="Arial" w:eastAsia="Arial" w:hAnsi="Arial"/>
                <w:sz w:val="16"/>
                <w:szCs w:val="16"/>
                <w:color w:val="auto"/>
                <w:w w:val="93"/>
              </w:rPr>
              <w:t>23 %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63"/>
              <w:spacing w:after="0"/>
              <w:rPr>
                <w:sz w:val="20"/>
                <w:szCs w:val="20"/>
                <w:color w:val="auto"/>
              </w:rPr>
            </w:pPr>
            <w:r>
              <w:rPr>
                <w:rFonts w:ascii="Arial" w:cs="Arial" w:eastAsia="Arial" w:hAnsi="Arial"/>
                <w:sz w:val="16"/>
                <w:szCs w:val="16"/>
                <w:color w:val="auto"/>
              </w:rPr>
              <w:t>574</w:t>
            </w: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25"/>
              <w:spacing w:after="0"/>
              <w:rPr>
                <w:sz w:val="20"/>
                <w:szCs w:val="20"/>
                <w:color w:val="auto"/>
              </w:rPr>
            </w:pPr>
            <w:r>
              <w:rPr>
                <w:rFonts w:ascii="Arial" w:cs="Arial" w:eastAsia="Arial" w:hAnsi="Arial"/>
                <w:sz w:val="16"/>
                <w:szCs w:val="16"/>
                <w:color w:val="auto"/>
              </w:rPr>
              <w:t>467</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bl>
    <w:p>
      <w:pPr>
        <w:spacing w:after="0" w:line="316" w:lineRule="exact"/>
        <w:rPr>
          <w:sz w:val="20"/>
          <w:szCs w:val="20"/>
          <w:color w:val="auto"/>
        </w:rPr>
      </w:pPr>
    </w:p>
    <w:p>
      <w:pPr>
        <w:jc w:val="both"/>
        <w:ind w:firstLine="420"/>
        <w:spacing w:after="0" w:line="286" w:lineRule="auto"/>
        <w:rPr>
          <w:sz w:val="20"/>
          <w:szCs w:val="20"/>
          <w:color w:val="auto"/>
        </w:rPr>
      </w:pPr>
      <w:r>
        <w:rPr>
          <w:rFonts w:ascii="Arial" w:cs="Arial" w:eastAsia="Arial" w:hAnsi="Arial"/>
          <w:sz w:val="16"/>
          <w:szCs w:val="16"/>
          <w:color w:val="auto"/>
        </w:rPr>
        <w:t>Product development costs increased by 51% to $41.7 million in the three months ended September 30, 2021 from $27.7 million in the comparable period in 2020. This increase is primarily related to increases in salaries and employee related expenses of approximately $8.0 million, in business services and outsourcing subcontracted labor of approximately $2.9 million, in software of approximately $2.1 million, and in depreciation expense of approximately $1.0 million. We made investments in public cloud migration, and in enhancing and expanding new features of the Conversational Cloud. Also, we invested in hiring more data scientists and machine learning engineers to focus on Conversational AI.</w:t>
      </w:r>
    </w:p>
    <w:p>
      <w:pPr>
        <w:spacing w:after="0" w:line="190"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Product development costs increased by 40% to $112.7 million in the nine months ended September 30, 2021 from $80.4 million in the comparable period in 2020. This increase is primarily related to an increase in salaries and employee related expenses of approximately $21.2 million, in business services and outsourcing subcontracted labor of approximately $5.5 million, in depreciation expense of approximately $3.2 million, and in software of approximately $2.4 million.</w:t>
      </w:r>
    </w:p>
    <w:p>
      <w:pPr>
        <w:spacing w:after="0" w:line="218"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We continue to invest in new product development efforts to expand the capability of Conversational Cloud. Upon completion, the project costs will be depreciated over five years. In the three and nine months ended September 30, 2021, $9.2 million and $26.6 million was capitalized, compared to $9.3 million and $26.5 million in the comparable periods in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Costs</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Restructuring costs consist of reprioritizing and reallocating resources to focus on areas believed to show high growth potential.</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jc w:val="right"/>
              <w:ind w:right="267"/>
              <w:spacing w:after="0"/>
              <w:rPr>
                <w:sz w:val="20"/>
                <w:szCs w:val="20"/>
                <w:color w:val="auto"/>
              </w:rPr>
            </w:pPr>
            <w:r>
              <w:rPr>
                <w:rFonts w:ascii="Arial" w:cs="Arial" w:eastAsia="Arial" w:hAnsi="Arial"/>
                <w:sz w:val="14"/>
                <w:szCs w:val="14"/>
                <w:b w:val="1"/>
                <w:bCs w:val="1"/>
                <w:color w:val="auto"/>
                <w:w w:val="95"/>
              </w:rPr>
              <w:t>Three Months Ended</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80" w:type="dxa"/>
            <w:vAlign w:val="bottom"/>
            <w:gridSpan w:val="2"/>
          </w:tcPr>
          <w:p>
            <w:pPr>
              <w:jc w:val="right"/>
              <w:ind w:right="306"/>
              <w:spacing w:after="0"/>
              <w:rPr>
                <w:sz w:val="20"/>
                <w:szCs w:val="20"/>
                <w:color w:val="auto"/>
              </w:rPr>
            </w:pPr>
            <w:r>
              <w:rPr>
                <w:rFonts w:ascii="Arial" w:cs="Arial" w:eastAsia="Arial" w:hAnsi="Arial"/>
                <w:sz w:val="14"/>
                <w:szCs w:val="14"/>
                <w:b w:val="1"/>
                <w:bCs w:val="1"/>
                <w:color w:val="auto"/>
                <w:w w:val="97"/>
              </w:rPr>
              <w:t>Nine Months Ended</w:t>
            </w:r>
          </w:p>
        </w:tc>
        <w:tc>
          <w:tcPr>
            <w:tcW w:w="1180" w:type="dxa"/>
            <w:vAlign w:val="bottom"/>
          </w:tcPr>
          <w:p>
            <w:pPr>
              <w:spacing w:after="0"/>
              <w:rPr>
                <w:sz w:val="15"/>
                <w:szCs w:val="15"/>
                <w:color w:val="auto"/>
              </w:rPr>
            </w:pPr>
          </w:p>
        </w:tc>
      </w:tr>
      <w:tr>
        <w:trPr>
          <w:trHeight w:val="189"/>
        </w:trPr>
        <w:tc>
          <w:tcPr>
            <w:tcW w:w="25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67"/>
              <w:spacing w:after="0"/>
              <w:rPr>
                <w:sz w:val="20"/>
                <w:szCs w:val="20"/>
                <w:color w:val="auto"/>
              </w:rPr>
            </w:pPr>
            <w:r>
              <w:rPr>
                <w:rFonts w:ascii="Arial" w:cs="Arial" w:eastAsia="Arial" w:hAnsi="Arial"/>
                <w:sz w:val="14"/>
                <w:szCs w:val="14"/>
                <w:b w:val="1"/>
                <w:bCs w:val="1"/>
                <w:color w:val="auto"/>
              </w:rPr>
              <w:t>September 30,</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486"/>
              <w:spacing w:after="0"/>
              <w:rPr>
                <w:sz w:val="20"/>
                <w:szCs w:val="20"/>
                <w:color w:val="auto"/>
              </w:rPr>
            </w:pPr>
            <w:r>
              <w:rPr>
                <w:rFonts w:ascii="Arial" w:cs="Arial" w:eastAsia="Arial" w:hAnsi="Arial"/>
                <w:sz w:val="14"/>
                <w:szCs w:val="14"/>
                <w:b w:val="1"/>
                <w:bCs w:val="1"/>
                <w:color w:val="auto"/>
                <w:w w:val="93"/>
              </w:rPr>
              <w:t>September 30,</w:t>
            </w:r>
          </w:p>
        </w:tc>
        <w:tc>
          <w:tcPr>
            <w:tcW w:w="1180" w:type="dxa"/>
            <w:vAlign w:val="bottom"/>
            <w:tcBorders>
              <w:bottom w:val="single" w:sz="8" w:color="auto"/>
            </w:tcBorders>
          </w:tcPr>
          <w:p>
            <w:pPr>
              <w:spacing w:after="0"/>
              <w:rPr>
                <w:sz w:val="16"/>
                <w:szCs w:val="16"/>
                <w:color w:val="auto"/>
              </w:rPr>
            </w:pPr>
          </w:p>
        </w:tc>
      </w:tr>
      <w:tr>
        <w:trPr>
          <w:trHeight w:val="182"/>
        </w:trPr>
        <w:tc>
          <w:tcPr>
            <w:tcW w:w="2560" w:type="dxa"/>
            <w:vAlign w:val="bottom"/>
          </w:tcPr>
          <w:p>
            <w:pPr>
              <w:spacing w:after="0"/>
              <w:rPr>
                <w:sz w:val="15"/>
                <w:szCs w:val="15"/>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rPr>
              <w:t>2020</w:t>
            </w:r>
          </w:p>
        </w:tc>
        <w:tc>
          <w:tcPr>
            <w:tcW w:w="11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06"/>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720" w:type="dxa"/>
            <w:vAlign w:val="bottom"/>
            <w:gridSpan w:val="4"/>
          </w:tcPr>
          <w:p>
            <w:pPr>
              <w:jc w:val="right"/>
              <w:ind w:right="744"/>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1"/>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costs</w:t>
            </w:r>
          </w:p>
        </w:tc>
        <w:tc>
          <w:tcPr>
            <w:tcW w:w="480" w:type="dxa"/>
            <w:vAlign w:val="bottom"/>
            <w:shd w:val="clear" w:color="auto" w:fill="CCEEFF"/>
          </w:tcPr>
          <w:p>
            <w:pPr>
              <w:ind w:left="80"/>
              <w:spacing w:after="0"/>
              <w:rPr>
                <w:sz w:val="20"/>
                <w:szCs w:val="20"/>
                <w:color w:val="auto"/>
              </w:rPr>
            </w:pPr>
            <w:r>
              <w:rPr>
                <w:rFonts w:ascii="Arial" w:cs="Arial" w:eastAsia="Arial" w:hAnsi="Arial"/>
                <w:sz w:val="16"/>
                <w:szCs w:val="16"/>
                <w:color w:val="auto"/>
              </w:rPr>
              <w:t>44</w:t>
            </w:r>
          </w:p>
        </w:tc>
        <w:tc>
          <w:tcPr>
            <w:tcW w:w="1680" w:type="dxa"/>
            <w:vAlign w:val="bottom"/>
            <w:shd w:val="clear" w:color="auto" w:fill="CCEEFF"/>
          </w:tcPr>
          <w:p>
            <w:pPr>
              <w:jc w:val="right"/>
              <w:ind w:right="327"/>
              <w:spacing w:after="0"/>
              <w:rPr>
                <w:sz w:val="20"/>
                <w:szCs w:val="20"/>
                <w:color w:val="auto"/>
              </w:rPr>
            </w:pPr>
            <w:r>
              <w:rPr>
                <w:rFonts w:ascii="Arial" w:cs="Arial" w:eastAsia="Arial" w:hAnsi="Arial"/>
                <w:sz w:val="16"/>
                <w:szCs w:val="16"/>
                <w:color w:val="auto"/>
              </w:rPr>
              <w:t>26,442</w:t>
            </w:r>
          </w:p>
        </w:tc>
        <w:tc>
          <w:tcPr>
            <w:tcW w:w="158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(100)%  $</w:t>
            </w:r>
          </w:p>
        </w:tc>
        <w:tc>
          <w:tcPr>
            <w:tcW w:w="114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3,269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29,635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w:t>
            </w:r>
          </w:p>
        </w:tc>
      </w:tr>
      <w:tr>
        <w:trPr>
          <w:trHeight w:val="204"/>
        </w:trPr>
        <w:tc>
          <w:tcPr>
            <w:tcW w:w="350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w:t>
            </w:r>
          </w:p>
        </w:tc>
        <w:tc>
          <w:tcPr>
            <w:tcW w:w="480" w:type="dxa"/>
            <w:vAlign w:val="bottom"/>
          </w:tcPr>
          <w:p>
            <w:pPr>
              <w:ind w:left="80"/>
              <w:spacing w:after="0"/>
              <w:rPr>
                <w:sz w:val="20"/>
                <w:szCs w:val="20"/>
                <w:color w:val="auto"/>
              </w:rPr>
            </w:pPr>
            <w:r>
              <w:rPr>
                <w:rFonts w:ascii="Arial" w:cs="Arial" w:eastAsia="Arial" w:hAnsi="Arial"/>
                <w:sz w:val="16"/>
                <w:szCs w:val="16"/>
                <w:color w:val="auto"/>
              </w:rPr>
              <w:t>— %</w:t>
            </w:r>
          </w:p>
        </w:tc>
        <w:tc>
          <w:tcPr>
            <w:tcW w:w="1680" w:type="dxa"/>
            <w:vAlign w:val="bottom"/>
          </w:tcPr>
          <w:p>
            <w:pPr>
              <w:jc w:val="right"/>
              <w:ind w:right="147"/>
              <w:spacing w:after="0"/>
              <w:rPr>
                <w:sz w:val="20"/>
                <w:szCs w:val="20"/>
                <w:color w:val="auto"/>
              </w:rPr>
            </w:pPr>
            <w:r>
              <w:rPr>
                <w:rFonts w:ascii="Arial" w:cs="Arial" w:eastAsia="Arial" w:hAnsi="Arial"/>
                <w:sz w:val="16"/>
                <w:szCs w:val="16"/>
                <w:color w:val="auto"/>
              </w:rPr>
              <w:t>28 %</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1 %</w:t>
            </w:r>
          </w:p>
        </w:tc>
        <w:tc>
          <w:tcPr>
            <w:tcW w:w="200" w:type="dxa"/>
            <w:vAlign w:val="bottom"/>
          </w:tcPr>
          <w:p>
            <w:pPr>
              <w:spacing w:after="0"/>
              <w:rPr>
                <w:sz w:val="17"/>
                <w:szCs w:val="17"/>
                <w:color w:val="auto"/>
              </w:rPr>
            </w:pPr>
          </w:p>
        </w:tc>
        <w:tc>
          <w:tcPr>
            <w:tcW w:w="1480" w:type="dxa"/>
            <w:vAlign w:val="bottom"/>
          </w:tcPr>
          <w:p>
            <w:pPr>
              <w:jc w:val="right"/>
              <w:ind w:right="146"/>
              <w:spacing w:after="0"/>
              <w:rPr>
                <w:sz w:val="20"/>
                <w:szCs w:val="20"/>
                <w:color w:val="auto"/>
              </w:rPr>
            </w:pPr>
            <w:r>
              <w:rPr>
                <w:rFonts w:ascii="Arial" w:cs="Arial" w:eastAsia="Arial" w:hAnsi="Arial"/>
                <w:sz w:val="16"/>
                <w:szCs w:val="16"/>
                <w:color w:val="auto"/>
              </w:rPr>
              <w:t>11 %</w:t>
            </w:r>
          </w:p>
        </w:tc>
        <w:tc>
          <w:tcPr>
            <w:tcW w:w="1180" w:type="dxa"/>
            <w:vAlign w:val="bottom"/>
          </w:tcPr>
          <w:p>
            <w:pPr>
              <w:spacing w:after="0"/>
              <w:rPr>
                <w:sz w:val="17"/>
                <w:szCs w:val="17"/>
                <w:color w:val="auto"/>
              </w:rPr>
            </w:pPr>
          </w:p>
        </w:tc>
      </w:tr>
    </w:tbl>
    <w:p>
      <w:pPr>
        <w:spacing w:after="0" w:line="309"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The restructuring costs for the nine months ended September 30, 2021 were primarily a result of our partnership with Infosys to transform our technology infrastructure on the public cloud, to build integrated solutions and a global practice around our Conversational Cloud, and to redefine how brands communicate. The remainder of the decrease in restructuring costs related to lease abandonment recorded in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Amortization of Purchased Intangibles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gridSpan w:val="2"/>
          </w:tcPr>
          <w:p>
            <w:pPr>
              <w:jc w:val="center"/>
              <w:ind w:right="186"/>
              <w:spacing w:after="0"/>
              <w:rPr>
                <w:sz w:val="20"/>
                <w:szCs w:val="20"/>
                <w:color w:val="auto"/>
              </w:rPr>
            </w:pPr>
            <w:r>
              <w:rPr>
                <w:rFonts w:ascii="Arial" w:cs="Arial" w:eastAsia="Arial" w:hAnsi="Arial"/>
                <w:sz w:val="14"/>
                <w:szCs w:val="14"/>
                <w:b w:val="1"/>
                <w:bCs w:val="1"/>
                <w:color w:val="auto"/>
                <w:w w:val="92"/>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60" w:type="dxa"/>
            <w:vAlign w:val="bottom"/>
            <w:gridSpan w:val="2"/>
          </w:tcPr>
          <w:p>
            <w:pPr>
              <w:jc w:val="center"/>
              <w:ind w:right="226"/>
              <w:spacing w:after="0"/>
              <w:rPr>
                <w:sz w:val="20"/>
                <w:szCs w:val="20"/>
                <w:color w:val="auto"/>
              </w:rPr>
            </w:pPr>
            <w:r>
              <w:rPr>
                <w:rFonts w:ascii="Arial" w:cs="Arial" w:eastAsia="Arial" w:hAnsi="Arial"/>
                <w:sz w:val="14"/>
                <w:szCs w:val="14"/>
                <w:b w:val="1"/>
                <w:bCs w:val="1"/>
                <w:color w:val="auto"/>
                <w:w w:val="91"/>
              </w:rPr>
              <w:t>Nine Months Ended</w:t>
            </w:r>
          </w:p>
        </w:tc>
        <w:tc>
          <w:tcPr>
            <w:tcW w:w="1180" w:type="dxa"/>
            <w:vAlign w:val="bottom"/>
          </w:tcPr>
          <w:p>
            <w:pPr>
              <w:spacing w:after="0"/>
              <w:rPr>
                <w:sz w:val="15"/>
                <w:szCs w:val="15"/>
                <w:color w:val="auto"/>
              </w:rPr>
            </w:pPr>
          </w:p>
        </w:tc>
      </w:tr>
      <w:tr>
        <w:trPr>
          <w:trHeight w:val="189"/>
        </w:trPr>
        <w:tc>
          <w:tcPr>
            <w:tcW w:w="25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406"/>
              <w:spacing w:after="0"/>
              <w:rPr>
                <w:sz w:val="20"/>
                <w:szCs w:val="20"/>
                <w:color w:val="auto"/>
              </w:rPr>
            </w:pPr>
            <w:r>
              <w:rPr>
                <w:rFonts w:ascii="Arial" w:cs="Arial" w:eastAsia="Arial" w:hAnsi="Arial"/>
                <w:sz w:val="14"/>
                <w:szCs w:val="14"/>
                <w:b w:val="1"/>
                <w:bCs w:val="1"/>
                <w:color w:val="auto"/>
                <w:w w:val="87"/>
              </w:rPr>
              <w:t>September 30,</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406"/>
              <w:spacing w:after="0"/>
              <w:rPr>
                <w:sz w:val="20"/>
                <w:szCs w:val="20"/>
                <w:color w:val="auto"/>
              </w:rPr>
            </w:pPr>
            <w:r>
              <w:rPr>
                <w:rFonts w:ascii="Arial" w:cs="Arial" w:eastAsia="Arial" w:hAnsi="Arial"/>
                <w:sz w:val="14"/>
                <w:szCs w:val="14"/>
                <w:b w:val="1"/>
                <w:bCs w:val="1"/>
                <w:color w:val="auto"/>
                <w:w w:val="89"/>
              </w:rPr>
              <w:t>September 30,</w:t>
            </w:r>
          </w:p>
        </w:tc>
        <w:tc>
          <w:tcPr>
            <w:tcW w:w="1180" w:type="dxa"/>
            <w:vAlign w:val="bottom"/>
            <w:tcBorders>
              <w:bottom w:val="single" w:sz="8" w:color="auto"/>
            </w:tcBorders>
          </w:tcPr>
          <w:p>
            <w:pPr>
              <w:spacing w:after="0"/>
              <w:rPr>
                <w:sz w:val="16"/>
                <w:szCs w:val="16"/>
                <w:color w:val="auto"/>
              </w:rPr>
            </w:pPr>
          </w:p>
        </w:tc>
      </w:tr>
      <w:tr>
        <w:trPr>
          <w:trHeight w:val="182"/>
        </w:trPr>
        <w:tc>
          <w:tcPr>
            <w:tcW w:w="2580" w:type="dxa"/>
            <w:vAlign w:val="bottom"/>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66"/>
              <w:spacing w:after="0"/>
              <w:rPr>
                <w:sz w:val="20"/>
                <w:szCs w:val="20"/>
                <w:color w:val="auto"/>
              </w:rPr>
            </w:pPr>
            <w:r>
              <w:rPr>
                <w:rFonts w:ascii="Arial" w:cs="Arial" w:eastAsia="Arial" w:hAnsi="Arial"/>
                <w:sz w:val="14"/>
                <w:szCs w:val="14"/>
                <w:b w:val="1"/>
                <w:bCs w:val="1"/>
                <w:color w:val="auto"/>
              </w:rPr>
              <w:t>2020</w:t>
            </w:r>
          </w:p>
        </w:tc>
        <w:tc>
          <w:tcPr>
            <w:tcW w:w="11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86"/>
              <w:spacing w:after="0"/>
              <w:rPr>
                <w:sz w:val="20"/>
                <w:szCs w:val="20"/>
                <w:color w:val="auto"/>
              </w:rPr>
            </w:pPr>
            <w:r>
              <w:rPr>
                <w:rFonts w:ascii="Arial" w:cs="Arial" w:eastAsia="Arial" w:hAnsi="Arial"/>
                <w:sz w:val="14"/>
                <w:szCs w:val="14"/>
                <w:b w:val="1"/>
                <w:bCs w:val="1"/>
                <w:color w:val="auto"/>
              </w:rPr>
              <w:t>2020</w:t>
            </w:r>
          </w:p>
        </w:tc>
        <w:tc>
          <w:tcPr>
            <w:tcW w:w="1180" w:type="dxa"/>
            <w:vAlign w:val="bottom"/>
            <w:tcBorders>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5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740" w:type="dxa"/>
            <w:vAlign w:val="bottom"/>
            <w:gridSpan w:val="4"/>
          </w:tcPr>
          <w:p>
            <w:pPr>
              <w:jc w:val="right"/>
              <w:ind w:right="744"/>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1"/>
        </w:trPr>
        <w:tc>
          <w:tcPr>
            <w:tcW w:w="3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Amortization of purchased intangibles  $</w:t>
            </w:r>
          </w:p>
        </w:tc>
        <w:tc>
          <w:tcPr>
            <w:tcW w:w="5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488</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411</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19 %  $</w:t>
            </w:r>
          </w:p>
        </w:tc>
        <w:tc>
          <w:tcPr>
            <w:tcW w:w="114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1,237</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26"/>
              <w:spacing w:after="0"/>
              <w:rPr>
                <w:sz w:val="20"/>
                <w:szCs w:val="20"/>
                <w:color w:val="auto"/>
              </w:rPr>
            </w:pPr>
            <w:r>
              <w:rPr>
                <w:rFonts w:ascii="Arial" w:cs="Arial" w:eastAsia="Arial" w:hAnsi="Arial"/>
                <w:sz w:val="16"/>
                <w:szCs w:val="16"/>
                <w:color w:val="auto"/>
              </w:rPr>
              <w:t>1,219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4"/>
        </w:trPr>
        <w:tc>
          <w:tcPr>
            <w:tcW w:w="3480" w:type="dxa"/>
            <w:vAlign w:val="bottom"/>
            <w:gridSpan w:val="2"/>
          </w:tcPr>
          <w:p>
            <w:pPr>
              <w:ind w:left="20"/>
              <w:spacing w:after="0"/>
              <w:rPr>
                <w:sz w:val="20"/>
                <w:szCs w:val="20"/>
                <w:color w:val="auto"/>
              </w:rPr>
            </w:pPr>
            <w:r>
              <w:rPr>
                <w:rFonts w:ascii="Arial" w:cs="Arial" w:eastAsia="Arial" w:hAnsi="Arial"/>
                <w:sz w:val="16"/>
                <w:szCs w:val="16"/>
                <w:color w:val="auto"/>
              </w:rPr>
              <w:t>Percentage of total revenues</w:t>
            </w:r>
          </w:p>
        </w:tc>
        <w:tc>
          <w:tcPr>
            <w:tcW w:w="520" w:type="dxa"/>
            <w:vAlign w:val="bottom"/>
          </w:tcPr>
          <w:p>
            <w:pPr>
              <w:jc w:val="right"/>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7"/>
                <w:szCs w:val="17"/>
                <w:color w:val="auto"/>
              </w:rPr>
            </w:pPr>
          </w:p>
        </w:tc>
        <w:tc>
          <w:tcPr>
            <w:tcW w:w="1440" w:type="dxa"/>
            <w:vAlign w:val="bottom"/>
          </w:tcPr>
          <w:p>
            <w:pPr>
              <w:jc w:val="right"/>
              <w:ind w:right="146"/>
              <w:spacing w:after="0"/>
              <w:rPr>
                <w:sz w:val="20"/>
                <w:szCs w:val="20"/>
                <w:color w:val="auto"/>
              </w:rPr>
            </w:pPr>
            <w:r>
              <w:rPr>
                <w:rFonts w:ascii="Arial" w:cs="Arial" w:eastAsia="Arial" w:hAnsi="Arial"/>
                <w:sz w:val="16"/>
                <w:szCs w:val="16"/>
                <w:color w:val="auto"/>
              </w:rPr>
              <w:t>— %</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4"/>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7"/>
                <w:szCs w:val="17"/>
                <w:color w:val="auto"/>
              </w:rPr>
            </w:pPr>
          </w:p>
        </w:tc>
        <w:tc>
          <w:tcPr>
            <w:tcW w:w="1460" w:type="dxa"/>
            <w:vAlign w:val="bottom"/>
          </w:tcPr>
          <w:p>
            <w:pPr>
              <w:jc w:val="right"/>
              <w:ind w:right="146"/>
              <w:spacing w:after="0"/>
              <w:rPr>
                <w:sz w:val="20"/>
                <w:szCs w:val="20"/>
                <w:color w:val="auto"/>
              </w:rPr>
            </w:pPr>
            <w:r>
              <w:rPr>
                <w:rFonts w:ascii="Arial" w:cs="Arial" w:eastAsia="Arial" w:hAnsi="Arial"/>
                <w:sz w:val="16"/>
                <w:szCs w:val="16"/>
                <w:color w:val="auto"/>
              </w:rPr>
              <w:t>— %</w:t>
            </w:r>
          </w:p>
        </w:tc>
        <w:tc>
          <w:tcPr>
            <w:tcW w:w="1180" w:type="dxa"/>
            <w:vAlign w:val="bottom"/>
          </w:tcPr>
          <w:p>
            <w:pPr>
              <w:spacing w:after="0"/>
              <w:rPr>
                <w:sz w:val="17"/>
                <w:szCs w:val="17"/>
                <w:color w:val="auto"/>
              </w:rPr>
            </w:pPr>
          </w:p>
        </w:tc>
      </w:tr>
    </w:tbl>
    <w:p>
      <w:pPr>
        <w:spacing w:after="0" w:line="322"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Amortization expense for purchased intangibles increased by 19% to $0.5 million and by 2% to $1.2 million in the three and nine months ended September 30, 2021, respectively, from $0.4 million and $1.2 million in the comparable periods in 2020, respectively.</w:t>
      </w:r>
    </w:p>
    <w:p>
      <w:pPr>
        <w:spacing w:after="0" w:line="208"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Additional amortization expense in the amount of $1.3 million and $3.7 million in the three and nine months ended September 30, 2021, respectively, and $0.3 million and $0.9 million in the three and nine months ended September 30, 2020, respectively, is included in cost of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 net</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Other (expense) income, net consists of interest income on cash and cash equivalents, investment income and financial (expense) income which is a result of currency rate fluctuations associated with exchange rate movement of the U.S. dollar against the New Israeli Shekel, British Pound, Euro, Australian Dollar, and Japanese Yen.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Three Months Ended</w:t>
            </w: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25"/>
              <w:spacing w:after="0"/>
              <w:rPr>
                <w:sz w:val="20"/>
                <w:szCs w:val="20"/>
                <w:color w:val="auto"/>
              </w:rPr>
            </w:pPr>
            <w:r>
              <w:rPr>
                <w:rFonts w:ascii="Arial" w:cs="Arial" w:eastAsia="Arial" w:hAnsi="Arial"/>
                <w:sz w:val="14"/>
                <w:szCs w:val="14"/>
                <w:b w:val="1"/>
                <w:bCs w:val="1"/>
                <w:color w:val="auto"/>
                <w:w w:val="93"/>
              </w:rPr>
              <w:t>Nine Months Ended</w:t>
            </w:r>
          </w:p>
        </w:tc>
        <w:tc>
          <w:tcPr>
            <w:tcW w:w="1420" w:type="dxa"/>
            <w:vAlign w:val="bottom"/>
          </w:tcPr>
          <w:p>
            <w:pPr>
              <w:spacing w:after="0"/>
              <w:rPr>
                <w:sz w:val="15"/>
                <w:szCs w:val="15"/>
                <w:color w:val="auto"/>
              </w:rPr>
            </w:pPr>
          </w:p>
        </w:tc>
      </w:tr>
      <w:tr>
        <w:trPr>
          <w:trHeight w:val="189"/>
        </w:trPr>
        <w:tc>
          <w:tcPr>
            <w:tcW w:w="27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205"/>
              <w:spacing w:after="0"/>
              <w:rPr>
                <w:sz w:val="20"/>
                <w:szCs w:val="20"/>
                <w:color w:val="auto"/>
              </w:rPr>
            </w:pPr>
            <w:r>
              <w:rPr>
                <w:rFonts w:ascii="Arial" w:cs="Arial" w:eastAsia="Arial" w:hAnsi="Arial"/>
                <w:sz w:val="14"/>
                <w:szCs w:val="14"/>
                <w:b w:val="1"/>
                <w:bCs w:val="1"/>
                <w:color w:val="auto"/>
                <w:w w:val="93"/>
              </w:rPr>
              <w:t>September 30,</w:t>
            </w:r>
          </w:p>
        </w:tc>
        <w:tc>
          <w:tcPr>
            <w:tcW w:w="1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w w:val="93"/>
              </w:rPr>
              <w:t>September 30,</w:t>
            </w:r>
          </w:p>
        </w:tc>
        <w:tc>
          <w:tcPr>
            <w:tcW w:w="1420" w:type="dxa"/>
            <w:vAlign w:val="bottom"/>
            <w:tcBorders>
              <w:bottom w:val="single" w:sz="8" w:color="auto"/>
            </w:tcBorders>
          </w:tcPr>
          <w:p>
            <w:pPr>
              <w:spacing w:after="0"/>
              <w:rPr>
                <w:sz w:val="16"/>
                <w:szCs w:val="16"/>
                <w:color w:val="auto"/>
              </w:rPr>
            </w:pPr>
          </w:p>
        </w:tc>
      </w:tr>
      <w:tr>
        <w:trPr>
          <w:trHeight w:val="182"/>
        </w:trPr>
        <w:tc>
          <w:tcPr>
            <w:tcW w:w="27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400" w:type="dxa"/>
            <w:vAlign w:val="bottom"/>
            <w:tcBorders>
              <w:bottom w:val="single" w:sz="8" w:color="auto"/>
            </w:tcBorders>
          </w:tcPr>
          <w:p>
            <w:pPr>
              <w:jc w:val="right"/>
              <w:ind w:right="265"/>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65"/>
              <w:spacing w:after="0"/>
              <w:rPr>
                <w:sz w:val="20"/>
                <w:szCs w:val="20"/>
                <w:color w:val="auto"/>
              </w:rPr>
            </w:pPr>
            <w:r>
              <w:rPr>
                <w:rFonts w:ascii="Arial" w:cs="Arial" w:eastAsia="Arial" w:hAnsi="Arial"/>
                <w:sz w:val="14"/>
                <w:szCs w:val="14"/>
                <w:b w:val="1"/>
                <w:bCs w:val="1"/>
                <w:color w:val="auto"/>
              </w:rPr>
              <w:t>2020</w:t>
            </w:r>
          </w:p>
        </w:tc>
        <w:tc>
          <w:tcPr>
            <w:tcW w:w="1420" w:type="dxa"/>
            <w:vAlign w:val="bottom"/>
            <w:tcBorders>
              <w:bottom w:val="single" w:sz="8" w:color="auto"/>
            </w:tcBorders>
          </w:tcPr>
          <w:p>
            <w:pPr>
              <w:jc w:val="right"/>
              <w:ind w:right="263"/>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960" w:type="dxa"/>
            <w:vAlign w:val="bottom"/>
            <w:gridSpan w:val="5"/>
          </w:tcPr>
          <w:p>
            <w:pPr>
              <w:ind w:left="800"/>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11"/>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(9,442)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(3,159)</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(27,852)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07"/>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w:t>
            </w:r>
          </w:p>
        </w:tc>
        <w:tc>
          <w:tcPr>
            <w:tcW w:w="8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91 %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(2,484)</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221 %</w:t>
            </w:r>
          </w:p>
        </w:tc>
      </w:tr>
      <w:tr>
        <w:trPr>
          <w:trHeight w:val="206"/>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 net</w:t>
            </w:r>
          </w:p>
        </w:tc>
        <w:tc>
          <w:tcPr>
            <w:tcW w:w="860" w:type="dxa"/>
            <w:vAlign w:val="bottom"/>
            <w:shd w:val="clear" w:color="auto" w:fill="CCEEFF"/>
          </w:tcPr>
          <w:p>
            <w:pPr>
              <w:jc w:val="right"/>
              <w:ind w:right="684"/>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(9,490)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(3,667)</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(24,850)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(11,645)</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bl>
    <w:p>
      <w:pPr>
        <w:spacing w:after="0" w:line="303"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Other expense, net increased by 159% to $9.5 million in the three months ended September 30, 2021 from $3.7 million in the comparable period in 2020 due to interest expense attributable to the 2024 Notes and the 2026 Notes and financial income which is attributable to currency rate fluctuations, partially offset by interest income on cash and cash equivalents.</w:t>
      </w:r>
    </w:p>
    <w:p>
      <w:pPr>
        <w:spacing w:after="0" w:line="214" w:lineRule="exact"/>
        <w:rPr>
          <w:sz w:val="20"/>
          <w:szCs w:val="20"/>
          <w:color w:val="auto"/>
        </w:rPr>
      </w:pPr>
    </w:p>
    <w:p>
      <w:pPr>
        <w:jc w:val="both"/>
        <w:ind w:firstLine="420"/>
        <w:spacing w:after="0" w:line="298" w:lineRule="auto"/>
        <w:rPr>
          <w:sz w:val="20"/>
          <w:szCs w:val="20"/>
          <w:color w:val="auto"/>
        </w:rPr>
      </w:pPr>
      <w:r>
        <w:rPr>
          <w:rFonts w:ascii="Arial" w:cs="Arial" w:eastAsia="Arial" w:hAnsi="Arial"/>
          <w:sz w:val="16"/>
          <w:szCs w:val="16"/>
          <w:color w:val="auto"/>
        </w:rPr>
        <w:t>Other expense, net increased by 113% to $24.9 million in the nine months ended September 30, 2021 from $11.6 million in the comparable period in 2020 due to interest expense attributable to the 2024 Notes and the 2026 Notes and financial income which is attributable to currency rate fluctuations, partially offset by the gain on the settlement of leases and interest income on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(Benefit from) Income Taxes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Three Months Ended</w:t>
            </w: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2"/>
          </w:tcPr>
          <w:p>
            <w:pPr>
              <w:jc w:val="center"/>
              <w:ind w:right="107"/>
              <w:spacing w:after="0"/>
              <w:rPr>
                <w:sz w:val="20"/>
                <w:szCs w:val="20"/>
                <w:color w:val="auto"/>
              </w:rPr>
            </w:pPr>
            <w:r>
              <w:rPr>
                <w:rFonts w:ascii="Arial" w:cs="Arial" w:eastAsia="Arial" w:hAnsi="Arial"/>
                <w:sz w:val="14"/>
                <w:szCs w:val="14"/>
                <w:b w:val="1"/>
                <w:bCs w:val="1"/>
                <w:color w:val="auto"/>
                <w:w w:val="90"/>
              </w:rPr>
              <w:t>Nine Months Ended</w:t>
            </w:r>
          </w:p>
        </w:tc>
        <w:tc>
          <w:tcPr>
            <w:tcW w:w="1200" w:type="dxa"/>
            <w:vAlign w:val="bottom"/>
          </w:tcPr>
          <w:p>
            <w:pPr>
              <w:spacing w:after="0"/>
              <w:rPr>
                <w:sz w:val="15"/>
                <w:szCs w:val="15"/>
                <w:color w:val="auto"/>
              </w:rPr>
            </w:pPr>
          </w:p>
        </w:tc>
      </w:tr>
      <w:tr>
        <w:trPr>
          <w:trHeight w:val="189"/>
        </w:trPr>
        <w:tc>
          <w:tcPr>
            <w:tcW w:w="27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w w:val="93"/>
              </w:rPr>
              <w:t>September 30,</w:t>
            </w: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47"/>
              <w:spacing w:after="0"/>
              <w:rPr>
                <w:sz w:val="20"/>
                <w:szCs w:val="20"/>
                <w:color w:val="auto"/>
              </w:rPr>
            </w:pPr>
            <w:r>
              <w:rPr>
                <w:rFonts w:ascii="Arial" w:cs="Arial" w:eastAsia="Arial" w:hAnsi="Arial"/>
                <w:sz w:val="14"/>
                <w:szCs w:val="14"/>
                <w:b w:val="1"/>
                <w:bCs w:val="1"/>
                <w:color w:val="auto"/>
                <w:w w:val="89"/>
              </w:rPr>
              <w:t>September 30,</w:t>
            </w:r>
          </w:p>
        </w:tc>
        <w:tc>
          <w:tcPr>
            <w:tcW w:w="1200" w:type="dxa"/>
            <w:vAlign w:val="bottom"/>
            <w:tcBorders>
              <w:bottom w:val="single" w:sz="8" w:color="auto"/>
            </w:tcBorders>
          </w:tcPr>
          <w:p>
            <w:pPr>
              <w:spacing w:after="0"/>
              <w:rPr>
                <w:sz w:val="16"/>
                <w:szCs w:val="16"/>
                <w:color w:val="auto"/>
              </w:rPr>
            </w:pPr>
          </w:p>
        </w:tc>
      </w:tr>
      <w:tr>
        <w:trPr>
          <w:trHeight w:val="182"/>
        </w:trPr>
        <w:tc>
          <w:tcPr>
            <w:tcW w:w="270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67"/>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67"/>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87"/>
              <w:spacing w:after="0"/>
              <w:rPr>
                <w:sz w:val="20"/>
                <w:szCs w:val="20"/>
                <w:color w:val="auto"/>
              </w:rPr>
            </w:pPr>
            <w:r>
              <w:rPr>
                <w:rFonts w:ascii="Arial" w:cs="Arial" w:eastAsia="Arial" w:hAnsi="Arial"/>
                <w:sz w:val="14"/>
                <w:szCs w:val="14"/>
                <w:b w:val="1"/>
                <w:bCs w:val="1"/>
                <w:color w:val="auto"/>
              </w:rPr>
              <w:t>2020</w:t>
            </w:r>
          </w:p>
        </w:tc>
        <w:tc>
          <w:tcPr>
            <w:tcW w:w="120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 Change</w:t>
            </w:r>
          </w:p>
        </w:tc>
      </w:tr>
      <w:tr>
        <w:trPr>
          <w:trHeight w:val="177"/>
        </w:trPr>
        <w:tc>
          <w:tcPr>
            <w:tcW w:w="2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160" w:type="dxa"/>
            <w:vAlign w:val="bottom"/>
            <w:gridSpan w:val="3"/>
          </w:tcPr>
          <w:p>
            <w:pPr>
              <w:jc w:val="right"/>
              <w:ind w:right="166"/>
              <w:spacing w:after="0"/>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1"/>
        </w:trPr>
        <w:tc>
          <w:tcPr>
            <w:tcW w:w="3580" w:type="dxa"/>
            <w:vAlign w:val="bottom"/>
            <w:gridSpan w:val="2"/>
            <w:shd w:val="clear" w:color="auto" w:fill="CCEEFF"/>
          </w:tcPr>
          <w:p>
            <w:pPr>
              <w:jc w:val="right"/>
              <w:ind w:right="710"/>
              <w:spacing w:after="0"/>
              <w:rPr>
                <w:sz w:val="20"/>
                <w:szCs w:val="20"/>
                <w:color w:val="auto"/>
              </w:rPr>
            </w:pPr>
            <w:r>
              <w:rPr>
                <w:rFonts w:ascii="Arial" w:cs="Arial" w:eastAsia="Arial" w:hAnsi="Arial"/>
                <w:sz w:val="16"/>
                <w:szCs w:val="16"/>
                <w:color w:val="auto"/>
                <w:w w:val="92"/>
              </w:rPr>
              <w:t>Provision for (benefit from) income taxes $</w:t>
            </w:r>
          </w:p>
        </w:tc>
        <w:tc>
          <w:tcPr>
            <w:tcW w:w="5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9"/>
              </w:rPr>
              <w:t>2,538</w:t>
            </w:r>
          </w:p>
        </w:tc>
        <w:tc>
          <w:tcPr>
            <w:tcW w:w="2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(100)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8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99"/>
              </w:rPr>
              <w:t>2,285</w:t>
            </w:r>
          </w:p>
        </w:tc>
        <w:tc>
          <w:tcPr>
            <w:tcW w:w="24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67"/>
              <w:spacing w:after="0"/>
              <w:rPr>
                <w:sz w:val="20"/>
                <w:szCs w:val="20"/>
                <w:color w:val="auto"/>
              </w:rPr>
            </w:pPr>
            <w:r>
              <w:rPr>
                <w:rFonts w:ascii="Arial" w:cs="Arial" w:eastAsia="Arial" w:hAnsi="Arial"/>
                <w:sz w:val="16"/>
                <w:szCs w:val="16"/>
                <w:color w:val="auto"/>
              </w:rPr>
              <w:t>(87)</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w:t>
            </w:r>
          </w:p>
        </w:tc>
      </w:tr>
    </w:tbl>
    <w:p>
      <w:pPr>
        <w:spacing w:after="0" w:line="316" w:lineRule="exact"/>
        <w:rPr>
          <w:sz w:val="20"/>
          <w:szCs w:val="20"/>
          <w:color w:val="auto"/>
        </w:rPr>
      </w:pPr>
    </w:p>
    <w:p>
      <w:pPr>
        <w:jc w:val="both"/>
        <w:ind w:firstLine="420"/>
        <w:spacing w:after="0" w:line="315" w:lineRule="auto"/>
        <w:rPr>
          <w:sz w:val="20"/>
          <w:szCs w:val="20"/>
          <w:color w:val="auto"/>
        </w:rPr>
      </w:pPr>
      <w:r>
        <w:rPr>
          <w:rFonts w:ascii="Arial" w:cs="Arial" w:eastAsia="Arial" w:hAnsi="Arial"/>
          <w:sz w:val="15"/>
          <w:szCs w:val="15"/>
          <w:color w:val="auto"/>
        </w:rPr>
        <w:t>We had a tax provision of $2.5 million and $2.3 million for the three and nine months ended September 30, 2021, respectively. Benefit from income taxes was $0.1 million for the three months ended September 30, 2020 and provision for income taxes was less than $0.1 million in the nine months ended September 30, 2020. Our consolidated effective tax rate was impacted by the statutory income tax rates applicable to each of the jurisdictions in which we operate, excess tax benefits from stock compensation deductions recognized in the United Kingdom and Israel, valuation allowance recorded against operating</w:t>
      </w:r>
    </w:p>
    <w:p>
      <w:pPr>
        <w:spacing w:after="0" w:line="200" w:lineRule="exact"/>
        <w:rPr>
          <w:sz w:val="20"/>
          <w:szCs w:val="20"/>
          <w:color w:val="auto"/>
        </w:rPr>
      </w:pPr>
    </w:p>
    <w:p>
      <w:pPr>
        <w:spacing w:after="0" w:line="31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3" w:name="page54"/>
    <w:bookmarkEnd w:id="53"/>
    <w:p>
      <w:pPr>
        <w:jc w:val="both"/>
        <w:spacing w:after="0" w:line="260" w:lineRule="auto"/>
        <w:rPr>
          <w:sz w:val="20"/>
          <w:szCs w:val="20"/>
          <w:color w:val="auto"/>
        </w:rPr>
      </w:pPr>
      <w:r>
        <w:rPr>
          <w:rFonts w:ascii="Arial" w:cs="Arial" w:eastAsia="Arial" w:hAnsi="Arial"/>
          <w:sz w:val="18"/>
          <w:szCs w:val="18"/>
          <w:color w:val="auto"/>
        </w:rPr>
        <w:t>losses that cannot be benefitted, and a change in estimate of uncertain tax benefits related to stock compensation deductions for Kasamba Israel and LivePerson Ltd. Israel.</w:t>
      </w:r>
    </w:p>
    <w:p>
      <w:pPr>
        <w:spacing w:after="0" w:line="208"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For the three months ended September 30, 2021, the Company recorded a tax provision of $2.5 million. This amount consists of a tax provision of $2.7 million on operating earnings for the period offset by a tax a benefit of $0.2 million excess tax benefit related to stock compensation deductions for LivePerson UK and LivePerson Ltd. (Israel).</w:t>
      </w:r>
    </w:p>
    <w:p>
      <w:pPr>
        <w:spacing w:after="0" w:line="214"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For the nine months ended September 30, 2021, the Company recorded a tax provision of $2.3 million. This amount consists of a tax provision of $4.3 million on operating earnings offset by a tax benefit of $1.5 million for the release of a reserve of uncertain tax benefits recorded against deferred tax assets related to Israeli stock compensation deductions and a benefit of $0.5 million for excess tax benefits from stock compensation deductions recognized in the United Kingdom and Israel.</w:t>
      </w:r>
    </w:p>
    <w:p>
      <w:pPr>
        <w:spacing w:after="0" w:line="218" w:lineRule="exact"/>
        <w:rPr>
          <w:sz w:val="20"/>
          <w:szCs w:val="20"/>
          <w:color w:val="auto"/>
        </w:rPr>
      </w:pPr>
    </w:p>
    <w:p>
      <w:pPr>
        <w:jc w:val="both"/>
        <w:ind w:firstLine="420"/>
        <w:spacing w:after="0" w:line="323" w:lineRule="auto"/>
        <w:rPr>
          <w:sz w:val="20"/>
          <w:szCs w:val="20"/>
          <w:color w:val="auto"/>
        </w:rPr>
      </w:pPr>
      <w:r>
        <w:rPr>
          <w:rFonts w:ascii="Arial" w:cs="Arial" w:eastAsia="Arial" w:hAnsi="Arial"/>
          <w:sz w:val="16"/>
          <w:szCs w:val="16"/>
          <w:color w:val="auto"/>
        </w:rPr>
        <w:t>A statutory rate change in the United Kingdom was enacted during the nine months ended September 30, 2021. Effective April 1, 2023, the tax rate will increase from 19% to 25%. During the period, the Company assessed the impact of the rate change and concluded that it is immaterial to its deferred taxes.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We had a net loss of $32.8 million and $75.1 million in the three and nine months ended September 30, 2021, respectively, compared to a net loss of $38.7 million and $94.3 million for the three and nine months ended September 30, 2020, respectively.</w:t>
      </w:r>
    </w:p>
    <w:p>
      <w:pPr>
        <w:spacing w:after="0" w:line="202"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Liquidity and Capital Resources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left="446"/>
              <w:spacing w:after="0"/>
              <w:rPr>
                <w:sz w:val="20"/>
                <w:szCs w:val="20"/>
                <w:color w:val="auto"/>
              </w:rPr>
            </w:pPr>
            <w:r>
              <w:rPr>
                <w:rFonts w:ascii="Arial" w:cs="Arial" w:eastAsia="Arial" w:hAnsi="Arial"/>
                <w:sz w:val="14"/>
                <w:szCs w:val="14"/>
                <w:b w:val="1"/>
                <w:bCs w:val="1"/>
                <w:color w:val="auto"/>
                <w:w w:val="91"/>
              </w:rPr>
              <w:t>Nine Months Ended</w:t>
            </w:r>
          </w:p>
        </w:tc>
        <w:tc>
          <w:tcPr>
            <w:tcW w:w="84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446"/>
              <w:spacing w:after="0"/>
              <w:rPr>
                <w:sz w:val="20"/>
                <w:szCs w:val="20"/>
                <w:color w:val="auto"/>
              </w:rPr>
            </w:pPr>
            <w:r>
              <w:rPr>
                <w:rFonts w:ascii="Arial" w:cs="Arial" w:eastAsia="Arial" w:hAnsi="Arial"/>
                <w:sz w:val="14"/>
                <w:szCs w:val="14"/>
                <w:b w:val="1"/>
                <w:bCs w:val="1"/>
                <w:color w:val="auto"/>
                <w:w w:val="87"/>
              </w:rPr>
              <w:t>September 30,</w:t>
            </w:r>
          </w:p>
        </w:tc>
        <w:tc>
          <w:tcPr>
            <w:tcW w:w="840" w:type="dxa"/>
            <w:vAlign w:val="bottom"/>
            <w:tcBorders>
              <w:bottom w:val="single" w:sz="8" w:color="auto"/>
            </w:tcBorders>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26"/>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3"/>
              </w:rPr>
              <w:t>2020</w:t>
            </w:r>
          </w:p>
        </w:tc>
      </w:tr>
      <w:tr>
        <w:trPr>
          <w:trHeight w:val="177"/>
        </w:trPr>
        <w:tc>
          <w:tcPr>
            <w:tcW w:w="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20" w:type="dxa"/>
            <w:vAlign w:val="bottom"/>
            <w:gridSpan w:val="2"/>
          </w:tcPr>
          <w:p>
            <w:pPr>
              <w:jc w:val="center"/>
              <w:ind w:left="446"/>
              <w:spacing w:after="0"/>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5"/>
                <w:szCs w:val="15"/>
                <w:color w:val="auto"/>
              </w:rPr>
            </w:pPr>
          </w:p>
        </w:tc>
      </w:tr>
      <w:tr>
        <w:trPr>
          <w:trHeight w:val="191"/>
        </w:trPr>
        <w:tc>
          <w:tcPr>
            <w:tcW w:w="20" w:type="dxa"/>
            <w:vAlign w:val="bottom"/>
            <w:tcBorders>
              <w:bottom w:val="single" w:sz="8" w:color="CCEEFF"/>
            </w:tcBorders>
            <w:shd w:val="clear" w:color="auto" w:fill="CCEEFF"/>
          </w:tcPr>
          <w:p>
            <w:pPr>
              <w:spacing w:after="0"/>
              <w:rPr>
                <w:sz w:val="16"/>
                <w:szCs w:val="16"/>
                <w:color w:val="auto"/>
              </w:rPr>
            </w:pPr>
          </w:p>
        </w:tc>
        <w:tc>
          <w:tcPr>
            <w:tcW w:w="3080" w:type="dxa"/>
            <w:vAlign w:val="bottom"/>
            <w:tcBorders>
              <w:bottom w:val="single" w:sz="8" w:color="auto"/>
            </w:tcBorders>
            <w:shd w:val="clear" w:color="auto" w:fill="CCEEFF"/>
          </w:tcPr>
          <w:p>
            <w:pPr>
              <w:spacing w:after="0" w:line="171" w:lineRule="exact"/>
              <w:rPr>
                <w:sz w:val="20"/>
                <w:szCs w:val="20"/>
                <w:color w:val="auto"/>
              </w:rPr>
            </w:pPr>
            <w:r>
              <w:rPr>
                <w:rFonts w:ascii="Arial" w:cs="Arial" w:eastAsia="Arial" w:hAnsi="Arial"/>
                <w:sz w:val="16"/>
                <w:szCs w:val="16"/>
                <w:b w:val="1"/>
                <w:bCs w:val="1"/>
                <w:color w:val="auto"/>
                <w:w w:val="87"/>
              </w:rPr>
              <w:t>Consolidated Statements of Cash Flows Data:</w:t>
            </w:r>
          </w:p>
        </w:tc>
        <w:tc>
          <w:tcPr>
            <w:tcW w:w="52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r>
      <w:tr>
        <w:trPr>
          <w:trHeight w:val="207"/>
        </w:trPr>
        <w:tc>
          <w:tcPr>
            <w:tcW w:w="8360" w:type="dxa"/>
            <w:vAlign w:val="bottom"/>
            <w:gridSpan w:val="3"/>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center"/>
              <w:ind w:left="366"/>
              <w:spacing w:after="0"/>
              <w:rPr>
                <w:sz w:val="20"/>
                <w:szCs w:val="20"/>
                <w:color w:val="auto"/>
              </w:rPr>
            </w:pPr>
            <w:r>
              <w:rPr>
                <w:rFonts w:ascii="Arial" w:cs="Arial" w:eastAsia="Arial" w:hAnsi="Arial"/>
                <w:sz w:val="16"/>
                <w:szCs w:val="16"/>
                <w:color w:val="auto"/>
                <w:w w:val="89"/>
              </w:rPr>
              <w:t>35,642</w:t>
            </w:r>
          </w:p>
        </w:tc>
        <w:tc>
          <w:tcPr>
            <w:tcW w:w="600" w:type="dxa"/>
            <w:vAlign w:val="bottom"/>
          </w:tcPr>
          <w:p>
            <w:pPr>
              <w:jc w:val="right"/>
              <w:ind w:right="381"/>
              <w:spacing w:after="0"/>
              <w:rPr>
                <w:sz w:val="20"/>
                <w:szCs w:val="20"/>
                <w:color w:val="auto"/>
              </w:rPr>
            </w:pPr>
            <w:r>
              <w:rPr>
                <w:rFonts w:ascii="Arial" w:cs="Arial" w:eastAsia="Arial" w:hAnsi="Arial"/>
                <w:sz w:val="16"/>
                <w:szCs w:val="16"/>
                <w:color w:val="auto"/>
              </w:rPr>
              <w:t>$</w:t>
            </w:r>
          </w:p>
        </w:tc>
        <w:tc>
          <w:tcPr>
            <w:tcW w:w="840" w:type="dxa"/>
            <w:vAlign w:val="bottom"/>
          </w:tcPr>
          <w:p>
            <w:pPr>
              <w:jc w:val="center"/>
              <w:ind w:left="203"/>
              <w:spacing w:after="0"/>
              <w:rPr>
                <w:sz w:val="20"/>
                <w:szCs w:val="20"/>
                <w:color w:val="auto"/>
              </w:rPr>
            </w:pPr>
            <w:r>
              <w:rPr>
                <w:rFonts w:ascii="Arial" w:cs="Arial" w:eastAsia="Arial" w:hAnsi="Arial"/>
                <w:sz w:val="16"/>
                <w:szCs w:val="16"/>
                <w:color w:val="auto"/>
                <w:w w:val="89"/>
              </w:rPr>
              <w:t>37,655</w:t>
            </w:r>
          </w:p>
        </w:tc>
      </w:tr>
      <w:tr>
        <w:trPr>
          <w:trHeight w:val="213"/>
        </w:trPr>
        <w:tc>
          <w:tcPr>
            <w:tcW w:w="83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346"/>
              <w:spacing w:after="0"/>
              <w:rPr>
                <w:sz w:val="20"/>
                <w:szCs w:val="20"/>
                <w:color w:val="auto"/>
              </w:rPr>
            </w:pPr>
            <w:r>
              <w:rPr>
                <w:rFonts w:ascii="Arial" w:cs="Arial" w:eastAsia="Arial" w:hAnsi="Arial"/>
                <w:sz w:val="16"/>
                <w:szCs w:val="16"/>
                <w:color w:val="auto"/>
                <w:w w:val="90"/>
              </w:rPr>
              <w:t>(60,721)</w:t>
            </w:r>
          </w:p>
        </w:tc>
        <w:tc>
          <w:tcPr>
            <w:tcW w:w="600" w:type="dxa"/>
            <w:vAlign w:val="bottom"/>
            <w:shd w:val="clear" w:color="auto" w:fill="CCEEFF"/>
          </w:tcPr>
          <w:p>
            <w:pPr>
              <w:spacing w:after="0"/>
              <w:rPr>
                <w:sz w:val="18"/>
                <w:szCs w:val="18"/>
                <w:color w:val="auto"/>
              </w:rPr>
            </w:pPr>
          </w:p>
        </w:tc>
        <w:tc>
          <w:tcPr>
            <w:tcW w:w="840" w:type="dxa"/>
            <w:vAlign w:val="bottom"/>
            <w:shd w:val="clear" w:color="auto" w:fill="CCEEFF"/>
          </w:tcPr>
          <w:p>
            <w:pPr>
              <w:jc w:val="center"/>
              <w:ind w:left="183"/>
              <w:spacing w:after="0"/>
              <w:rPr>
                <w:sz w:val="20"/>
                <w:szCs w:val="20"/>
                <w:color w:val="auto"/>
              </w:rPr>
            </w:pPr>
            <w:r>
              <w:rPr>
                <w:rFonts w:ascii="Arial" w:cs="Arial" w:eastAsia="Arial" w:hAnsi="Arial"/>
                <w:sz w:val="16"/>
                <w:szCs w:val="16"/>
                <w:color w:val="auto"/>
                <w:w w:val="90"/>
              </w:rPr>
              <w:t>(34,163)</w:t>
            </w:r>
          </w:p>
        </w:tc>
      </w:tr>
      <w:tr>
        <w:trPr>
          <w:trHeight w:val="204"/>
        </w:trPr>
        <w:tc>
          <w:tcPr>
            <w:tcW w:w="8360" w:type="dxa"/>
            <w:vAlign w:val="bottom"/>
            <w:gridSpan w:val="3"/>
          </w:tcPr>
          <w:p>
            <w:pPr>
              <w:ind w:left="20"/>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7"/>
                <w:szCs w:val="17"/>
                <w:color w:val="auto"/>
              </w:rPr>
            </w:pPr>
          </w:p>
        </w:tc>
        <w:tc>
          <w:tcPr>
            <w:tcW w:w="1120" w:type="dxa"/>
            <w:vAlign w:val="bottom"/>
          </w:tcPr>
          <w:p>
            <w:pPr>
              <w:jc w:val="center"/>
              <w:ind w:left="366"/>
              <w:spacing w:after="0"/>
              <w:rPr>
                <w:sz w:val="20"/>
                <w:szCs w:val="20"/>
                <w:color w:val="auto"/>
              </w:rPr>
            </w:pPr>
            <w:r>
              <w:rPr>
                <w:rFonts w:ascii="Arial" w:cs="Arial" w:eastAsia="Arial" w:hAnsi="Arial"/>
                <w:sz w:val="16"/>
                <w:szCs w:val="16"/>
                <w:color w:val="auto"/>
                <w:w w:val="89"/>
              </w:rPr>
              <w:t>10,521</w:t>
            </w:r>
          </w:p>
        </w:tc>
        <w:tc>
          <w:tcPr>
            <w:tcW w:w="600" w:type="dxa"/>
            <w:vAlign w:val="bottom"/>
          </w:tcPr>
          <w:p>
            <w:pPr>
              <w:spacing w:after="0"/>
              <w:rPr>
                <w:sz w:val="17"/>
                <w:szCs w:val="17"/>
                <w:color w:val="auto"/>
              </w:rPr>
            </w:pPr>
          </w:p>
        </w:tc>
        <w:tc>
          <w:tcPr>
            <w:tcW w:w="840" w:type="dxa"/>
            <w:vAlign w:val="bottom"/>
          </w:tcPr>
          <w:p>
            <w:pPr>
              <w:jc w:val="center"/>
              <w:ind w:left="203"/>
              <w:spacing w:after="0"/>
              <w:rPr>
                <w:sz w:val="20"/>
                <w:szCs w:val="20"/>
                <w:color w:val="auto"/>
              </w:rPr>
            </w:pPr>
            <w:r>
              <w:rPr>
                <w:rFonts w:ascii="Arial" w:cs="Arial" w:eastAsia="Arial" w:hAnsi="Arial"/>
                <w:sz w:val="16"/>
                <w:szCs w:val="16"/>
                <w:color w:val="auto"/>
                <w:w w:val="89"/>
              </w:rPr>
              <w:t>17,147</w:t>
            </w:r>
          </w:p>
        </w:tc>
      </w:tr>
    </w:tbl>
    <w:p>
      <w:pPr>
        <w:spacing w:after="0" w:line="322"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As of September 30, 2021, we had approximately $634.5 million in cash, cash equivalents, and restricted cash, a decrease of approximately $19.6 million from December 31, 2020. The decrease is primarily attributable to the acquisition costs of e-bot7, partially offset by increases in changes in operating assets and liabilities.</w:t>
      </w:r>
    </w:p>
    <w:p>
      <w:pPr>
        <w:spacing w:after="0" w:line="214"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Net cash provided by operating activities was $35.6 million for the nine months ended September 30, 2021. Our net loss of $75.1 million was offset by non-cash expenses: stock-based compensation of $48.0 million; depreciation of $20.5 million; an increase in deferred revenue of $14.9 million; and an increase in accrued expenses of $22.2 million. This was partially offset by increases in accounts receivable of $5.8 million and prepaid expenses of $10.3 million. Net cash provided by operating activities was $37.7 million for the nine months ended September 30, 2020. Our net loss of $94.3 million for the nine months ended September 30, 2020 was offset by non-cash expenses: stock-based compensation of $46.2 million; depreciation and amortization of $17.2 million; an increase in accounts receivable of $19.2 million and accrued expenses of $36.9 million.</w:t>
      </w:r>
    </w:p>
    <w:p>
      <w:pPr>
        <w:spacing w:after="0" w:line="195" w:lineRule="exact"/>
        <w:rPr>
          <w:sz w:val="20"/>
          <w:szCs w:val="20"/>
          <w:color w:val="auto"/>
        </w:rPr>
      </w:pPr>
    </w:p>
    <w:p>
      <w:pPr>
        <w:jc w:val="both"/>
        <w:ind w:firstLine="420"/>
        <w:spacing w:after="0" w:line="290" w:lineRule="auto"/>
        <w:rPr>
          <w:sz w:val="20"/>
          <w:szCs w:val="20"/>
          <w:color w:val="auto"/>
        </w:rPr>
      </w:pPr>
      <w:r>
        <w:rPr>
          <w:rFonts w:ascii="Arial" w:cs="Arial" w:eastAsia="Arial" w:hAnsi="Arial"/>
          <w:sz w:val="16"/>
          <w:szCs w:val="16"/>
          <w:color w:val="auto"/>
        </w:rPr>
        <w:t>Net cash used in investing activities was $60.7 million for the nine months ended September 30, 2021 and was driven primarily by the acquisition costs related to goodwill for the purchase of e-bot7, the purchase of fixed assets for our co-location facilities, capitalization of internally developed software, and the repayment of the loan acquired with e-bot7. Net cash used in investing activities was $34.2 million for the nine months ended September 30, 2020 and consisted primarily of the purchase of fixed assets for our co-location facilities and capitalization of internally developed software.</w:t>
      </w:r>
    </w:p>
    <w:p>
      <w:pPr>
        <w:spacing w:after="0" w:line="187"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Net cash provided by financing activities was $10.5 million for the nine months ended September 30, 2021, consisting primarily of proceeds from issuance of common stock in connection with the exercise of stock options by employees. Net cash provided by financing activities was $17.1 million for the nine months ended September 30, 2020 and consisted primarily of proceeds from issuance of common stock in connection with the exercise of stock options by employees.</w:t>
      </w:r>
    </w:p>
    <w:p>
      <w:pPr>
        <w:spacing w:after="0" w:line="200" w:lineRule="exact"/>
        <w:rPr>
          <w:sz w:val="20"/>
          <w:szCs w:val="20"/>
          <w:color w:val="auto"/>
        </w:rPr>
      </w:pPr>
    </w:p>
    <w:p>
      <w:pPr>
        <w:spacing w:after="0" w:line="35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4" w:name="page55"/>
    <w:bookmarkEnd w:id="54"/>
    <w:p>
      <w:pPr>
        <w:jc w:val="both"/>
        <w:ind w:firstLine="420"/>
        <w:spacing w:after="0" w:line="290" w:lineRule="auto"/>
        <w:rPr>
          <w:sz w:val="20"/>
          <w:szCs w:val="20"/>
          <w:color w:val="auto"/>
        </w:rPr>
      </w:pPr>
      <w:r>
        <w:rPr>
          <w:rFonts w:ascii="Arial" w:cs="Arial" w:eastAsia="Arial" w:hAnsi="Arial"/>
          <w:sz w:val="16"/>
          <w:szCs w:val="16"/>
          <w:color w:val="auto"/>
        </w:rPr>
        <w:t>We have incurred significant expenses to develop our technology and services, to hire employees in our customer service, sales, marketing and administration departments, and for the amortization of purchased intangible assets, as well as non-cash compensation costs. Historically, we have incurred net losses and negative cash flows for various quarterly and annual periods since our inception, including during numerous quarters and annual periods in the past several years. As of September 30, 2021, we had an accumulated deficit of approximately $467.0 million.</w:t>
      </w:r>
    </w:p>
    <w:p>
      <w:pPr>
        <w:spacing w:after="0" w:line="187" w:lineRule="exact"/>
        <w:rPr>
          <w:sz w:val="20"/>
          <w:szCs w:val="20"/>
          <w:color w:val="auto"/>
        </w:rPr>
      </w:pPr>
    </w:p>
    <w:p>
      <w:pPr>
        <w:jc w:val="both"/>
        <w:ind w:firstLine="420"/>
        <w:spacing w:after="0" w:line="247" w:lineRule="auto"/>
        <w:rPr>
          <w:sz w:val="20"/>
          <w:szCs w:val="20"/>
          <w:color w:val="auto"/>
        </w:rPr>
      </w:pPr>
      <w:r>
        <w:rPr>
          <w:rFonts w:ascii="Arial" w:cs="Arial" w:eastAsia="Arial" w:hAnsi="Arial"/>
          <w:sz w:val="18"/>
          <w:szCs w:val="18"/>
          <w:color w:val="auto"/>
        </w:rPr>
        <w:t>In response to the COVID-19 pandemic, we had undertaken a re-evaluation of our real estate needs. In connection with this re-evaluation, and the success we have had working remotely for the past several months, we significantly reduced the real estate space we lease. This resulted in various one-time cash expenses in connection with early termination of some of our leases. During the second quarter of 2021, we decided to reoccupy some of our leased space to provide our employees with the option of working in an office space environment if they choose to do so as well as provide some remote shared space working locations globally.</w:t>
      </w:r>
    </w:p>
    <w:p>
      <w:pPr>
        <w:spacing w:after="0" w:line="221" w:lineRule="exact"/>
        <w:rPr>
          <w:sz w:val="20"/>
          <w:szCs w:val="20"/>
          <w:color w:val="auto"/>
        </w:rPr>
      </w:pPr>
    </w:p>
    <w:p>
      <w:pPr>
        <w:jc w:val="both"/>
        <w:ind w:firstLine="420"/>
        <w:spacing w:after="0" w:line="280" w:lineRule="auto"/>
        <w:rPr>
          <w:sz w:val="20"/>
          <w:szCs w:val="20"/>
          <w:color w:val="auto"/>
        </w:rPr>
      </w:pPr>
      <w:r>
        <w:rPr>
          <w:rFonts w:ascii="Arial" w:cs="Arial" w:eastAsia="Arial" w:hAnsi="Arial"/>
          <w:sz w:val="16"/>
          <w:szCs w:val="16"/>
          <w:color w:val="auto"/>
        </w:rPr>
        <w:t>Our principal sources of liquidity are the net proceeds from the issuance of our convertible senior notes, after deducting purchaser discounts and debt issuance costs paid by us, issuance of common stock in connection with the exercise of options, and payments received from customers using our products. We anticipate that our current cash and cash equivalents will be sufficient to satisfy our working capital and capital requirements for at least the next 12 months. However, we cannot assure you that we will not require additional funds prior to such time, and we would then seek to sell additional equity or debt securities through public financings, or seek alternative sources of financing. We cannot assure you that additional funding will be available on favorable terms, when needed, if at all. If we are unable to obtain any necessary additional financing, we may be required to further reduce the scope of our planned sales and marketing and product development efforts, which could materially adversely affect our financial condition and operating results. In addition, we may require additional funds in order to fund more rapid expansion, to develop new or enhanced services or products or to invest in or acquire complementary businesses, technologies, services or products.</w:t>
      </w:r>
    </w:p>
    <w:p>
      <w:pPr>
        <w:spacing w:after="0" w:line="18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Off-Balance Sheet Arrangements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do not engage in off-balance sheet financing arrangements.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Risks</w:t>
      </w:r>
    </w:p>
    <w:p>
      <w:pPr>
        <w:spacing w:after="0" w:line="239" w:lineRule="exact"/>
        <w:rPr>
          <w:sz w:val="20"/>
          <w:szCs w:val="20"/>
          <w:color w:val="auto"/>
        </w:rPr>
      </w:pPr>
    </w:p>
    <w:p>
      <w:pPr>
        <w:jc w:val="both"/>
        <w:ind w:firstLine="315"/>
        <w:spacing w:after="0" w:line="279" w:lineRule="auto"/>
        <w:rPr>
          <w:sz w:val="20"/>
          <w:szCs w:val="20"/>
          <w:color w:val="auto"/>
        </w:rPr>
      </w:pPr>
      <w:r>
        <w:rPr>
          <w:rFonts w:ascii="Arial" w:cs="Arial" w:eastAsia="Arial" w:hAnsi="Arial"/>
          <w:sz w:val="16"/>
          <w:szCs w:val="16"/>
          <w:color w:val="auto"/>
        </w:rPr>
        <w:t>Our Israeli operations have currency rate fluctuation risk associated with the exchange rate movement of the U.S. dollar against the New Israeli Shekel (“NIS”). During the three months ended September 30, 2021, the U.S. dollar depreciated by approximately 5% as compared to the NIS and during the nine months ended September 30, 2021, the U.S. dollar depreciated by approximately 6%. During the three and nine months ended September 30, 2021, expenses generated by our Israeli operations totaled approximately $16.0 million and $53.2 million, respectively. We actively monitor the movement of the U.S. dollar against the NIS, Pound Sterling, Euro, AUS dollar, and Japanese Yen and have considered the use of financial instruments, including but not limited to derivative financial instruments, which could mitigate such risk. If we determine that our risk of exposure materially exceeds the potential cost of derivative financial instruments, we may in the future enter in to these types of investments. The functional currency of our wholly-owned Israeli subsidiaries, LivePerson Ltd. (formerly HumanClick Ltd.) and Kasamba Ltd., is the U.S. dollar; the functional currency of our operations in the United Kingdom is the Pound Sterling; the functional currency of our operations in the Netherlands, Germany, France, and Italy is the Euro; the functional currency of our operations in Australia is the Australian Dollar; and the functional currency of our operations in Japan is the Japanese Yen.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Collection Risks</w:t>
      </w:r>
    </w:p>
    <w:p>
      <w:pPr>
        <w:spacing w:after="0" w:line="23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Our accounts receivable are subject, in the normal course of business, to collection risks. We regularly assess these risks and have established policies and business practices to protect against the adverse effects of collection risks. During the nine months ended September 30, 2021, our allowance for doubtful accounts increased by $0.6 million to approximately $5.6 million. During the nine months ended September 30, 2020, we increased our allowance for doubtful accounts by $1.2 million to approximately $5.0 million. A large proportion of our receivables are due from larger corporate customers that typically have longer payment cycles. We base our allowance for doubtful accounts on specifically identified credit risks of customers, historical trends and other information that we believe to be reasonable. Receivables are written-off and charged against the</w:t>
      </w:r>
    </w:p>
    <w:p>
      <w:pPr>
        <w:spacing w:after="0" w:line="200" w:lineRule="exact"/>
        <w:rPr>
          <w:sz w:val="20"/>
          <w:szCs w:val="20"/>
          <w:color w:val="auto"/>
        </w:rPr>
      </w:pPr>
    </w:p>
    <w:p>
      <w:pPr>
        <w:spacing w:after="0" w:line="33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5" w:name="page56"/>
    <w:bookmarkEnd w:id="55"/>
    <w:p>
      <w:pPr>
        <w:jc w:val="both"/>
        <w:spacing w:after="0" w:line="260" w:lineRule="auto"/>
        <w:rPr>
          <w:sz w:val="20"/>
          <w:szCs w:val="20"/>
          <w:color w:val="auto"/>
        </w:rPr>
      </w:pPr>
      <w:r>
        <w:rPr>
          <w:rFonts w:ascii="Arial" w:cs="Arial" w:eastAsia="Arial" w:hAnsi="Arial"/>
          <w:sz w:val="18"/>
          <w:szCs w:val="18"/>
          <w:color w:val="auto"/>
        </w:rPr>
        <w:t>applicable recorded allowance when we have exhausted collection efforts without success. We adjust our allowance for doubtful accounts when accounts previously reserved have been collected.</w:t>
      </w:r>
    </w:p>
    <w:p>
      <w:pPr>
        <w:spacing w:after="0" w:line="208"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An allowance for doubtful accounts is established for losses expected to be incurred on accounts receivable balances. Judgment is required in the estimation of the allowance and we evaluate the collectability of our accounts receivable and contract assets based on a combination of factors. If we become aware of a customer’s inability to meet its financial obligations, a specific allowance is recorded to reduce the net receivable to the amount reasonably believed to be collectible from the customer. For all other customers, we use an aging schedule and recognize allowances for doubtful accounts based on the creditworthiness of the debtor, the age and status of outstanding receivables, the current business environment and our historical collection experience adjusted for current expectations for the customer or industry. Accounts receivable are written off against the allowance for uncollectible accounts when we determine amounts are no longer collectible.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Our investments consist of cash and cash equivalents. Therefore, changes in market interest rates do not affect in any material respect the value of the investments as recorded by us.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We do not believe that inflation has had a material effect on our business, financial conditions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356"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6" w:name="page57"/>
    <w:bookmarkEnd w:id="56"/>
    <w:p>
      <w:pPr>
        <w:jc w:val="center"/>
        <w:ind w:left="400"/>
        <w:spacing w:after="0"/>
        <w:rPr>
          <w:sz w:val="20"/>
          <w:szCs w:val="20"/>
          <w:color w:val="auto"/>
        </w:rPr>
      </w:pPr>
      <w:r>
        <w:rPr>
          <w:rFonts w:ascii="Arial" w:cs="Arial" w:eastAsia="Arial" w:hAnsi="Arial"/>
          <w:sz w:val="18"/>
          <w:szCs w:val="18"/>
          <w:b w:val="1"/>
          <w:bCs w:val="1"/>
          <w:color w:val="auto"/>
        </w:rPr>
        <w:t>Item 4. Controls and Procedures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39"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Our management, including the Chief Executive Officer and Chief Financial Officer, evaluated the effectiveness of our “disclosure controls and procedures,” as that term is defined in Rule 13a-15(e) promulgated under the Securities Exchange Act of 1934, as amended (the “Exchange Act”), as of September 30, 2021. Based on that evaluation, the Chief Executive Officer and Chief Financial Officer concluded that our disclosure controls and procedures were effective as of September 30, 2021 to ensure that the information we are required to disclose in the reports that we file or submit under the Exchange Act is recorded, processed, summarized and reported, within the time periods specified in the Securities and Exchange Commission’s rules and forms, and to ensure that such information is accumulated and communicated to our management, including the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There were no changes in our internal control over financial reporting during the three months ended September 30, 2021 identified in connection with the evaluation thereof by our management, including the Chief Executive Officer and Chief Financial Officer, that have materially affected, or are reasonably likely to materially affect, our internal control over financial reporting.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of the Effectiveness of Internal Control</w:t>
      </w:r>
    </w:p>
    <w:p>
      <w:pPr>
        <w:spacing w:after="0" w:line="239" w:lineRule="exact"/>
        <w:rPr>
          <w:sz w:val="20"/>
          <w:szCs w:val="20"/>
          <w:color w:val="auto"/>
        </w:rPr>
      </w:pPr>
    </w:p>
    <w:p>
      <w:pPr>
        <w:jc w:val="both"/>
        <w:ind w:firstLine="420"/>
        <w:spacing w:after="0" w:line="252" w:lineRule="auto"/>
        <w:rPr>
          <w:sz w:val="20"/>
          <w:szCs w:val="20"/>
          <w:color w:val="auto"/>
        </w:rPr>
      </w:pPr>
      <w:r>
        <w:rPr>
          <w:rFonts w:ascii="Arial" w:cs="Arial" w:eastAsia="Arial" w:hAnsi="Arial"/>
          <w:sz w:val="18"/>
          <w:szCs w:val="18"/>
          <w:color w:val="auto"/>
        </w:rPr>
        <w:t>A control system, no matter how well conceived and operated, can only provide reasonable, not absolute, assurance that the objectives of the internal control system are met. Because of the inherent limitations of any internal control system, no evaluation of controls can provide absolute assurance that all control issues, if any, have been detected.</w:t>
      </w:r>
    </w:p>
    <w:p>
      <w:pPr>
        <w:spacing w:after="0" w:line="20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5" w:lineRule="exact"/>
        <w:rPr>
          <w:sz w:val="20"/>
          <w:szCs w:val="20"/>
          <w:color w:val="auto"/>
        </w:rPr>
      </w:pPr>
    </w:p>
    <w:p>
      <w:pPr>
        <w:jc w:val="both"/>
        <w:ind w:firstLine="420"/>
        <w:spacing w:after="0" w:line="278" w:lineRule="auto"/>
        <w:rPr>
          <w:sz w:val="20"/>
          <w:szCs w:val="20"/>
          <w:color w:val="auto"/>
        </w:rPr>
      </w:pPr>
      <w:r>
        <w:rPr>
          <w:rFonts w:ascii="Arial" w:cs="Arial" w:eastAsia="Arial" w:hAnsi="Arial"/>
          <w:sz w:val="16"/>
          <w:szCs w:val="16"/>
          <w:color w:val="auto"/>
        </w:rPr>
        <w:t>The Company previously filed an intellectual property suit against [24]7 Customer, Inc. (“[24]7”) in the Southern District of New York on March 6, 2014 seeking damages on the grounds that [24]7 reverse engineered and misappropriated the Company’s technology to develop competing products and misused the Company’s business information. On June 22, 2015, [24]7 filed suit against the Company in the Northern District of California alleging patent infringement. On December 7, 2015, [24]7 filed a second patent infringement suit against the Company, also in the Northern District of California. On March 16, 2017, the New York case was voluntarily transferred and consolidated with the two California cases in the Northern District of California for all pre-trial purposes. Rulings by both the Court and the United States Patent Office in the Company’s favor have invalidated the majority of [24]7 patents that were asserted in the patent cases. The Company believes the remaining claims filed by [24]7 are entirely without merit and intends to defend them vigorously. Trial for the Company’s intellectual property and other claims asserted against [24]7 related to three of the customers at issue occurred on May 24, 2021 and the jury awarded approximately $30.3 million in favor of the Company, including approximately $6.7 million in compensatory damages and approximately $23.6 million in punitive damages. The Company currently anticipates that [24]7 may elect to pursue challenges to this award on procedural grounds. Accordingly, no amounts for the settlement have been reflected in the Company’s financial statements. Trial for [24]7’s patent infringement claims has been vacated, to be reset by the Court.</w:t>
      </w:r>
    </w:p>
    <w:p>
      <w:pPr>
        <w:spacing w:after="0" w:line="200"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The Company routinely assesses all of its litigation and threatened litigation as to the probability of ultimately incurring a liability, and records its best estimate of the ultimate loss in situations where the Company assesses the likelihood of loss as probable.</w:t>
      </w:r>
    </w:p>
    <w:p>
      <w:pPr>
        <w:spacing w:after="0" w:line="208" w:lineRule="exact"/>
        <w:rPr>
          <w:sz w:val="20"/>
          <w:szCs w:val="20"/>
          <w:color w:val="auto"/>
        </w:rPr>
      </w:pPr>
    </w:p>
    <w:p>
      <w:pPr>
        <w:jc w:val="both"/>
        <w:ind w:firstLine="420"/>
        <w:spacing w:after="0" w:line="282" w:lineRule="auto"/>
        <w:rPr>
          <w:sz w:val="20"/>
          <w:szCs w:val="20"/>
          <w:color w:val="auto"/>
        </w:rPr>
      </w:pPr>
      <w:r>
        <w:rPr>
          <w:rFonts w:ascii="Arial" w:cs="Arial" w:eastAsia="Arial" w:hAnsi="Arial"/>
          <w:sz w:val="16"/>
          <w:szCs w:val="16"/>
          <w:color w:val="auto"/>
        </w:rPr>
        <w:t>From time to time, the Company is involved in or subject to legal, administrative and regulatory proceedings, claims, demands, and investigations arising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accrues for a liability when it is both probable that a liability has been incurred and the amount of the loss can be reasonably estimated. Significant judgment is required in both the determination of probability and the determination as to whether a loss is reasonably estimable. In addition, in the event the Company determines that a loss is not probable, but is reasonably possible, and it becomes possible to develop what the Company believes to be a reasonable range of possible loss, then the Company will</w:t>
      </w:r>
    </w:p>
    <w:p>
      <w:pPr>
        <w:spacing w:after="0" w:line="200" w:lineRule="exact"/>
        <w:rPr>
          <w:sz w:val="20"/>
          <w:szCs w:val="20"/>
          <w:color w:val="auto"/>
        </w:rPr>
      </w:pPr>
    </w:p>
    <w:p>
      <w:pPr>
        <w:spacing w:after="0" w:line="33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57" w:name="page58"/>
    <w:bookmarkEnd w:id="57"/>
    <w:p>
      <w:pPr>
        <w:jc w:val="both"/>
        <w:spacing w:after="0" w:line="247" w:lineRule="auto"/>
        <w:rPr>
          <w:sz w:val="20"/>
          <w:szCs w:val="20"/>
          <w:color w:val="auto"/>
        </w:rPr>
      </w:pPr>
      <w:r>
        <w:rPr>
          <w:rFonts w:ascii="Arial" w:cs="Arial" w:eastAsia="Arial" w:hAnsi="Arial"/>
          <w:sz w:val="18"/>
          <w:szCs w:val="18"/>
          <w:color w:val="auto"/>
        </w:rPr>
        <w:t>include disclosure related to such matter as appropriate and in compliance with ASC 450. The accruals or estimates, if any, resulting from the foregoing analysis, are reviewed at least quarterly and adjusted to reflect the impact of negotiations, settlements, rulings, advice of legal counsel and other information and events pertaining to a particular matter. To the extent there is a reasonable possibility that the losses could exceed the amounts already accrued, the Company will, as applicable, adjust the accrual in the period the determination is made, disclose an estimate of the additional loss or range of loss, indicate that the estimate is immaterial with respect to its financial statements as a whole or, if the amount of such adjustment cannot be reasonably estimated, disclose that an estimate cannot be made.</w:t>
      </w:r>
    </w:p>
    <w:p>
      <w:pPr>
        <w:spacing w:after="0" w:line="219" w:lineRule="exact"/>
        <w:rPr>
          <w:sz w:val="20"/>
          <w:szCs w:val="20"/>
          <w:color w:val="auto"/>
        </w:rPr>
      </w:pPr>
    </w:p>
    <w:p>
      <w:pPr>
        <w:jc w:val="both"/>
        <w:ind w:firstLine="420"/>
        <w:spacing w:after="0" w:line="283" w:lineRule="auto"/>
        <w:rPr>
          <w:sz w:val="20"/>
          <w:szCs w:val="20"/>
          <w:color w:val="auto"/>
        </w:rPr>
      </w:pPr>
      <w:r>
        <w:rPr>
          <w:rFonts w:ascii="Arial" w:cs="Arial" w:eastAsia="Arial" w:hAnsi="Arial"/>
          <w:sz w:val="16"/>
          <w:szCs w:val="16"/>
          <w:color w:val="auto"/>
        </w:rPr>
        <w:t>From time to time, third parties assert claims against the Company regarding intellectual property rights, privacy issues, and other matters arising in the ordinary course of business. Although the Company cannot be certain of the outcome of any litigation or the disposition of any claims, nor the amount of damages and exposure, if any, that the Company could incur, the Company currently believes that the final disposition of all existing matters will not have a material adverse effect on results of operations, financial condition, or cash flows. In addition, in the ordinary course of business, the Company is also subject to periodic threats of lawsuits, investigations and claims. Regardless of the outcome, litigation can have an adverse impact on the Company because of defense and settlement costs, diversion of management resources and other factors.</w:t>
      </w:r>
    </w:p>
    <w:p>
      <w:pPr>
        <w:spacing w:after="0" w:line="18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Item 1A. Risk Factors</w:t>
      </w:r>
    </w:p>
    <w:p>
      <w:pPr>
        <w:spacing w:after="0" w:line="245"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Our operations and financial results are subject to various risks and uncertainties, including those described in Part I, Item 1A. “Risk Factors” in our Annual Report on Form 10-K for the year ended December 31, 2020, filed on March 8, 2021, which could adversely affect our business, financial condition, results of operations, cash flows, and the trading price of our common stock. There have been no material changes to the risk factors described in our most recent Annual Report on Form 10-K.</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239" w:lineRule="exact"/>
        <w:rPr>
          <w:sz w:val="20"/>
          <w:szCs w:val="20"/>
          <w:color w:val="auto"/>
        </w:rPr>
      </w:pPr>
    </w:p>
    <w:p>
      <w:pPr>
        <w:jc w:val="both"/>
        <w:ind w:firstLine="420"/>
        <w:spacing w:after="0" w:line="260" w:lineRule="auto"/>
        <w:rPr>
          <w:sz w:val="20"/>
          <w:szCs w:val="20"/>
          <w:color w:val="auto"/>
        </w:rPr>
      </w:pPr>
      <w:r>
        <w:rPr>
          <w:rFonts w:ascii="Arial" w:cs="Arial" w:eastAsia="Arial" w:hAnsi="Arial"/>
          <w:sz w:val="18"/>
          <w:szCs w:val="18"/>
          <w:color w:val="auto"/>
        </w:rPr>
        <w:t>On July 14, 2021, the Company issued a total of 351,462 shares of its common stock as partial consideration for the Company’s acquisition of e-bot 7 GmbH in a transaction exempted from registration under Section 4(a)(2) of the Securities Act of 1933.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Equity Securities by the Issuer</w:t>
      </w:r>
    </w:p>
    <w:p>
      <w:pPr>
        <w:spacing w:after="0" w:line="23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There were no repurchases of equity securities by the issuer during the three and nine months ended September 30, 2021.</w:t>
      </w:r>
    </w:p>
    <w:p>
      <w:pPr>
        <w:spacing w:after="0" w:line="338"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33"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Item 4. Mine Safety Disclosures</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233"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Item 5. Other Information</w:t>
      </w: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63500</wp:posOffset>
            </wp:positionV>
            <wp:extent cx="716153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58" w:name="page59"/>
    <w:bookmarkEnd w:id="58"/>
    <w:p>
      <w:pPr>
        <w:spacing w:after="0" w:line="203" w:lineRule="auto"/>
        <w:framePr w:w="1360" w:h="156" w:wrap="auto" w:vAnchor="page" w:hAnchor="page" w:x="700" w:y="7677"/>
        <w:rPr>
          <w:rFonts w:ascii="Arial" w:cs="Arial" w:eastAsia="Arial" w:hAnsi="Arial"/>
          <w:sz w:val="16"/>
          <w:szCs w:val="16"/>
          <w:color w:val="auto"/>
        </w:rPr>
      </w:pPr>
      <w:r>
        <w:rPr>
          <w:rFonts w:ascii="Arial" w:cs="Arial" w:eastAsia="Arial" w:hAnsi="Arial"/>
          <w:sz w:val="16"/>
          <w:szCs w:val="16"/>
          <w:color w:val="auto"/>
        </w:rPr>
        <w:t>*  Filed herewith</w:t>
      </w:r>
    </w:p>
    <w:p>
      <w:pPr>
        <w:spacing w:after="0" w:line="203" w:lineRule="auto"/>
        <w:framePr w:w="1800" w:h="156" w:wrap="auto" w:vAnchor="page" w:hAnchor="page" w:x="700" w:y="7992"/>
        <w:rPr>
          <w:rFonts w:ascii="Arial" w:cs="Arial" w:eastAsia="Arial" w:hAnsi="Arial"/>
          <w:sz w:val="16"/>
          <w:szCs w:val="16"/>
          <w:color w:val="auto"/>
        </w:rPr>
      </w:pPr>
      <w:r>
        <w:rPr>
          <w:rFonts w:ascii="Arial" w:cs="Arial" w:eastAsia="Arial" w:hAnsi="Arial"/>
          <w:sz w:val="16"/>
          <w:szCs w:val="16"/>
          <w:color w:val="auto"/>
        </w:rPr>
        <w:t>**  Furnished herewith</w:t>
      </w:r>
    </w:p>
    <w:tbl>
      <w:tblPr>
        <w:tblLayout w:type="fixed"/>
        <w:tblInd w:w="0" w:type="dxa"/>
        <w:tblCellMar>
          <w:top w:w="0" w:type="dxa"/>
          <w:left w:w="0" w:type="dxa"/>
          <w:bottom w:w="0" w:type="dxa"/>
          <w:right w:w="0" w:type="dxa"/>
        </w:tblCellMar>
      </w:tblPr>
      <w:tr>
        <w:trPr>
          <w:trHeight w:val="222"/>
        </w:trPr>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20" w:type="dxa"/>
            <w:vAlign w:val="bottom"/>
          </w:tcPr>
          <w:p>
            <w:pPr>
              <w:ind w:left="2280"/>
              <w:spacing w:after="0"/>
              <w:rPr>
                <w:sz w:val="20"/>
                <w:szCs w:val="20"/>
                <w:color w:val="auto"/>
              </w:rPr>
            </w:pPr>
            <w:r>
              <w:rPr>
                <w:rFonts w:ascii="Arial" w:cs="Arial" w:eastAsia="Arial" w:hAnsi="Arial"/>
                <w:sz w:val="18"/>
                <w:szCs w:val="18"/>
                <w:color w:val="auto"/>
              </w:rPr>
              <w:t>ITEM 6. EXHIBITS</w:t>
            </w:r>
          </w:p>
        </w:tc>
        <w:tc>
          <w:tcPr>
            <w:tcW w:w="0" w:type="dxa"/>
            <w:vAlign w:val="bottom"/>
          </w:tcPr>
          <w:p>
            <w:pPr>
              <w:spacing w:after="0"/>
              <w:rPr>
                <w:sz w:val="1"/>
                <w:szCs w:val="1"/>
                <w:color w:val="auto"/>
              </w:rPr>
            </w:pPr>
          </w:p>
        </w:tc>
      </w:tr>
      <w:tr>
        <w:trPr>
          <w:trHeight w:val="473"/>
        </w:trPr>
        <w:tc>
          <w:tcPr>
            <w:tcW w:w="1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31.1</w:t>
            </w:r>
          </w:p>
        </w:tc>
        <w:tc>
          <w:tcPr>
            <w:tcW w:w="4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940" w:type="dxa"/>
            <w:vAlign w:val="bottom"/>
            <w:tcBorders>
              <w:right w:val="single" w:sz="8" w:color="CCEEFF"/>
            </w:tcBorders>
            <w:gridSpan w:val="3"/>
            <w:shd w:val="clear" w:color="auto" w:fill="CCEEFF"/>
          </w:tcPr>
          <w:p>
            <w:pPr>
              <w:ind w:left="100"/>
              <w:spacing w:after="0" w:line="171" w:lineRule="exact"/>
              <w:rPr>
                <w:rFonts w:ascii="Arial" w:cs="Arial" w:eastAsia="Arial" w:hAnsi="Arial"/>
                <w:sz w:val="16"/>
                <w:szCs w:val="16"/>
                <w:color w:val="0000FF"/>
                <w:w w:val="88"/>
              </w:rPr>
            </w:pPr>
            <w:hyperlink w:anchor="page61">
              <w:r>
                <w:rPr>
                  <w:rFonts w:ascii="Arial" w:cs="Arial" w:eastAsia="Arial" w:hAnsi="Arial"/>
                  <w:sz w:val="16"/>
                  <w:szCs w:val="16"/>
                  <w:color w:val="0000FF"/>
                  <w:w w:val="88"/>
                </w:rPr>
                <w:t>Certification by Chief Executive Officer pursuant to Exchange Act Rule 13a-14(a), as adopted pursuant to Section 302 of the Sarbanes-Oxle</w:t>
              </w:r>
            </w:hyperlink>
          </w:p>
        </w:tc>
        <w:tc>
          <w:tcPr>
            <w:tcW w:w="0" w:type="dxa"/>
            <w:vAlign w:val="bottom"/>
          </w:tcPr>
          <w:p>
            <w:pPr>
              <w:spacing w:after="0"/>
              <w:rPr>
                <w:sz w:val="1"/>
                <w:szCs w:val="1"/>
                <w:color w:val="auto"/>
              </w:rPr>
            </w:pPr>
          </w:p>
        </w:tc>
      </w:tr>
      <w:tr>
        <w:trPr>
          <w:trHeight w:val="20"/>
        </w:trPr>
        <w:tc>
          <w:tcPr>
            <w:tcW w:w="1260" w:type="dxa"/>
            <w:vAlign w:val="bottom"/>
            <w:vMerge w:val="continue"/>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520" w:type="dxa"/>
            <w:vAlign w:val="bottom"/>
            <w:tcBorders>
              <w:right w:val="single" w:sz="8" w:color="CCEE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260" w:type="dxa"/>
            <w:vAlign w:val="bottom"/>
            <w:vMerge w:val="continue"/>
            <w:shd w:val="clear" w:color="auto" w:fill="CCEEFF"/>
          </w:tcPr>
          <w:p>
            <w:pPr>
              <w:spacing w:after="0"/>
              <w:rPr>
                <w:sz w:val="7"/>
                <w:szCs w:val="7"/>
                <w:color w:val="auto"/>
              </w:rPr>
            </w:pPr>
          </w:p>
        </w:tc>
        <w:tc>
          <w:tcPr>
            <w:tcW w:w="420" w:type="dxa"/>
            <w:vAlign w:val="bottom"/>
            <w:vMerge w:val="restart"/>
            <w:shd w:val="clear" w:color="auto" w:fill="CCEEFF"/>
          </w:tcPr>
          <w:p>
            <w:pPr>
              <w:ind w:left="240"/>
              <w:spacing w:after="0" w:line="138" w:lineRule="exact"/>
              <w:rPr>
                <w:sz w:val="20"/>
                <w:szCs w:val="20"/>
                <w:color w:val="auto"/>
              </w:rPr>
            </w:pPr>
            <w:r>
              <w:rPr>
                <w:rFonts w:ascii="Arial" w:cs="Arial" w:eastAsia="Arial" w:hAnsi="Arial"/>
                <w:sz w:val="15"/>
                <w:szCs w:val="15"/>
                <w:color w:val="auto"/>
              </w:rPr>
              <w:t>*</w:t>
            </w:r>
          </w:p>
        </w:tc>
        <w:tc>
          <w:tcPr>
            <w:tcW w:w="9260" w:type="dxa"/>
            <w:vAlign w:val="bottom"/>
            <w:tcBorders>
              <w:right w:val="single" w:sz="8" w:color="CCEEFF"/>
            </w:tcBorders>
            <w:gridSpan w:val="4"/>
            <w:vMerge w:val="restart"/>
            <w:shd w:val="clear" w:color="auto" w:fill="CCEEFF"/>
          </w:tcPr>
          <w:p>
            <w:pPr>
              <w:spacing w:after="0" w:line="138" w:lineRule="exact"/>
              <w:rPr>
                <w:rFonts w:ascii="Arial" w:cs="Arial" w:eastAsia="Arial" w:hAnsi="Arial"/>
                <w:sz w:val="15"/>
                <w:szCs w:val="15"/>
                <w:color w:val="0000FF"/>
              </w:rPr>
            </w:pPr>
            <w:hyperlink w:anchor="page61">
              <w:r>
                <w:rPr>
                  <w:rFonts w:ascii="Arial" w:cs="Arial" w:eastAsia="Arial" w:hAnsi="Arial"/>
                  <w:sz w:val="15"/>
                  <w:szCs w:val="15"/>
                  <w:color w:val="0000FF"/>
                </w:rPr>
                <w:t>Act of 2002</w:t>
              </w:r>
            </w:hyperlink>
          </w:p>
        </w:tc>
        <w:tc>
          <w:tcPr>
            <w:tcW w:w="0" w:type="dxa"/>
            <w:vAlign w:val="bottom"/>
          </w:tcPr>
          <w:p>
            <w:pPr>
              <w:spacing w:after="0"/>
              <w:rPr>
                <w:sz w:val="1"/>
                <w:szCs w:val="1"/>
                <w:color w:val="auto"/>
              </w:rPr>
            </w:pPr>
          </w:p>
        </w:tc>
      </w:tr>
      <w:tr>
        <w:trPr>
          <w:trHeight w:val="65"/>
        </w:trPr>
        <w:tc>
          <w:tcPr>
            <w:tcW w:w="1260" w:type="dxa"/>
            <w:vAlign w:val="bottom"/>
            <w:shd w:val="clear" w:color="auto" w:fill="CCEEFF"/>
          </w:tcPr>
          <w:p>
            <w:pPr>
              <w:spacing w:after="0"/>
              <w:rPr>
                <w:sz w:val="5"/>
                <w:szCs w:val="5"/>
                <w:color w:val="auto"/>
              </w:rPr>
            </w:pPr>
          </w:p>
        </w:tc>
        <w:tc>
          <w:tcPr>
            <w:tcW w:w="420" w:type="dxa"/>
            <w:vAlign w:val="bottom"/>
            <w:vMerge w:val="continue"/>
            <w:shd w:val="clear" w:color="auto" w:fill="CCEEFF"/>
          </w:tcPr>
          <w:p>
            <w:pPr>
              <w:spacing w:after="0"/>
              <w:rPr>
                <w:sz w:val="5"/>
                <w:szCs w:val="5"/>
                <w:color w:val="auto"/>
              </w:rPr>
            </w:pPr>
          </w:p>
        </w:tc>
        <w:tc>
          <w:tcPr>
            <w:tcW w:w="9260" w:type="dxa"/>
            <w:vAlign w:val="bottom"/>
            <w:tcBorders>
              <w:right w:val="single" w:sz="8" w:color="CCEEFF"/>
            </w:tcBorders>
            <w:gridSpan w:val="4"/>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260" w:type="dxa"/>
            <w:vAlign w:val="bottom"/>
            <w:tcBorders>
              <w:top w:val="single" w:sz="8" w:color="CCEEFF"/>
            </w:tcBorders>
          </w:tcPr>
          <w:p>
            <w:pPr>
              <w:spacing w:after="0"/>
              <w:rPr>
                <w:sz w:val="21"/>
                <w:szCs w:val="21"/>
                <w:color w:val="auto"/>
              </w:rPr>
            </w:pPr>
          </w:p>
        </w:tc>
        <w:tc>
          <w:tcPr>
            <w:tcW w:w="420" w:type="dxa"/>
            <w:vAlign w:val="bottom"/>
            <w:tcBorders>
              <w:top w:val="single" w:sz="8" w:color="CCEE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852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1260" w:type="dxa"/>
            <w:vAlign w:val="bottom"/>
            <w:tcBorders>
              <w:bottom w:val="single" w:sz="8" w:color="CCEEFF"/>
            </w:tcBorders>
            <w:shd w:val="clear" w:color="auto" w:fill="CCEEFF"/>
          </w:tcPr>
          <w:p>
            <w:pPr>
              <w:jc w:val="center"/>
              <w:ind w:left="141"/>
              <w:spacing w:after="0" w:line="171" w:lineRule="exact"/>
              <w:rPr>
                <w:sz w:val="20"/>
                <w:szCs w:val="20"/>
                <w:color w:val="auto"/>
              </w:rPr>
            </w:pPr>
            <w:r>
              <w:rPr>
                <w:rFonts w:ascii="Arial" w:cs="Arial" w:eastAsia="Arial" w:hAnsi="Arial"/>
                <w:sz w:val="16"/>
                <w:szCs w:val="16"/>
                <w:color w:val="auto"/>
                <w:w w:val="89"/>
              </w:rPr>
              <w:t>31.2</w:t>
            </w:r>
          </w:p>
        </w:tc>
        <w:tc>
          <w:tcPr>
            <w:tcW w:w="420" w:type="dxa"/>
            <w:vAlign w:val="bottom"/>
            <w:tcBorders>
              <w:bottom w:val="single" w:sz="8" w:color="CCEEFF"/>
            </w:tcBorders>
            <w:vMerge w:val="restart"/>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CCEEFF"/>
            </w:tcBorders>
            <w:gridSpan w:val="2"/>
            <w:vMerge w:val="restart"/>
            <w:shd w:val="clear" w:color="auto" w:fill="CCEEFF"/>
          </w:tcPr>
          <w:p>
            <w:pPr>
              <w:spacing w:after="0"/>
              <w:rPr>
                <w:rFonts w:ascii="Arial" w:cs="Arial" w:eastAsia="Arial" w:hAnsi="Arial"/>
                <w:sz w:val="16"/>
                <w:szCs w:val="16"/>
                <w:color w:val="0000FF"/>
                <w:w w:val="97"/>
              </w:rPr>
            </w:pPr>
            <w:hyperlink w:anchor="page62">
              <w:r>
                <w:rPr>
                  <w:rFonts w:ascii="Arial" w:cs="Arial" w:eastAsia="Arial" w:hAnsi="Arial"/>
                  <w:sz w:val="16"/>
                  <w:szCs w:val="16"/>
                  <w:color w:val="0000FF"/>
                  <w:w w:val="97"/>
                </w:rPr>
                <w:t>Act of</w:t>
              </w:r>
            </w:hyperlink>
          </w:p>
        </w:tc>
        <w:tc>
          <w:tcPr>
            <w:tcW w:w="8840" w:type="dxa"/>
            <w:vAlign w:val="bottom"/>
            <w:tcBorders>
              <w:bottom w:val="single" w:sz="8" w:color="0000FF"/>
              <w:right w:val="single" w:sz="8" w:color="CCEEFF"/>
            </w:tcBorders>
            <w:gridSpan w:val="2"/>
            <w:shd w:val="clear" w:color="auto" w:fill="CCEEFF"/>
          </w:tcPr>
          <w:p>
            <w:pPr>
              <w:spacing w:after="0" w:line="151" w:lineRule="exact"/>
              <w:rPr>
                <w:rFonts w:ascii="Arial" w:cs="Arial" w:eastAsia="Arial" w:hAnsi="Arial"/>
                <w:sz w:val="16"/>
                <w:szCs w:val="16"/>
                <w:color w:val="0000FF"/>
                <w:w w:val="89"/>
              </w:rPr>
            </w:pPr>
            <w:hyperlink w:anchor="page62">
              <w:r>
                <w:rPr>
                  <w:rFonts w:ascii="Arial" w:cs="Arial" w:eastAsia="Arial" w:hAnsi="Arial"/>
                  <w:sz w:val="16"/>
                  <w:szCs w:val="16"/>
                  <w:color w:val="0000FF"/>
                  <w:w w:val="89"/>
                </w:rPr>
                <w:t>Certification by Chief Financial Officer pursuant to Exchange Act Rule 13a-14(a), as adopted pursuant to Section 302 of the Sarbanes-Oxle</w:t>
              </w:r>
            </w:hyperlink>
          </w:p>
        </w:tc>
        <w:tc>
          <w:tcPr>
            <w:tcW w:w="0" w:type="dxa"/>
            <w:vAlign w:val="bottom"/>
          </w:tcPr>
          <w:p>
            <w:pPr>
              <w:spacing w:after="0"/>
              <w:rPr>
                <w:sz w:val="1"/>
                <w:szCs w:val="1"/>
                <w:color w:val="auto"/>
              </w:rPr>
            </w:pPr>
          </w:p>
        </w:tc>
      </w:tr>
      <w:tr>
        <w:trPr>
          <w:trHeight w:val="157"/>
        </w:trPr>
        <w:tc>
          <w:tcPr>
            <w:tcW w:w="1260" w:type="dxa"/>
            <w:vAlign w:val="bottom"/>
            <w:shd w:val="clear" w:color="auto" w:fill="CCEEFF"/>
          </w:tcPr>
          <w:p>
            <w:pPr>
              <w:spacing w:after="0"/>
              <w:rPr>
                <w:sz w:val="13"/>
                <w:szCs w:val="13"/>
                <w:color w:val="auto"/>
              </w:rPr>
            </w:pPr>
          </w:p>
        </w:tc>
        <w:tc>
          <w:tcPr>
            <w:tcW w:w="420" w:type="dxa"/>
            <w:vAlign w:val="bottom"/>
            <w:vMerge w:val="continue"/>
            <w:shd w:val="clear" w:color="auto" w:fill="CCEEFF"/>
          </w:tcPr>
          <w:p>
            <w:pPr>
              <w:spacing w:after="0"/>
              <w:rPr>
                <w:sz w:val="13"/>
                <w:szCs w:val="13"/>
                <w:color w:val="auto"/>
              </w:rPr>
            </w:pPr>
          </w:p>
        </w:tc>
        <w:tc>
          <w:tcPr>
            <w:tcW w:w="420" w:type="dxa"/>
            <w:vAlign w:val="bottom"/>
            <w:gridSpan w:val="2"/>
            <w:vMerge w:val="continue"/>
            <w:shd w:val="clear" w:color="auto" w:fill="CCEEFF"/>
          </w:tcPr>
          <w:p>
            <w:pPr>
              <w:spacing w:after="0"/>
              <w:rPr>
                <w:sz w:val="13"/>
                <w:szCs w:val="13"/>
                <w:color w:val="auto"/>
              </w:rPr>
            </w:pPr>
          </w:p>
        </w:tc>
        <w:tc>
          <w:tcPr>
            <w:tcW w:w="8840" w:type="dxa"/>
            <w:vAlign w:val="bottom"/>
            <w:tcBorders>
              <w:right w:val="single" w:sz="8" w:color="CCEEFF"/>
            </w:tcBorders>
            <w:gridSpan w:val="2"/>
            <w:shd w:val="clear" w:color="auto" w:fill="CCEEFF"/>
          </w:tcPr>
          <w:p>
            <w:pPr>
              <w:ind w:left="20"/>
              <w:spacing w:after="0" w:line="138" w:lineRule="exact"/>
              <w:rPr>
                <w:rFonts w:ascii="Arial" w:cs="Arial" w:eastAsia="Arial" w:hAnsi="Arial"/>
                <w:sz w:val="15"/>
                <w:szCs w:val="15"/>
                <w:color w:val="0000FF"/>
              </w:rPr>
            </w:pPr>
            <w:hyperlink w:anchor="page62">
              <w:r>
                <w:rPr>
                  <w:rFonts w:ascii="Arial" w:cs="Arial" w:eastAsia="Arial" w:hAnsi="Arial"/>
                  <w:sz w:val="15"/>
                  <w:szCs w:val="15"/>
                  <w:color w:val="0000FF"/>
                </w:rPr>
                <w:t>2002</w:t>
              </w:r>
            </w:hyperlink>
          </w:p>
        </w:tc>
        <w:tc>
          <w:tcPr>
            <w:tcW w:w="0" w:type="dxa"/>
            <w:vAlign w:val="bottom"/>
          </w:tcPr>
          <w:p>
            <w:pPr>
              <w:spacing w:after="0"/>
              <w:rPr>
                <w:sz w:val="1"/>
                <w:szCs w:val="1"/>
                <w:color w:val="auto"/>
              </w:rPr>
            </w:pPr>
          </w:p>
        </w:tc>
      </w:tr>
      <w:tr>
        <w:trPr>
          <w:trHeight w:val="263"/>
        </w:trPr>
        <w:tc>
          <w:tcPr>
            <w:tcW w:w="12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85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32.1</w:t>
            </w:r>
          </w:p>
        </w:tc>
        <w:tc>
          <w:tcPr>
            <w:tcW w:w="740" w:type="dxa"/>
            <w:vAlign w:val="bottom"/>
            <w:gridSpan w:val="2"/>
            <w:vMerge w:val="restart"/>
            <w:shd w:val="clear" w:color="auto" w:fill="CCEEFF"/>
          </w:tcPr>
          <w:p>
            <w:pPr>
              <w:ind w:left="240"/>
              <w:spacing w:after="0"/>
              <w:rPr>
                <w:rFonts w:ascii="Arial" w:cs="Arial" w:eastAsia="Arial" w:hAnsi="Arial"/>
                <w:sz w:val="16"/>
                <w:szCs w:val="16"/>
                <w:color w:val="auto"/>
                <w:w w:val="91"/>
              </w:rPr>
            </w:pPr>
            <w:r>
              <w:rPr>
                <w:rFonts w:ascii="Arial" w:cs="Arial" w:eastAsia="Arial" w:hAnsi="Arial"/>
                <w:sz w:val="16"/>
                <w:szCs w:val="16"/>
                <w:color w:val="auto"/>
                <w:w w:val="91"/>
              </w:rPr>
              <w:t xml:space="preserve">** </w:t>
            </w:r>
            <w:hyperlink w:anchor="page63">
              <w:r>
                <w:rPr>
                  <w:rFonts w:ascii="Arial" w:cs="Arial" w:eastAsia="Arial" w:hAnsi="Arial"/>
                  <w:sz w:val="16"/>
                  <w:szCs w:val="16"/>
                  <w:color w:val="0000FF"/>
                  <w:w w:val="91"/>
                </w:rPr>
                <w:t>2002</w:t>
              </w:r>
            </w:hyperlink>
          </w:p>
        </w:tc>
        <w:tc>
          <w:tcPr>
            <w:tcW w:w="8940" w:type="dxa"/>
            <w:vAlign w:val="bottom"/>
            <w:tcBorders>
              <w:right w:val="single" w:sz="8" w:color="CCEEFF"/>
            </w:tcBorders>
            <w:gridSpan w:val="3"/>
            <w:shd w:val="clear" w:color="auto" w:fill="CCEEFF"/>
          </w:tcPr>
          <w:p>
            <w:pPr>
              <w:ind w:left="100"/>
              <w:spacing w:after="0" w:line="171" w:lineRule="exact"/>
              <w:rPr>
                <w:rFonts w:ascii="Arial" w:cs="Arial" w:eastAsia="Arial" w:hAnsi="Arial"/>
                <w:sz w:val="16"/>
                <w:szCs w:val="16"/>
                <w:color w:val="0000FF"/>
                <w:w w:val="89"/>
              </w:rPr>
            </w:pPr>
            <w:hyperlink w:anchor="page63">
              <w:r>
                <w:rPr>
                  <w:rFonts w:ascii="Arial" w:cs="Arial" w:eastAsia="Arial" w:hAnsi="Arial"/>
                  <w:sz w:val="16"/>
                  <w:szCs w:val="16"/>
                  <w:color w:val="0000FF"/>
                  <w:w w:val="89"/>
                </w:rPr>
                <w:t>Certification by Chief Executive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92"/>
        </w:trPr>
        <w:tc>
          <w:tcPr>
            <w:tcW w:w="1260" w:type="dxa"/>
            <w:vAlign w:val="bottom"/>
            <w:tcBorders>
              <w:top w:val="single" w:sz="8" w:color="CCEEFF"/>
            </w:tcBorders>
            <w:vMerge w:val="continue"/>
            <w:shd w:val="clear" w:color="auto" w:fill="CCEEFF"/>
          </w:tcPr>
          <w:p>
            <w:pPr>
              <w:spacing w:after="0"/>
              <w:rPr>
                <w:sz w:val="7"/>
                <w:szCs w:val="7"/>
                <w:color w:val="auto"/>
              </w:rPr>
            </w:pPr>
          </w:p>
        </w:tc>
        <w:tc>
          <w:tcPr>
            <w:tcW w:w="740" w:type="dxa"/>
            <w:vAlign w:val="bottom"/>
            <w:tcBorders>
              <w:top w:val="single" w:sz="8" w:color="CCEEFF"/>
            </w:tcBorders>
            <w:gridSpan w:val="2"/>
            <w:vMerge w:val="continue"/>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852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26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52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5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32.2</w:t>
            </w:r>
          </w:p>
        </w:tc>
        <w:tc>
          <w:tcPr>
            <w:tcW w:w="740" w:type="dxa"/>
            <w:vAlign w:val="bottom"/>
            <w:gridSpan w:val="2"/>
            <w:vMerge w:val="restart"/>
            <w:shd w:val="clear" w:color="auto" w:fill="CCEEFF"/>
          </w:tcPr>
          <w:p>
            <w:pPr>
              <w:ind w:left="240"/>
              <w:spacing w:after="0"/>
              <w:rPr>
                <w:rFonts w:ascii="Arial" w:cs="Arial" w:eastAsia="Arial" w:hAnsi="Arial"/>
                <w:sz w:val="16"/>
                <w:szCs w:val="16"/>
                <w:color w:val="auto"/>
                <w:w w:val="91"/>
              </w:rPr>
            </w:pPr>
            <w:r>
              <w:rPr>
                <w:rFonts w:ascii="Arial" w:cs="Arial" w:eastAsia="Arial" w:hAnsi="Arial"/>
                <w:sz w:val="16"/>
                <w:szCs w:val="16"/>
                <w:color w:val="auto"/>
                <w:w w:val="91"/>
              </w:rPr>
              <w:t xml:space="preserve">** </w:t>
            </w:r>
            <w:hyperlink w:anchor="page64">
              <w:r>
                <w:rPr>
                  <w:rFonts w:ascii="Arial" w:cs="Arial" w:eastAsia="Arial" w:hAnsi="Arial"/>
                  <w:sz w:val="16"/>
                  <w:szCs w:val="16"/>
                  <w:color w:val="0000FF"/>
                  <w:w w:val="91"/>
                </w:rPr>
                <w:t>2002</w:t>
              </w:r>
            </w:hyperlink>
          </w:p>
        </w:tc>
        <w:tc>
          <w:tcPr>
            <w:tcW w:w="8940" w:type="dxa"/>
            <w:vAlign w:val="bottom"/>
            <w:tcBorders>
              <w:right w:val="single" w:sz="8" w:color="CCEEFF"/>
            </w:tcBorders>
            <w:gridSpan w:val="3"/>
            <w:shd w:val="clear" w:color="auto" w:fill="CCEEFF"/>
          </w:tcPr>
          <w:p>
            <w:pPr>
              <w:ind w:left="100"/>
              <w:spacing w:after="0" w:line="171" w:lineRule="exact"/>
              <w:rPr>
                <w:rFonts w:ascii="Arial" w:cs="Arial" w:eastAsia="Arial" w:hAnsi="Arial"/>
                <w:sz w:val="16"/>
                <w:szCs w:val="16"/>
                <w:color w:val="0000FF"/>
                <w:w w:val="90"/>
              </w:rPr>
            </w:pPr>
            <w:hyperlink w:anchor="page64">
              <w:r>
                <w:rPr>
                  <w:rFonts w:ascii="Arial" w:cs="Arial" w:eastAsia="Arial" w:hAnsi="Arial"/>
                  <w:sz w:val="16"/>
                  <w:szCs w:val="16"/>
                  <w:color w:val="0000FF"/>
                  <w:w w:val="90"/>
                </w:rPr>
                <w:t>Certification by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92"/>
        </w:trPr>
        <w:tc>
          <w:tcPr>
            <w:tcW w:w="1260" w:type="dxa"/>
            <w:vAlign w:val="bottom"/>
            <w:tcBorders>
              <w:top w:val="single" w:sz="8" w:color="CCEEFF"/>
            </w:tcBorders>
            <w:vMerge w:val="continue"/>
            <w:shd w:val="clear" w:color="auto" w:fill="CCEEFF"/>
          </w:tcPr>
          <w:p>
            <w:pPr>
              <w:spacing w:after="0"/>
              <w:rPr>
                <w:sz w:val="7"/>
                <w:szCs w:val="7"/>
                <w:color w:val="auto"/>
              </w:rPr>
            </w:pPr>
          </w:p>
        </w:tc>
        <w:tc>
          <w:tcPr>
            <w:tcW w:w="740" w:type="dxa"/>
            <w:vAlign w:val="bottom"/>
            <w:tcBorders>
              <w:top w:val="single" w:sz="8" w:color="CCEEFF"/>
            </w:tcBorders>
            <w:gridSpan w:val="2"/>
            <w:vMerge w:val="continue"/>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8520" w:type="dxa"/>
            <w:vAlign w:val="bottom"/>
            <w:tcBorders>
              <w:top w:val="single" w:sz="8" w:color="0000FF"/>
              <w:right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1260" w:type="dxa"/>
            <w:vAlign w:val="bottom"/>
            <w:shd w:val="clear" w:color="auto" w:fill="CCEEFF"/>
          </w:tcPr>
          <w:p>
            <w:pPr>
              <w:spacing w:after="0"/>
              <w:rPr>
                <w:sz w:val="5"/>
                <w:szCs w:val="5"/>
                <w:color w:val="auto"/>
              </w:rPr>
            </w:pPr>
          </w:p>
        </w:tc>
        <w:tc>
          <w:tcPr>
            <w:tcW w:w="7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320" w:type="dxa"/>
            <w:vAlign w:val="bottom"/>
            <w:shd w:val="clear" w:color="auto" w:fill="CCEEFF"/>
          </w:tcPr>
          <w:p>
            <w:pPr>
              <w:spacing w:after="0"/>
              <w:rPr>
                <w:sz w:val="5"/>
                <w:szCs w:val="5"/>
                <w:color w:val="auto"/>
              </w:rPr>
            </w:pPr>
          </w:p>
        </w:tc>
        <w:tc>
          <w:tcPr>
            <w:tcW w:w="8520" w:type="dxa"/>
            <w:vAlign w:val="bottom"/>
            <w:tcBorders>
              <w:right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63"/>
        </w:trPr>
        <w:tc>
          <w:tcPr>
            <w:tcW w:w="1260" w:type="dxa"/>
            <w:vAlign w:val="bottom"/>
            <w:tcBorders>
              <w:top w:val="single" w:sz="8" w:color="CCEEFF"/>
            </w:tcBorders>
          </w:tcPr>
          <w:p>
            <w:pPr>
              <w:spacing w:after="0"/>
              <w:rPr>
                <w:sz w:val="22"/>
                <w:szCs w:val="22"/>
                <w:color w:val="auto"/>
              </w:rPr>
            </w:pPr>
          </w:p>
        </w:tc>
        <w:tc>
          <w:tcPr>
            <w:tcW w:w="420" w:type="dxa"/>
            <w:vAlign w:val="bottom"/>
            <w:tcBorders>
              <w:top w:val="single" w:sz="8" w:color="CCEE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85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1260" w:type="dxa"/>
            <w:vAlign w:val="bottom"/>
            <w:vMerge w:val="restart"/>
            <w:shd w:val="clear" w:color="auto" w:fill="CCEEFF"/>
          </w:tcPr>
          <w:p>
            <w:pPr>
              <w:jc w:val="center"/>
              <w:ind w:left="141"/>
              <w:spacing w:after="0"/>
              <w:rPr>
                <w:sz w:val="20"/>
                <w:szCs w:val="20"/>
                <w:color w:val="auto"/>
              </w:rPr>
            </w:pPr>
            <w:r>
              <w:rPr>
                <w:rFonts w:ascii="Arial" w:cs="Arial" w:eastAsia="Arial" w:hAnsi="Arial"/>
                <w:sz w:val="16"/>
                <w:szCs w:val="16"/>
                <w:color w:val="auto"/>
                <w:w w:val="89"/>
              </w:rPr>
              <w:t>101.INS</w:t>
            </w: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940" w:type="dxa"/>
            <w:vAlign w:val="bottom"/>
            <w:tcBorders>
              <w:right w:val="single" w:sz="8" w:color="CCEEFF"/>
            </w:tcBorders>
            <w:gridSpan w:val="3"/>
            <w:shd w:val="clear" w:color="auto" w:fill="CCEEFF"/>
          </w:tcPr>
          <w:p>
            <w:pPr>
              <w:ind w:left="100"/>
              <w:spacing w:after="0" w:line="161" w:lineRule="exact"/>
              <w:rPr>
                <w:sz w:val="20"/>
                <w:szCs w:val="20"/>
                <w:color w:val="auto"/>
              </w:rPr>
            </w:pPr>
            <w:r>
              <w:rPr>
                <w:rFonts w:ascii="Arial" w:cs="Arial" w:eastAsia="Arial" w:hAnsi="Arial"/>
                <w:sz w:val="16"/>
                <w:szCs w:val="16"/>
                <w:color w:val="auto"/>
                <w:w w:val="89"/>
              </w:rPr>
              <w:t>Inline XBRL Instance Document -- The instance document does not appear in the Interactive Data File because its XBRL tags are embedde</w:t>
            </w:r>
          </w:p>
        </w:tc>
        <w:tc>
          <w:tcPr>
            <w:tcW w:w="0" w:type="dxa"/>
            <w:vAlign w:val="bottom"/>
          </w:tcPr>
          <w:p>
            <w:pPr>
              <w:spacing w:after="0"/>
              <w:rPr>
                <w:sz w:val="1"/>
                <w:szCs w:val="1"/>
                <w:color w:val="auto"/>
              </w:rPr>
            </w:pPr>
          </w:p>
        </w:tc>
      </w:tr>
      <w:tr>
        <w:trPr>
          <w:trHeight w:val="122"/>
        </w:trPr>
        <w:tc>
          <w:tcPr>
            <w:tcW w:w="1260" w:type="dxa"/>
            <w:vAlign w:val="bottom"/>
            <w:vMerge w:val="continue"/>
            <w:shd w:val="clear" w:color="auto" w:fill="CCEEFF"/>
          </w:tcPr>
          <w:p>
            <w:pPr>
              <w:spacing w:after="0"/>
              <w:rPr>
                <w:sz w:val="10"/>
                <w:szCs w:val="10"/>
                <w:color w:val="auto"/>
              </w:rPr>
            </w:pPr>
          </w:p>
        </w:tc>
        <w:tc>
          <w:tcPr>
            <w:tcW w:w="9680" w:type="dxa"/>
            <w:vAlign w:val="bottom"/>
            <w:tcBorders>
              <w:right w:val="single" w:sz="8" w:color="CCEEFF"/>
            </w:tcBorders>
            <w:gridSpan w:val="5"/>
            <w:vMerge w:val="restart"/>
            <w:shd w:val="clear" w:color="auto" w:fill="CCEEFF"/>
          </w:tcPr>
          <w:p>
            <w:pPr>
              <w:ind w:left="240"/>
              <w:spacing w:after="0"/>
              <w:rPr>
                <w:sz w:val="20"/>
                <w:szCs w:val="20"/>
                <w:color w:val="auto"/>
              </w:rPr>
            </w:pPr>
            <w:r>
              <w:rPr>
                <w:rFonts w:ascii="Arial" w:cs="Arial" w:eastAsia="Arial" w:hAnsi="Arial"/>
                <w:sz w:val="16"/>
                <w:szCs w:val="16"/>
                <w:color w:val="auto"/>
              </w:rPr>
              <w:t>*  within the Inline XBRL document</w:t>
            </w:r>
          </w:p>
        </w:tc>
        <w:tc>
          <w:tcPr>
            <w:tcW w:w="0" w:type="dxa"/>
            <w:vAlign w:val="bottom"/>
          </w:tcPr>
          <w:p>
            <w:pPr>
              <w:spacing w:after="0"/>
              <w:rPr>
                <w:sz w:val="1"/>
                <w:szCs w:val="1"/>
                <w:color w:val="auto"/>
              </w:rPr>
            </w:pPr>
          </w:p>
        </w:tc>
      </w:tr>
      <w:tr>
        <w:trPr>
          <w:trHeight w:val="85"/>
        </w:trPr>
        <w:tc>
          <w:tcPr>
            <w:tcW w:w="1260" w:type="dxa"/>
            <w:vAlign w:val="bottom"/>
            <w:shd w:val="clear" w:color="auto" w:fill="CCEEFF"/>
          </w:tcPr>
          <w:p>
            <w:pPr>
              <w:spacing w:after="0"/>
              <w:rPr>
                <w:sz w:val="7"/>
                <w:szCs w:val="7"/>
                <w:color w:val="auto"/>
              </w:rPr>
            </w:pPr>
          </w:p>
        </w:tc>
        <w:tc>
          <w:tcPr>
            <w:tcW w:w="9680" w:type="dxa"/>
            <w:vAlign w:val="bottom"/>
            <w:tcBorders>
              <w:right w:val="single" w:sz="8" w:color="CCEEFF"/>
            </w:tcBorders>
            <w:gridSpan w:val="5"/>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2"/>
              </w:rPr>
              <w:t>101.SCH</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Schema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6"/>
              </w:rPr>
              <w:t>101.CAL</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Calculation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8"/>
              </w:rPr>
              <w:t>101.DEF</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Definition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97"/>
              </w:rPr>
              <w:t>101.LAB</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Label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7"/>
              </w:rPr>
              <w:t>101.PRE</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Inline XBRL Taxonomy Extension Presentation Linkbase Document</w:t>
            </w:r>
          </w:p>
        </w:tc>
        <w:tc>
          <w:tcPr>
            <w:tcW w:w="0" w:type="dxa"/>
            <w:vAlign w:val="bottom"/>
          </w:tcPr>
          <w:p>
            <w:pPr>
              <w:spacing w:after="0"/>
              <w:rPr>
                <w:sz w:val="1"/>
                <w:szCs w:val="1"/>
                <w:color w:val="auto"/>
              </w:rPr>
            </w:pPr>
          </w:p>
        </w:tc>
      </w:tr>
      <w:tr>
        <w:trPr>
          <w:trHeight w:val="263"/>
        </w:trPr>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104</w:t>
            </w:r>
          </w:p>
        </w:tc>
        <w:tc>
          <w:tcPr>
            <w:tcW w:w="4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8"/>
                <w:szCs w:val="18"/>
                <w:color w:val="auto"/>
              </w:rPr>
            </w:pPr>
          </w:p>
        </w:tc>
        <w:tc>
          <w:tcPr>
            <w:tcW w:w="8940" w:type="dxa"/>
            <w:vAlign w:val="bottom"/>
            <w:tcBorders>
              <w:right w:val="single" w:sz="8" w:color="CCEEFF"/>
            </w:tcBorders>
            <w:gridSpan w:val="3"/>
            <w:shd w:val="clear" w:color="auto" w:fill="CCEEFF"/>
          </w:tcPr>
          <w:p>
            <w:pPr>
              <w:ind w:left="100"/>
              <w:spacing w:after="0"/>
              <w:rPr>
                <w:sz w:val="20"/>
                <w:szCs w:val="20"/>
                <w:color w:val="auto"/>
              </w:rPr>
            </w:pPr>
            <w:r>
              <w:rPr>
                <w:rFonts w:ascii="Arial" w:cs="Arial" w:eastAsia="Arial" w:hAnsi="Arial"/>
                <w:sz w:val="16"/>
                <w:szCs w:val="16"/>
                <w:color w:val="auto"/>
              </w:rPr>
              <w:t>Cover Page Interactive Data File (formatted as Inline XBRL)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63500</wp:posOffset>
            </wp:positionV>
            <wp:extent cx="71615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0920"/>
          </w:cols>
          <w:pgMar w:left="740" w:top="1072" w:right="239" w:bottom="1440" w:gutter="0" w:footer="0" w:header="0"/>
        </w:sectPr>
      </w:pPr>
    </w:p>
    <w:bookmarkStart w:id="59" w:name="page60"/>
    <w:bookmarkEnd w:id="59"/>
    <w:p>
      <w:pPr>
        <w:jc w:val="center"/>
        <w:ind w:left="400"/>
        <w:spacing w:after="0"/>
        <w:rPr>
          <w:sz w:val="20"/>
          <w:szCs w:val="20"/>
          <w:color w:val="auto"/>
        </w:rPr>
      </w:pPr>
      <w:r>
        <w:rPr>
          <w:rFonts w:ascii="Arial" w:cs="Arial" w:eastAsia="Arial" w:hAnsi="Arial"/>
          <w:sz w:val="18"/>
          <w:szCs w:val="18"/>
          <w:b w:val="1"/>
          <w:bCs w:val="1"/>
          <w:color w:val="auto"/>
        </w:rPr>
        <w:t>SIGNATURES</w:t>
      </w:r>
    </w:p>
    <w:p>
      <w:pPr>
        <w:spacing w:after="0" w:line="114" w:lineRule="exact"/>
        <w:rPr>
          <w:sz w:val="20"/>
          <w:szCs w:val="20"/>
          <w:color w:val="auto"/>
        </w:rPr>
      </w:pPr>
    </w:p>
    <w:p>
      <w:pPr>
        <w:ind w:firstLine="63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7560" w:type="dxa"/>
            <w:vAlign w:val="bottom"/>
            <w:gridSpan w:val="2"/>
          </w:tcPr>
          <w:p>
            <w:pPr>
              <w:ind w:left="1540"/>
              <w:spacing w:after="0"/>
              <w:rPr>
                <w:sz w:val="20"/>
                <w:szCs w:val="20"/>
                <w:color w:val="auto"/>
              </w:rPr>
            </w:pPr>
            <w:r>
              <w:rPr>
                <w:rFonts w:ascii="Arial" w:cs="Arial" w:eastAsia="Arial" w:hAnsi="Arial"/>
                <w:sz w:val="16"/>
                <w:szCs w:val="16"/>
                <w:b w:val="1"/>
                <w:bCs w:val="1"/>
                <w:color w:val="auto"/>
              </w:rPr>
              <w:t>LIVEPERSON, INC.</w:t>
            </w:r>
          </w:p>
        </w:tc>
      </w:tr>
      <w:tr>
        <w:trPr>
          <w:trHeight w:val="210"/>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360" w:type="dxa"/>
            <w:vAlign w:val="bottom"/>
          </w:tcPr>
          <w:p>
            <w:pPr>
              <w:ind w:left="1540"/>
              <w:spacing w:after="0"/>
              <w:rPr>
                <w:sz w:val="20"/>
                <w:szCs w:val="20"/>
                <w:color w:val="auto"/>
              </w:rPr>
            </w:pPr>
            <w:r>
              <w:rPr>
                <w:rFonts w:ascii="Arial" w:cs="Arial" w:eastAsia="Arial" w:hAnsi="Arial"/>
                <w:sz w:val="16"/>
                <w:szCs w:val="16"/>
                <w:color w:val="auto"/>
                <w:w w:val="95"/>
              </w:rPr>
              <w:t>(Registrant)</w:t>
            </w:r>
          </w:p>
        </w:tc>
        <w:tc>
          <w:tcPr>
            <w:tcW w:w="5200" w:type="dxa"/>
            <w:vAlign w:val="bottom"/>
          </w:tcPr>
          <w:p>
            <w:pPr>
              <w:spacing w:after="0"/>
              <w:rPr>
                <w:sz w:val="18"/>
                <w:szCs w:val="18"/>
                <w:color w:val="auto"/>
              </w:rPr>
            </w:pPr>
          </w:p>
        </w:tc>
      </w:tr>
      <w:tr>
        <w:trPr>
          <w:trHeight w:val="45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900" w:type="dxa"/>
            <w:vAlign w:val="bottom"/>
          </w:tcPr>
          <w:p>
            <w:pPr>
              <w:ind w:left="180"/>
              <w:spacing w:after="0"/>
              <w:rPr>
                <w:sz w:val="20"/>
                <w:szCs w:val="20"/>
                <w:color w:val="auto"/>
              </w:rPr>
            </w:pPr>
            <w:r>
              <w:rPr>
                <w:rFonts w:ascii="Arial" w:cs="Arial" w:eastAsia="Arial" w:hAnsi="Arial"/>
                <w:sz w:val="16"/>
                <w:szCs w:val="16"/>
                <w:color w:val="auto"/>
              </w:rPr>
              <w:t>November 3, 2021</w:t>
            </w:r>
          </w:p>
        </w:tc>
        <w:tc>
          <w:tcPr>
            <w:tcW w:w="2360" w:type="dxa"/>
            <w:vAlign w:val="bottom"/>
          </w:tcPr>
          <w:p>
            <w:pPr>
              <w:ind w:left="154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ROBERT P. LOCASCIO</w:t>
            </w:r>
          </w:p>
        </w:tc>
      </w:tr>
      <w:tr>
        <w:trPr>
          <w:trHeight w:val="203"/>
        </w:trPr>
        <w:tc>
          <w:tcPr>
            <w:tcW w:w="5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360" w:type="dxa"/>
            <w:vAlign w:val="bottom"/>
          </w:tcPr>
          <w:p>
            <w:pPr>
              <w:ind w:left="1540"/>
              <w:spacing w:after="0"/>
              <w:rPr>
                <w:sz w:val="20"/>
                <w:szCs w:val="20"/>
                <w:color w:val="auto"/>
              </w:rPr>
            </w:pPr>
            <w:r>
              <w:rPr>
                <w:rFonts w:ascii="Arial" w:cs="Arial" w:eastAsia="Arial" w:hAnsi="Arial"/>
                <w:sz w:val="16"/>
                <w:szCs w:val="16"/>
                <w:color w:val="auto"/>
              </w:rPr>
              <w:t>Name:</w:t>
            </w:r>
          </w:p>
        </w:tc>
        <w:tc>
          <w:tcPr>
            <w:tcW w:w="5200" w:type="dxa"/>
            <w:vAlign w:val="bottom"/>
          </w:tcPr>
          <w:p>
            <w:pPr>
              <w:ind w:left="20"/>
              <w:spacing w:after="0"/>
              <w:rPr>
                <w:sz w:val="20"/>
                <w:szCs w:val="20"/>
                <w:color w:val="auto"/>
              </w:rPr>
            </w:pPr>
            <w:r>
              <w:rPr>
                <w:rFonts w:ascii="Arial" w:cs="Arial" w:eastAsia="Arial" w:hAnsi="Arial"/>
                <w:sz w:val="16"/>
                <w:szCs w:val="16"/>
                <w:color w:val="auto"/>
              </w:rPr>
              <w:t>Robert P. LoCascio</w:t>
            </w:r>
          </w:p>
        </w:tc>
      </w:tr>
      <w:tr>
        <w:trPr>
          <w:trHeight w:val="210"/>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360" w:type="dxa"/>
            <w:vAlign w:val="bottom"/>
          </w:tcPr>
          <w:p>
            <w:pPr>
              <w:ind w:left="1540"/>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Executive Officer (principal executive officer)</w:t>
            </w:r>
          </w:p>
        </w:tc>
      </w:tr>
      <w:tr>
        <w:trPr>
          <w:trHeight w:val="459"/>
        </w:trPr>
        <w:tc>
          <w:tcPr>
            <w:tcW w:w="520" w:type="dxa"/>
            <w:vAlign w:val="bottom"/>
          </w:tcPr>
          <w:p>
            <w:pPr>
              <w:spacing w:after="0"/>
              <w:rPr>
                <w:sz w:val="20"/>
                <w:szCs w:val="20"/>
                <w:color w:val="auto"/>
              </w:rPr>
            </w:pPr>
            <w:r>
              <w:rPr>
                <w:rFonts w:ascii="Arial" w:cs="Arial" w:eastAsia="Arial" w:hAnsi="Arial"/>
                <w:sz w:val="16"/>
                <w:szCs w:val="16"/>
                <w:color w:val="auto"/>
              </w:rPr>
              <w:t>Date:</w:t>
            </w:r>
          </w:p>
        </w:tc>
        <w:tc>
          <w:tcPr>
            <w:tcW w:w="2900" w:type="dxa"/>
            <w:vAlign w:val="bottom"/>
          </w:tcPr>
          <w:p>
            <w:pPr>
              <w:ind w:left="180"/>
              <w:spacing w:after="0"/>
              <w:rPr>
                <w:sz w:val="20"/>
                <w:szCs w:val="20"/>
                <w:color w:val="auto"/>
              </w:rPr>
            </w:pPr>
            <w:r>
              <w:rPr>
                <w:rFonts w:ascii="Arial" w:cs="Arial" w:eastAsia="Arial" w:hAnsi="Arial"/>
                <w:sz w:val="16"/>
                <w:szCs w:val="16"/>
                <w:color w:val="auto"/>
              </w:rPr>
              <w:t>November 3, 2021</w:t>
            </w:r>
          </w:p>
        </w:tc>
        <w:tc>
          <w:tcPr>
            <w:tcW w:w="2360" w:type="dxa"/>
            <w:vAlign w:val="bottom"/>
          </w:tcPr>
          <w:p>
            <w:pPr>
              <w:ind w:left="1540"/>
              <w:spacing w:after="0"/>
              <w:rPr>
                <w:sz w:val="20"/>
                <w:szCs w:val="20"/>
                <w:color w:val="auto"/>
              </w:rPr>
            </w:pPr>
            <w:r>
              <w:rPr>
                <w:rFonts w:ascii="Arial" w:cs="Arial" w:eastAsia="Arial" w:hAnsi="Arial"/>
                <w:sz w:val="16"/>
                <w:szCs w:val="16"/>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D. COLLINS</w:t>
            </w:r>
          </w:p>
        </w:tc>
      </w:tr>
      <w:tr>
        <w:trPr>
          <w:trHeight w:val="203"/>
        </w:trPr>
        <w:tc>
          <w:tcPr>
            <w:tcW w:w="5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2360" w:type="dxa"/>
            <w:vAlign w:val="bottom"/>
          </w:tcPr>
          <w:p>
            <w:pPr>
              <w:ind w:left="1540"/>
              <w:spacing w:after="0"/>
              <w:rPr>
                <w:sz w:val="20"/>
                <w:szCs w:val="20"/>
                <w:color w:val="auto"/>
              </w:rPr>
            </w:pPr>
            <w:r>
              <w:rPr>
                <w:rFonts w:ascii="Arial" w:cs="Arial" w:eastAsia="Arial" w:hAnsi="Arial"/>
                <w:sz w:val="16"/>
                <w:szCs w:val="16"/>
                <w:color w:val="auto"/>
              </w:rPr>
              <w:t>Name:</w:t>
            </w:r>
          </w:p>
        </w:tc>
        <w:tc>
          <w:tcPr>
            <w:tcW w:w="5200" w:type="dxa"/>
            <w:vAlign w:val="bottom"/>
          </w:tcPr>
          <w:p>
            <w:pPr>
              <w:ind w:left="20"/>
              <w:spacing w:after="0"/>
              <w:rPr>
                <w:sz w:val="20"/>
                <w:szCs w:val="20"/>
                <w:color w:val="auto"/>
              </w:rPr>
            </w:pPr>
            <w:r>
              <w:rPr>
                <w:rFonts w:ascii="Arial" w:cs="Arial" w:eastAsia="Arial" w:hAnsi="Arial"/>
                <w:sz w:val="16"/>
                <w:szCs w:val="16"/>
                <w:color w:val="auto"/>
              </w:rPr>
              <w:t>John D. Collins</w:t>
            </w:r>
          </w:p>
        </w:tc>
      </w:tr>
      <w:tr>
        <w:trPr>
          <w:trHeight w:val="210"/>
        </w:trPr>
        <w:tc>
          <w:tcPr>
            <w:tcW w:w="5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360" w:type="dxa"/>
            <w:vAlign w:val="bottom"/>
          </w:tcPr>
          <w:p>
            <w:pPr>
              <w:ind w:left="1540"/>
              <w:spacing w:after="0"/>
              <w:rPr>
                <w:sz w:val="20"/>
                <w:szCs w:val="20"/>
                <w:color w:val="auto"/>
              </w:rPr>
            </w:pPr>
            <w:r>
              <w:rPr>
                <w:rFonts w:ascii="Arial" w:cs="Arial" w:eastAsia="Arial" w:hAnsi="Arial"/>
                <w:sz w:val="16"/>
                <w:szCs w:val="16"/>
                <w:color w:val="auto"/>
              </w:rPr>
              <w:t>Title:</w:t>
            </w:r>
          </w:p>
        </w:tc>
        <w:tc>
          <w:tcPr>
            <w:tcW w:w="5200" w:type="dxa"/>
            <w:vAlign w:val="bottom"/>
          </w:tcPr>
          <w:p>
            <w:pPr>
              <w:ind w:left="20"/>
              <w:spacing w:after="0"/>
              <w:rPr>
                <w:sz w:val="20"/>
                <w:szCs w:val="20"/>
                <w:color w:val="auto"/>
              </w:rPr>
            </w:pPr>
            <w:r>
              <w:rPr>
                <w:rFonts w:ascii="Arial" w:cs="Arial" w:eastAsia="Arial" w:hAnsi="Arial"/>
                <w:sz w:val="16"/>
                <w:szCs w:val="16"/>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06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u w:val="single" w:color="auto"/>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Robert P. LoCascio, certify that:</w:t>
      </w:r>
    </w:p>
    <w:p>
      <w:pPr>
        <w:spacing w:after="0" w:line="95" w:lineRule="exact"/>
        <w:rPr>
          <w:sz w:val="20"/>
          <w:szCs w:val="20"/>
          <w:color w:val="auto"/>
        </w:rPr>
      </w:pPr>
    </w:p>
    <w:p>
      <w:pPr>
        <w:ind w:left="320" w:hanging="315"/>
        <w:spacing w:after="0"/>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94" w:lineRule="exact"/>
        <w:rPr>
          <w:rFonts w:ascii="Arial" w:cs="Arial" w:eastAsia="Arial" w:hAnsi="Arial"/>
          <w:sz w:val="18"/>
          <w:szCs w:val="18"/>
          <w:color w:val="auto"/>
        </w:rPr>
      </w:pPr>
    </w:p>
    <w:p>
      <w:pPr>
        <w:ind w:left="320" w:right="260" w:hanging="315"/>
        <w:spacing w:after="0" w:line="347" w:lineRule="auto"/>
        <w:tabs>
          <w:tab w:leader="none" w:pos="3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60"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ind w:left="320" w:right="20" w:hanging="315"/>
        <w:spacing w:after="0" w:line="252" w:lineRule="auto"/>
        <w:tabs>
          <w:tab w:leader="none" w:pos="3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sz w:val="20"/>
          <w:szCs w:val="20"/>
          <w:color w:val="auto"/>
        </w:rPr>
      </w:pPr>
    </w:p>
    <w:p>
      <w:pPr>
        <w:ind w:left="320" w:right="180" w:hanging="315"/>
        <w:spacing w:after="0" w:line="252" w:lineRule="auto"/>
        <w:tabs>
          <w:tab w:leader="none" w:pos="317"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320" w:right="100" w:hanging="315"/>
        <w:spacing w:after="0" w:line="252" w:lineRule="auto"/>
        <w:tabs>
          <w:tab w:leader="none" w:pos="3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320" w:right="80" w:hanging="315"/>
        <w:spacing w:after="0" w:line="323" w:lineRule="auto"/>
        <w:tabs>
          <w:tab w:leader="none" w:pos="317" w:val="left"/>
        </w:tabs>
        <w:numPr>
          <w:ilvl w:val="0"/>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320" w:right="40" w:hanging="315"/>
        <w:spacing w:after="0" w:line="252" w:lineRule="auto"/>
        <w:tabs>
          <w:tab w:leader="none" w:pos="31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320" w:right="440" w:hanging="315"/>
        <w:spacing w:after="0" w:line="323" w:lineRule="auto"/>
        <w:tabs>
          <w:tab w:leader="none" w:pos="3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sz w:val="20"/>
          <w:szCs w:val="20"/>
          <w:color w:val="auto"/>
        </w:rPr>
      </w:pPr>
    </w:p>
    <w:p>
      <w:pPr>
        <w:ind w:left="320" w:right="280" w:hanging="315"/>
        <w:spacing w:after="0" w:line="260" w:lineRule="auto"/>
        <w:tabs>
          <w:tab w:leader="none" w:pos="31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left="320" w:right="500" w:hanging="315"/>
        <w:spacing w:after="0" w:line="260" w:lineRule="auto"/>
        <w:tabs>
          <w:tab w:leader="none" w:pos="314"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280"/>
              <w:spacing w:after="0"/>
              <w:rPr>
                <w:sz w:val="20"/>
                <w:szCs w:val="20"/>
                <w:color w:val="auto"/>
              </w:rPr>
            </w:pPr>
            <w:r>
              <w:rPr>
                <w:rFonts w:ascii="Arial" w:cs="Arial" w:eastAsia="Arial" w:hAnsi="Arial"/>
                <w:sz w:val="18"/>
                <w:szCs w:val="18"/>
                <w:color w:val="auto"/>
              </w:rPr>
              <w:t>November 3, 2021</w:t>
            </w:r>
          </w:p>
        </w:tc>
        <w:tc>
          <w:tcPr>
            <w:tcW w:w="2280" w:type="dxa"/>
            <w:vAlign w:val="bottom"/>
          </w:tcPr>
          <w:p>
            <w:pPr>
              <w:ind w:left="15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16"/>
        </w:trPr>
        <w:tc>
          <w:tcPr>
            <w:tcW w:w="6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80" w:type="dxa"/>
            <w:vAlign w:val="bottom"/>
          </w:tcPr>
          <w:p>
            <w:pPr>
              <w:ind w:left="1580"/>
              <w:spacing w:after="0" w:line="203" w:lineRule="exact"/>
              <w:rPr>
                <w:sz w:val="20"/>
                <w:szCs w:val="20"/>
                <w:color w:val="auto"/>
              </w:rPr>
            </w:pPr>
            <w:r>
              <w:rPr>
                <w:rFonts w:ascii="Arial" w:cs="Arial" w:eastAsia="Arial" w:hAnsi="Arial"/>
                <w:sz w:val="18"/>
                <w:szCs w:val="18"/>
                <w:color w:val="auto"/>
              </w:rPr>
              <w:t>Name:</w:t>
            </w:r>
          </w:p>
        </w:tc>
        <w:tc>
          <w:tcPr>
            <w:tcW w:w="500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23"/>
        </w:trPr>
        <w:tc>
          <w:tcPr>
            <w:tcW w:w="6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280" w:type="dxa"/>
            <w:vAlign w:val="bottom"/>
          </w:tcPr>
          <w:p>
            <w:pPr>
              <w:ind w:left="1580"/>
              <w:spacing w:after="0"/>
              <w:rPr>
                <w:sz w:val="20"/>
                <w:szCs w:val="20"/>
                <w:color w:val="auto"/>
              </w:rPr>
            </w:pPr>
            <w:r>
              <w:rPr>
                <w:rFonts w:ascii="Arial" w:cs="Arial" w:eastAsia="Arial" w:hAnsi="Arial"/>
                <w:sz w:val="18"/>
                <w:szCs w:val="18"/>
                <w:color w:val="auto"/>
              </w:rPr>
              <w:t>Title:</w:t>
            </w:r>
          </w:p>
        </w:tc>
        <w:tc>
          <w:tcPr>
            <w:tcW w:w="500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ectPr>
          <w:pgSz w:w="11900" w:h="16838" w:orient="portrait"/>
          <w:cols w:equalWidth="0" w:num="1">
            <w:col w:w="11240"/>
          </w:cols>
          <w:pgMar w:left="320" w:top="12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u w:val="single" w:color="auto"/>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I, John Collins, certify that:</w:t>
      </w:r>
    </w:p>
    <w:p>
      <w:pPr>
        <w:spacing w:after="0" w:line="95" w:lineRule="exact"/>
        <w:rPr>
          <w:sz w:val="20"/>
          <w:szCs w:val="20"/>
          <w:color w:val="auto"/>
        </w:rPr>
      </w:pPr>
    </w:p>
    <w:p>
      <w:pPr>
        <w:ind w:left="320" w:hanging="315"/>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LivePerson, Inc.;</w:t>
      </w:r>
    </w:p>
    <w:p>
      <w:pPr>
        <w:spacing w:after="0" w:line="94" w:lineRule="exact"/>
        <w:rPr>
          <w:rFonts w:ascii="Arial" w:cs="Arial" w:eastAsia="Arial" w:hAnsi="Arial"/>
          <w:sz w:val="18"/>
          <w:szCs w:val="18"/>
          <w:color w:val="auto"/>
        </w:rPr>
      </w:pPr>
    </w:p>
    <w:p>
      <w:pPr>
        <w:ind w:left="320" w:right="260" w:hanging="315"/>
        <w:spacing w:after="0" w:line="347" w:lineRule="auto"/>
        <w:tabs>
          <w:tab w:leader="none" w:pos="3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320" w:right="60" w:hanging="315"/>
        <w:spacing w:after="0" w:line="260"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3" w:lineRule="exact"/>
        <w:rPr>
          <w:rFonts w:ascii="Arial" w:cs="Arial" w:eastAsia="Arial" w:hAnsi="Arial"/>
          <w:sz w:val="18"/>
          <w:szCs w:val="18"/>
          <w:color w:val="auto"/>
        </w:rPr>
      </w:pPr>
    </w:p>
    <w:p>
      <w:pPr>
        <w:ind w:left="320" w:right="20" w:hanging="315"/>
        <w:spacing w:after="0" w:line="252" w:lineRule="auto"/>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0" w:lineRule="exact"/>
        <w:rPr>
          <w:sz w:val="20"/>
          <w:szCs w:val="20"/>
          <w:color w:val="auto"/>
        </w:rPr>
      </w:pPr>
    </w:p>
    <w:p>
      <w:pPr>
        <w:ind w:left="320" w:right="180" w:hanging="315"/>
        <w:spacing w:after="0" w:line="252" w:lineRule="auto"/>
        <w:tabs>
          <w:tab w:leader="none" w:pos="317"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6" w:lineRule="exact"/>
        <w:rPr>
          <w:rFonts w:ascii="Arial" w:cs="Arial" w:eastAsia="Arial" w:hAnsi="Arial"/>
          <w:sz w:val="18"/>
          <w:szCs w:val="18"/>
          <w:color w:val="auto"/>
        </w:rPr>
      </w:pPr>
    </w:p>
    <w:p>
      <w:pPr>
        <w:ind w:left="320" w:right="100" w:hanging="315"/>
        <w:spacing w:after="0" w:line="252" w:lineRule="auto"/>
        <w:tabs>
          <w:tab w:leader="none" w:pos="3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0" w:lineRule="exact"/>
        <w:rPr>
          <w:rFonts w:ascii="Arial" w:cs="Arial" w:eastAsia="Arial" w:hAnsi="Arial"/>
          <w:sz w:val="18"/>
          <w:szCs w:val="18"/>
          <w:color w:val="auto"/>
        </w:rPr>
      </w:pPr>
    </w:p>
    <w:p>
      <w:pPr>
        <w:ind w:left="320" w:right="80" w:hanging="315"/>
        <w:spacing w:after="0" w:line="323" w:lineRule="auto"/>
        <w:tabs>
          <w:tab w:leader="none" w:pos="317" w:val="left"/>
        </w:tabs>
        <w:numPr>
          <w:ilvl w:val="0"/>
          <w:numId w:val="3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320" w:right="40" w:hanging="315"/>
        <w:spacing w:after="0" w:line="252" w:lineRule="auto"/>
        <w:tabs>
          <w:tab w:leader="none" w:pos="314"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sz w:val="20"/>
          <w:szCs w:val="20"/>
          <w:color w:val="auto"/>
        </w:rPr>
      </w:pPr>
    </w:p>
    <w:p>
      <w:pPr>
        <w:ind w:left="320" w:right="440" w:hanging="315"/>
        <w:spacing w:after="0" w:line="323" w:lineRule="auto"/>
        <w:tabs>
          <w:tab w:leader="none" w:pos="3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 w:lineRule="exact"/>
        <w:rPr>
          <w:sz w:val="20"/>
          <w:szCs w:val="20"/>
          <w:color w:val="auto"/>
        </w:rPr>
      </w:pPr>
    </w:p>
    <w:p>
      <w:pPr>
        <w:ind w:left="320" w:right="280" w:hanging="315"/>
        <w:spacing w:after="0" w:line="260" w:lineRule="auto"/>
        <w:tabs>
          <w:tab w:leader="none" w:pos="317"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Arial" w:cs="Arial" w:eastAsia="Arial" w:hAnsi="Arial"/>
          <w:sz w:val="18"/>
          <w:szCs w:val="18"/>
          <w:color w:val="auto"/>
        </w:rPr>
      </w:pPr>
    </w:p>
    <w:p>
      <w:pPr>
        <w:ind w:left="320" w:right="500" w:hanging="315"/>
        <w:spacing w:after="0" w:line="260" w:lineRule="auto"/>
        <w:tabs>
          <w:tab w:leader="none" w:pos="314"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040" w:type="dxa"/>
            <w:vAlign w:val="bottom"/>
          </w:tcPr>
          <w:p>
            <w:pPr>
              <w:ind w:left="300"/>
              <w:spacing w:after="0"/>
              <w:rPr>
                <w:sz w:val="20"/>
                <w:szCs w:val="20"/>
                <w:color w:val="auto"/>
              </w:rPr>
            </w:pPr>
            <w:r>
              <w:rPr>
                <w:rFonts w:ascii="Arial" w:cs="Arial" w:eastAsia="Arial" w:hAnsi="Arial"/>
                <w:sz w:val="18"/>
                <w:szCs w:val="18"/>
                <w:color w:val="auto"/>
              </w:rPr>
              <w:t>November 3, 2021</w:t>
            </w:r>
          </w:p>
        </w:tc>
        <w:tc>
          <w:tcPr>
            <w:tcW w:w="2140" w:type="dxa"/>
            <w:vAlign w:val="bottom"/>
          </w:tcPr>
          <w:p>
            <w:pPr>
              <w:ind w:left="142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Collins</w:t>
            </w:r>
          </w:p>
        </w:tc>
      </w:tr>
      <w:tr>
        <w:trPr>
          <w:trHeight w:val="216"/>
        </w:trPr>
        <w:tc>
          <w:tcPr>
            <w:tcW w:w="7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140" w:type="dxa"/>
            <w:vAlign w:val="bottom"/>
          </w:tcPr>
          <w:p>
            <w:pPr>
              <w:ind w:left="1420"/>
              <w:spacing w:after="0" w:line="203"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23"/>
        </w:trPr>
        <w:tc>
          <w:tcPr>
            <w:tcW w:w="7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140" w:type="dxa"/>
            <w:vAlign w:val="bottom"/>
          </w:tcPr>
          <w:p>
            <w:pPr>
              <w:ind w:left="142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ectPr>
          <w:pgSz w:w="11900" w:h="16838" w:orient="portrait"/>
          <w:cols w:equalWidth="0" w:num="1">
            <w:col w:w="11240"/>
          </w:cols>
          <w:pgMar w:left="320" w:top="127"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u w:val="single" w:color="auto"/>
          <w:color w:val="auto"/>
        </w:rPr>
        <w:t>Exhibit 32.1</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9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 Robert P. LoCascio, Chief Executive Officer of LivePerson, Inc. (the “Company”), certify, pursuant to 18 U.S.C. Section 1350, as adopted pursuant to Section 906 of the Sarbanes-Oxley Act of 2002, that:</w:t>
      </w:r>
    </w:p>
    <w:p>
      <w:pPr>
        <w:spacing w:after="0" w:line="64" w:lineRule="exact"/>
        <w:rPr>
          <w:sz w:val="20"/>
          <w:szCs w:val="20"/>
          <w:color w:val="auto"/>
        </w:rPr>
      </w:pPr>
    </w:p>
    <w:p>
      <w:pPr>
        <w:ind w:left="640" w:right="140" w:hanging="320"/>
        <w:spacing w:after="0" w:line="323" w:lineRule="auto"/>
        <w:tabs>
          <w:tab w:leader="none" w:pos="63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2021, as filed with the Securities and Exchange Commission (the “Report”), fully complies with the requirements of Section 13(a) or 15(d) of the Securities Exchange Act of 1934; and</w:t>
      </w:r>
    </w:p>
    <w:p>
      <w:pPr>
        <w:spacing w:after="0" w:line="3" w:lineRule="exact"/>
        <w:rPr>
          <w:rFonts w:ascii="Arial" w:cs="Arial" w:eastAsia="Arial" w:hAnsi="Arial"/>
          <w:sz w:val="16"/>
          <w:szCs w:val="16"/>
          <w:color w:val="auto"/>
        </w:rPr>
      </w:pPr>
    </w:p>
    <w:p>
      <w:pPr>
        <w:ind w:left="620" w:hanging="300"/>
        <w:spacing w:after="0"/>
        <w:tabs>
          <w:tab w:leader="none" w:pos="6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160" w:type="dxa"/>
        <w:tblCellMar>
          <w:top w:w="0" w:type="dxa"/>
          <w:left w:w="0" w:type="dxa"/>
          <w:bottom w:w="0" w:type="dxa"/>
          <w:right w:w="0" w:type="dxa"/>
        </w:tblCellMar>
      </w:tblP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200"/>
              <w:spacing w:after="0"/>
              <w:rPr>
                <w:sz w:val="20"/>
                <w:szCs w:val="20"/>
                <w:color w:val="auto"/>
              </w:rPr>
            </w:pPr>
            <w:r>
              <w:rPr>
                <w:rFonts w:ascii="Arial" w:cs="Arial" w:eastAsia="Arial" w:hAnsi="Arial"/>
                <w:sz w:val="18"/>
                <w:szCs w:val="18"/>
                <w:color w:val="auto"/>
              </w:rPr>
              <w:t>November 3, 2021</w:t>
            </w:r>
          </w:p>
        </w:tc>
        <w:tc>
          <w:tcPr>
            <w:tcW w:w="2300" w:type="dxa"/>
            <w:vAlign w:val="bottom"/>
          </w:tcPr>
          <w:p>
            <w:pPr>
              <w:ind w:left="160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P. LOCASCIO</w:t>
            </w:r>
          </w:p>
        </w:tc>
      </w:tr>
      <w:tr>
        <w:trPr>
          <w:trHeight w:val="216"/>
        </w:trPr>
        <w:tc>
          <w:tcPr>
            <w:tcW w:w="6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300" w:type="dxa"/>
            <w:vAlign w:val="bottom"/>
          </w:tcPr>
          <w:p>
            <w:pPr>
              <w:ind w:left="1600"/>
              <w:spacing w:after="0" w:line="203" w:lineRule="exact"/>
              <w:rPr>
                <w:sz w:val="20"/>
                <w:szCs w:val="20"/>
                <w:color w:val="auto"/>
              </w:rPr>
            </w:pPr>
            <w:r>
              <w:rPr>
                <w:rFonts w:ascii="Arial" w:cs="Arial" w:eastAsia="Arial" w:hAnsi="Arial"/>
                <w:sz w:val="18"/>
                <w:szCs w:val="18"/>
                <w:color w:val="auto"/>
              </w:rPr>
              <w:t>Name:</w:t>
            </w:r>
          </w:p>
        </w:tc>
        <w:tc>
          <w:tcPr>
            <w:tcW w:w="4920" w:type="dxa"/>
            <w:vAlign w:val="bottom"/>
          </w:tcPr>
          <w:p>
            <w:pPr>
              <w:ind w:left="20"/>
              <w:spacing w:after="0"/>
              <w:rPr>
                <w:sz w:val="20"/>
                <w:szCs w:val="20"/>
                <w:color w:val="auto"/>
              </w:rPr>
            </w:pPr>
            <w:r>
              <w:rPr>
                <w:rFonts w:ascii="Arial" w:cs="Arial" w:eastAsia="Arial" w:hAnsi="Arial"/>
                <w:sz w:val="18"/>
                <w:szCs w:val="18"/>
                <w:color w:val="auto"/>
              </w:rPr>
              <w:t>Robert P. LoCascio</w:t>
            </w:r>
          </w:p>
        </w:tc>
      </w:tr>
      <w:tr>
        <w:trPr>
          <w:trHeight w:val="223"/>
        </w:trPr>
        <w:tc>
          <w:tcPr>
            <w:tcW w:w="60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300" w:type="dxa"/>
            <w:vAlign w:val="bottom"/>
          </w:tcPr>
          <w:p>
            <w:pPr>
              <w:ind w:left="1600"/>
              <w:spacing w:after="0"/>
              <w:rPr>
                <w:sz w:val="20"/>
                <w:szCs w:val="20"/>
                <w:color w:val="auto"/>
              </w:rPr>
            </w:pPr>
            <w:r>
              <w:rPr>
                <w:rFonts w:ascii="Arial" w:cs="Arial" w:eastAsia="Arial" w:hAnsi="Arial"/>
                <w:sz w:val="18"/>
                <w:szCs w:val="18"/>
                <w:color w:val="auto"/>
              </w:rPr>
              <w:t>Title:</w:t>
            </w:r>
          </w:p>
        </w:tc>
        <w:tc>
          <w:tcPr>
            <w:tcW w:w="4920" w:type="dxa"/>
            <w:vAlign w:val="bottom"/>
          </w:tcPr>
          <w:p>
            <w:pPr>
              <w:ind w:left="20"/>
              <w:spacing w:after="0"/>
              <w:rPr>
                <w:sz w:val="20"/>
                <w:szCs w:val="20"/>
                <w:color w:val="auto"/>
              </w:rPr>
            </w:pPr>
            <w:r>
              <w:rPr>
                <w:rFonts w:ascii="Arial" w:cs="Arial" w:eastAsia="Arial" w:hAnsi="Arial"/>
                <w:sz w:val="18"/>
                <w:szCs w:val="18"/>
                <w:color w:val="auto"/>
              </w:rPr>
              <w:t>Chief Executive Officer (principal executive officer)</w:t>
            </w:r>
          </w:p>
        </w:tc>
      </w:tr>
    </w:tbl>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p>
      <w:pPr>
        <w:sectPr>
          <w:pgSz w:w="11900" w:h="16838" w:orient="portrait"/>
          <w:cols w:equalWidth="0" w:num="1">
            <w:col w:w="11240"/>
          </w:cols>
          <w:pgMar w:left="320" w:top="127"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u w:val="single" w:color="auto"/>
          <w:color w:val="auto"/>
        </w:rPr>
        <w:t>Exhibit 32.2</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96"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 John Collins, Chief Financial Officer of LivePerson, Inc. (the “Company”), certify, pursuant to 18 U.S.C. Section 1350, as adopted pursuant to Section 906 of the Sarbanes-Oxley Act of 2002, that:</w:t>
      </w:r>
    </w:p>
    <w:p>
      <w:pPr>
        <w:spacing w:after="0" w:line="64" w:lineRule="exact"/>
        <w:rPr>
          <w:sz w:val="20"/>
          <w:szCs w:val="20"/>
          <w:color w:val="auto"/>
        </w:rPr>
      </w:pPr>
    </w:p>
    <w:p>
      <w:pPr>
        <w:ind w:left="640" w:right="140" w:hanging="320"/>
        <w:spacing w:after="0" w:line="323" w:lineRule="auto"/>
        <w:tabs>
          <w:tab w:leader="none" w:pos="634"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Quarterly Report of the Company on Form 10-Q for the period ended September 30, 2021, as filed with the Securities and Exchange Commission (the “Report”), fully complies with the requirements of Section 13(a) or 15(d) of the Securities Exchange Act of 1934; and</w:t>
      </w:r>
    </w:p>
    <w:p>
      <w:pPr>
        <w:spacing w:after="0" w:line="3" w:lineRule="exact"/>
        <w:rPr>
          <w:rFonts w:ascii="Arial" w:cs="Arial" w:eastAsia="Arial" w:hAnsi="Arial"/>
          <w:sz w:val="16"/>
          <w:szCs w:val="16"/>
          <w:color w:val="auto"/>
        </w:rPr>
      </w:pPr>
    </w:p>
    <w:p>
      <w:pPr>
        <w:ind w:left="620" w:hanging="300"/>
        <w:spacing w:after="0"/>
        <w:tabs>
          <w:tab w:leader="none" w:pos="6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57" w:lineRule="exact"/>
        <w:rPr>
          <w:sz w:val="20"/>
          <w:szCs w:val="20"/>
          <w:color w:val="auto"/>
        </w:rPr>
      </w:pPr>
    </w:p>
    <w:tbl>
      <w:tblPr>
        <w:tblLayout w:type="fixed"/>
        <w:tblInd w:w="140" w:type="dxa"/>
        <w:tblCellMar>
          <w:top w:w="0" w:type="dxa"/>
          <w:left w:w="0" w:type="dxa"/>
          <w:bottom w:w="0" w:type="dxa"/>
          <w:right w:w="0" w:type="dxa"/>
        </w:tblCellMar>
      </w:tblPr>
      <w:tr>
        <w:trPr>
          <w:trHeight w:val="222"/>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240" w:type="dxa"/>
            <w:vAlign w:val="bottom"/>
          </w:tcPr>
          <w:p>
            <w:pPr>
              <w:ind w:left="340"/>
              <w:spacing w:after="0"/>
              <w:rPr>
                <w:sz w:val="20"/>
                <w:szCs w:val="20"/>
                <w:color w:val="auto"/>
              </w:rPr>
            </w:pPr>
            <w:r>
              <w:rPr>
                <w:rFonts w:ascii="Arial" w:cs="Arial" w:eastAsia="Arial" w:hAnsi="Arial"/>
                <w:sz w:val="18"/>
                <w:szCs w:val="18"/>
                <w:color w:val="auto"/>
              </w:rPr>
              <w:t>November 3, 2021</w:t>
            </w:r>
          </w:p>
        </w:tc>
        <w:tc>
          <w:tcPr>
            <w:tcW w:w="2300" w:type="dxa"/>
            <w:vAlign w:val="bottom"/>
          </w:tcPr>
          <w:p>
            <w:pPr>
              <w:ind w:left="15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Collins</w:t>
            </w:r>
          </w:p>
        </w:tc>
      </w:tr>
      <w:tr>
        <w:trPr>
          <w:trHeight w:val="216"/>
        </w:trPr>
        <w:tc>
          <w:tcPr>
            <w:tcW w:w="70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300" w:type="dxa"/>
            <w:vAlign w:val="bottom"/>
          </w:tcPr>
          <w:p>
            <w:pPr>
              <w:ind w:left="1580"/>
              <w:spacing w:after="0" w:line="203" w:lineRule="exact"/>
              <w:rPr>
                <w:sz w:val="20"/>
                <w:szCs w:val="20"/>
                <w:color w:val="auto"/>
              </w:rPr>
            </w:pPr>
            <w:r>
              <w:rPr>
                <w:rFonts w:ascii="Arial" w:cs="Arial" w:eastAsia="Arial" w:hAnsi="Arial"/>
                <w:sz w:val="18"/>
                <w:szCs w:val="18"/>
                <w:color w:val="auto"/>
              </w:rPr>
              <w:t>Name:</w:t>
            </w:r>
          </w:p>
        </w:tc>
        <w:tc>
          <w:tcPr>
            <w:tcW w:w="4740" w:type="dxa"/>
            <w:vAlign w:val="bottom"/>
          </w:tcPr>
          <w:p>
            <w:pPr>
              <w:spacing w:after="0"/>
              <w:rPr>
                <w:sz w:val="20"/>
                <w:szCs w:val="20"/>
                <w:color w:val="auto"/>
              </w:rPr>
            </w:pPr>
            <w:r>
              <w:rPr>
                <w:rFonts w:ascii="Arial" w:cs="Arial" w:eastAsia="Arial" w:hAnsi="Arial"/>
                <w:sz w:val="18"/>
                <w:szCs w:val="18"/>
                <w:color w:val="auto"/>
              </w:rPr>
              <w:t>John Collins</w:t>
            </w:r>
          </w:p>
        </w:tc>
      </w:tr>
      <w:tr>
        <w:trPr>
          <w:trHeight w:val="223"/>
        </w:trPr>
        <w:tc>
          <w:tcPr>
            <w:tcW w:w="70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2300" w:type="dxa"/>
            <w:vAlign w:val="bottom"/>
          </w:tcPr>
          <w:p>
            <w:pPr>
              <w:ind w:left="1580"/>
              <w:spacing w:after="0"/>
              <w:rPr>
                <w:sz w:val="20"/>
                <w:szCs w:val="20"/>
                <w:color w:val="auto"/>
              </w:rPr>
            </w:pPr>
            <w:r>
              <w:rPr>
                <w:rFonts w:ascii="Arial" w:cs="Arial" w:eastAsia="Arial" w:hAnsi="Arial"/>
                <w:sz w:val="18"/>
                <w:szCs w:val="18"/>
                <w:color w:val="auto"/>
              </w:rPr>
              <w:t>Title:</w:t>
            </w:r>
          </w:p>
        </w:tc>
        <w:tc>
          <w:tcPr>
            <w:tcW w:w="474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15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i w:val="1"/>
          <w:iCs w:val="1"/>
          <w:color w:val="auto"/>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 except to the extent the Company specifically incorporates it by reference.</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1."/>
      <w:numFmt w:val="decimal"/>
      <w:start w:val="1"/>
    </w:lvl>
  </w:abstractNum>
  <w:abstractNum w:abstractNumId="26">
    <w:nsid w:val="7C3DBD3D"/>
    <w:multiLevelType w:val="hybridMultilevel"/>
    <w:lvl w:ilvl="0">
      <w:lvlJc w:val="left"/>
      <w:lvlText w:val="(%1)"/>
      <w:numFmt w:val="lowerLetter"/>
      <w:start w:val="1"/>
    </w:lvl>
  </w:abstractNum>
  <w:abstractNum w:abstractNumId="27">
    <w:nsid w:val="737B8DDC"/>
    <w:multiLevelType w:val="hybridMultilevel"/>
    <w:lvl w:ilvl="0">
      <w:lvlJc w:val="left"/>
      <w:lvlText w:val="%1."/>
      <w:numFmt w:val="decimal"/>
      <w:start w:val="5"/>
    </w:lvl>
  </w:abstractNum>
  <w:abstractNum w:abstractNumId="28">
    <w:nsid w:val="6CEAF087"/>
    <w:multiLevelType w:val="hybridMultilevel"/>
    <w:lvl w:ilvl="0">
      <w:lvlJc w:val="left"/>
      <w:lvlText w:val="(%1)"/>
      <w:numFmt w:val="lowerLetter"/>
      <w:start w:val="1"/>
    </w:lvl>
  </w:abstractNum>
  <w:abstractNum w:abstractNumId="29">
    <w:nsid w:val="22221A70"/>
    <w:multiLevelType w:val="hybridMultilevel"/>
    <w:lvl w:ilvl="0">
      <w:lvlJc w:val="left"/>
      <w:lvlText w:val="%1."/>
      <w:numFmt w:val="decimal"/>
      <w:start w:val="1"/>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5"/>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2021-11-03T15:52:33Z</dcterms:created>
  <dcterms:modified xsi:type="dcterms:W3CDTF">2021-11-03T15:52:33Z</dcterms:modified>
</cp:coreProperties>
</file>