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LivePerson,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LivePerson,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3" w:lineRule="exact"/>
        <w:rPr>
          <w:sz w:val="24"/>
          <w:szCs w:val="24"/>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On April 30, 2026, LivePerson, Inc. circulated the following employee communication regarding the proposed merger with SoundHound AI, Inc.</w:t>
      </w:r>
    </w:p>
    <w:p>
      <w:pPr>
        <w:spacing w:after="0" w:line="4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Employee FAQ: LivePerson + SoundHound AI</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Last updated: April 30, 2026</w:t>
      </w:r>
    </w:p>
    <w:p>
      <w:pPr>
        <w:spacing w:after="0" w:line="129" w:lineRule="exact"/>
        <w:rPr>
          <w:sz w:val="24"/>
          <w:szCs w:val="24"/>
          <w:color w:val="auto"/>
        </w:rPr>
      </w:pPr>
    </w:p>
    <w:p>
      <w:pPr>
        <w:ind w:left="224" w:hanging="224"/>
        <w:spacing w:after="0"/>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Responses may evolve and questions added as additional details are made available.</w:t>
      </w:r>
    </w:p>
    <w:p>
      <w:pPr>
        <w:spacing w:after="0" w:line="2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If you have a question not addressed here, submit to the </w:t>
      </w:r>
      <w:r>
        <w:rPr>
          <w:rFonts w:ascii="Times New Roman" w:cs="Times New Roman" w:eastAsia="Times New Roman" w:hAnsi="Times New Roman"/>
          <w:sz w:val="18"/>
          <w:szCs w:val="18"/>
          <w:u w:val="single" w:color="auto"/>
          <w:color w:val="auto"/>
        </w:rPr>
        <w:t>LivePerson x SoundHound question form</w:t>
      </w:r>
      <w:r>
        <w:rPr>
          <w:rFonts w:ascii="Times New Roman" w:cs="Times New Roman" w:eastAsia="Times New Roman" w:hAnsi="Times New Roman"/>
          <w:sz w:val="18"/>
          <w:szCs w:val="18"/>
          <w:color w:val="auto"/>
        </w:rPr>
        <w:t>.</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was announced?</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LivePerson has entered into an agreement to be acquired by SoundHound AI.</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This is the </w:t>
      </w:r>
      <w:r>
        <w:rPr>
          <w:rFonts w:ascii="Times New Roman" w:cs="Times New Roman" w:eastAsia="Times New Roman" w:hAnsi="Times New Roman"/>
          <w:sz w:val="18"/>
          <w:szCs w:val="18"/>
          <w:b w:val="1"/>
          <w:bCs w:val="1"/>
          <w:color w:val="auto"/>
        </w:rPr>
        <w:t>start of a process</w:t>
      </w:r>
      <w:r>
        <w:rPr>
          <w:rFonts w:ascii="Times New Roman" w:cs="Times New Roman" w:eastAsia="Times New Roman" w:hAnsi="Times New Roman"/>
          <w:sz w:val="18"/>
          <w:szCs w:val="18"/>
          <w:color w:val="auto"/>
        </w:rPr>
        <w:t>, not a completed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happens now?</w:t>
      </w:r>
    </w:p>
    <w:p>
      <w:pPr>
        <w:spacing w:after="0" w:line="135" w:lineRule="exact"/>
        <w:rPr>
          <w:sz w:val="24"/>
          <w:szCs w:val="24"/>
          <w:color w:val="auto"/>
        </w:rPr>
      </w:pPr>
    </w:p>
    <w:p>
      <w:pPr>
        <w:ind w:left="964" w:right="260" w:hanging="424"/>
        <w:spacing w:after="0" w:line="282"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 is expected to close in the second half of 2026, with some timing subject to customary closing conditions, including regulatory approvals, approval by LP stockholders, and others.</w:t>
      </w:r>
    </w:p>
    <w:p>
      <w:pPr>
        <w:spacing w:after="0" w:line="63"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then, </w:t>
      </w:r>
      <w:r>
        <w:rPr>
          <w:rFonts w:ascii="Times New Roman" w:cs="Times New Roman" w:eastAsia="Times New Roman" w:hAnsi="Times New Roman"/>
          <w:sz w:val="18"/>
          <w:szCs w:val="18"/>
          <w:b w:val="1"/>
          <w:bCs w:val="1"/>
          <w:color w:val="auto"/>
        </w:rPr>
        <w:t>LivePerson and SoundHound operate as separate companies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w:t>
      </w:r>
      <w:r>
        <w:rPr>
          <w:rFonts w:ascii="Times New Roman" w:cs="Times New Roman" w:eastAsia="Times New Roman" w:hAnsi="Times New Roman"/>
          <w:sz w:val="18"/>
          <w:szCs w:val="18"/>
          <w:b w:val="1"/>
          <w:bCs w:val="1"/>
          <w:color w:val="auto"/>
        </w:rPr>
        <w:t>business as usual</w:t>
      </w:r>
      <w:r>
        <w:rPr>
          <w:rFonts w:ascii="Times New Roman" w:cs="Times New Roman" w:eastAsia="Times New Roman" w:hAnsi="Times New Roman"/>
          <w:sz w:val="18"/>
          <w:szCs w:val="18"/>
          <w:color w:val="auto"/>
        </w:rPr>
        <w:t>—no immediate changes to your role, team, or responsibilities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does this mean for my day-to-day 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changes right now.</w:t>
      </w:r>
    </w:p>
    <w:p>
      <w:pPr>
        <w:spacing w:after="0" w:line="127"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focusing on </w:t>
      </w:r>
      <w:r>
        <w:rPr>
          <w:rFonts w:ascii="Times New Roman" w:cs="Times New Roman" w:eastAsia="Times New Roman" w:hAnsi="Times New Roman"/>
          <w:sz w:val="18"/>
          <w:szCs w:val="18"/>
          <w:b w:val="1"/>
          <w:bCs w:val="1"/>
          <w:color w:val="auto"/>
        </w:rPr>
        <w:t>customers, delivery, and execution</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roadmap, and operations continue as planned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still an independent company and it is important that we continue operating business as usual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we doing this?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goals for the transaction are about </w:t>
      </w:r>
      <w:r>
        <w:rPr>
          <w:rFonts w:ascii="Times New Roman" w:cs="Times New Roman" w:eastAsia="Times New Roman" w:hAnsi="Times New Roman"/>
          <w:sz w:val="18"/>
          <w:szCs w:val="18"/>
          <w:b w:val="1"/>
          <w:bCs w:val="1"/>
          <w:color w:val="auto"/>
        </w:rPr>
        <w:t>strength + growth</w:t>
      </w:r>
      <w:r>
        <w:rPr>
          <w:rFonts w:ascii="Times New Roman" w:cs="Times New Roman" w:eastAsia="Times New Roman" w:hAnsi="Times New Roman"/>
          <w:sz w:val="18"/>
          <w:szCs w:val="18"/>
          <w:color w:val="auto"/>
        </w:rPr>
        <w:t>, not just change.</w:t>
      </w:r>
    </w:p>
    <w:p>
      <w:pPr>
        <w:spacing w:after="0" w:line="252"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Stronger financial foundation </w:t>
      </w:r>
      <w:r>
        <w:rPr>
          <w:rFonts w:ascii="Times New Roman" w:cs="Times New Roman" w:eastAsia="Times New Roman" w:hAnsi="Times New Roman"/>
          <w:sz w:val="18"/>
          <w:szCs w:val="18"/>
          <w:color w:val="auto"/>
        </w:rPr>
        <w:t>g resolves outstanding debt at closing and strengthens go forward financial profile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capabilities </w:t>
      </w:r>
      <w:r>
        <w:rPr>
          <w:rFonts w:ascii="Times New Roman" w:cs="Times New Roman" w:eastAsia="Times New Roman" w:hAnsi="Times New Roman"/>
          <w:sz w:val="18"/>
          <w:szCs w:val="18"/>
          <w:color w:val="auto"/>
        </w:rPr>
        <w:t>g voice AI (SoundHound) + digital + AI assurance (LivePerson)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Better customer offering </w:t>
      </w:r>
      <w:r>
        <w:rPr>
          <w:rFonts w:ascii="Times New Roman" w:cs="Times New Roman" w:eastAsia="Times New Roman" w:hAnsi="Times New Roman"/>
          <w:sz w:val="18"/>
          <w:szCs w:val="18"/>
          <w:color w:val="auto"/>
        </w:rPr>
        <w:t>g more complete, end-to-end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the combined company look like?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combined company is expected to bring together SoundHound’s voice AI capabilities with LivePerson’s digital engagement and AI assurance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product strategy, organizational design, and integration plans will be developed by both companies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layoffs?</w:t>
      </w:r>
    </w:p>
    <w:p>
      <w:pPr>
        <w:spacing w:after="0" w:line="135" w:lineRule="exact"/>
        <w:rPr>
          <w:sz w:val="20"/>
          <w:szCs w:val="20"/>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goal of this combination is about strengthening and expanding what we can deliver for customers—bringing together complementary capabilities across voice and digital, along with greater scale and resources.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still very early, and no decisions have been made regarding organizational structure or roles. Integration planning will take place over the coming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440" w:top="266"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happens to my job, team, or reporting line?</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immediate changes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Future structure is </w:t>
      </w:r>
      <w:r>
        <w:rPr>
          <w:rFonts w:ascii="Times New Roman" w:cs="Times New Roman" w:eastAsia="Times New Roman" w:hAnsi="Times New Roman"/>
          <w:sz w:val="18"/>
          <w:szCs w:val="18"/>
          <w:b w:val="1"/>
          <w:bCs w:val="1"/>
          <w:color w:val="auto"/>
        </w:rPr>
        <w:t>still being defined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time employees may be asked to:</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integration work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on expanded scope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into new opportunities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set plan or timing yet on how teams may be required to re-focus work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compensation, benefits, and tenure?</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changes right now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Employees remain under </w:t>
      </w:r>
      <w:r>
        <w:rPr>
          <w:rFonts w:ascii="Times New Roman" w:cs="Times New Roman" w:eastAsia="Times New Roman" w:hAnsi="Times New Roman"/>
          <w:sz w:val="18"/>
          <w:szCs w:val="18"/>
          <w:b w:val="1"/>
          <w:bCs w:val="1"/>
          <w:color w:val="auto"/>
        </w:rPr>
        <w:t>LivePerson policies until closing and transition</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terms of the merger agreement, </w:t>
      </w:r>
      <w:r>
        <w:rPr>
          <w:rFonts w:ascii="Times New Roman" w:cs="Times New Roman" w:eastAsia="Times New Roman" w:hAnsi="Times New Roman"/>
          <w:sz w:val="18"/>
          <w:szCs w:val="18"/>
          <w:b w:val="1"/>
          <w:bCs w:val="1"/>
          <w:color w:val="auto"/>
        </w:rPr>
        <w:t>tenure (i.e., years of service) credited by LivePerson will be recognized</w:t>
      </w:r>
      <w:r>
        <w:rPr>
          <w:rFonts w:ascii="Times New Roman" w:cs="Times New Roman" w:eastAsia="Times New Roman" w:hAnsi="Times New Roman"/>
          <w:sz w:val="18"/>
          <w:szCs w:val="18"/>
          <w:color w:val="auto"/>
        </w:rPr>
        <w:t xml:space="preserve"> under employee benefit plans, subject to local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proposed terms of the transaction:</w:t>
      </w:r>
    </w:p>
    <w:p>
      <w:pPr>
        <w:spacing w:after="0" w:line="13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equity plans remain in place until closing.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equity awards will be governed by their current terms until closing.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RSUs held by employees will convert to SoundHound RSUs via an exchange ratio under the terms of the merger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Underwater stock options will terminate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about Employee Stock Purchase Plans (ESPP)?</w:t>
      </w:r>
    </w:p>
    <w:p>
      <w:pPr>
        <w:spacing w:after="0" w:line="131" w:lineRule="exact"/>
        <w:rPr>
          <w:sz w:val="20"/>
          <w:szCs w:val="20"/>
          <w:color w:val="auto"/>
        </w:rPr>
      </w:pPr>
    </w:p>
    <w:p>
      <w:pPr>
        <w:ind w:left="1420" w:right="120" w:hanging="331"/>
        <w:spacing w:after="0" w:line="286"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offering period (12/1/2025—5/31/2025): </w:t>
      </w:r>
      <w:r>
        <w:rPr>
          <w:rFonts w:ascii="Times New Roman" w:cs="Times New Roman" w:eastAsia="Times New Roman" w:hAnsi="Times New Roman"/>
          <w:sz w:val="18"/>
          <w:szCs w:val="18"/>
          <w:color w:val="auto"/>
        </w:rPr>
        <w:t>Continues through 5/31/2026 unless closing occurs first. No new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join, and existing participants may not increase their contribution percentages.</w:t>
      </w:r>
    </w:p>
    <w:p>
      <w:pPr>
        <w:spacing w:after="0" w:line="60" w:lineRule="exact"/>
        <w:rPr>
          <w:rFonts w:ascii="Times New Roman" w:cs="Times New Roman" w:eastAsia="Times New Roman" w:hAnsi="Times New Roman"/>
          <w:sz w:val="18"/>
          <w:szCs w:val="18"/>
          <w:color w:val="auto"/>
        </w:rPr>
      </w:pPr>
    </w:p>
    <w:p>
      <w:pPr>
        <w:ind w:left="1420" w:hanging="331"/>
        <w:spacing w:after="0" w:line="286"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the deal closes before 5/31/2026: </w:t>
      </w:r>
      <w:r>
        <w:rPr>
          <w:rFonts w:ascii="Times New Roman" w:cs="Times New Roman" w:eastAsia="Times New Roman" w:hAnsi="Times New Roman"/>
          <w:sz w:val="18"/>
          <w:szCs w:val="18"/>
          <w:color w:val="auto"/>
        </w:rPr>
        <w:t>The current offering period ends three business days before closing, and shares are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that accelerated date.</w:t>
      </w:r>
    </w:p>
    <w:p>
      <w:pPr>
        <w:sectPr>
          <w:pgSz w:w="11900" w:h="16838" w:orient="portrait"/>
          <w:cols w:equalWidth="0" w:num="1">
            <w:col w:w="10820"/>
          </w:cols>
          <w:pgMar w:left="440" w:top="266" w:right="639" w:bottom="1440" w:gutter="0" w:footer="0" w:header="0"/>
        </w:sectPr>
      </w:pPr>
    </w:p>
    <w:bookmarkStart w:id="3" w:name="page4"/>
    <w:bookmarkEnd w:id="3"/>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deal closes after 5/31/2026: </w:t>
      </w:r>
      <w:r>
        <w:rPr>
          <w:rFonts w:ascii="Times New Roman" w:cs="Times New Roman" w:eastAsia="Times New Roman" w:hAnsi="Times New Roman"/>
          <w:sz w:val="18"/>
          <w:szCs w:val="18"/>
          <w:color w:val="auto"/>
        </w:rPr>
        <w:t>The 5/31/2026 purchase happens on schedule, and no new offering period will begin.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 deal close: </w:t>
      </w:r>
      <w:r>
        <w:rPr>
          <w:rFonts w:ascii="Times New Roman" w:cs="Times New Roman" w:eastAsia="Times New Roman" w:hAnsi="Times New Roman"/>
          <w:sz w:val="18"/>
          <w:szCs w:val="18"/>
          <w:color w:val="auto"/>
        </w:rPr>
        <w:t>The ESPP terminates.</w:t>
      </w:r>
    </w:p>
    <w:p>
      <w:pPr>
        <w:spacing w:after="0" w:line="13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ESPP shares purchased prior to closing follows the same treatment as other LivePerson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to hiring?</w:t>
      </w:r>
    </w:p>
    <w:p>
      <w:pPr>
        <w:spacing w:after="0" w:line="131"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Hiring continues for </w:t>
      </w:r>
      <w:r>
        <w:rPr>
          <w:rFonts w:ascii="Times New Roman" w:cs="Times New Roman" w:eastAsia="Times New Roman" w:hAnsi="Times New Roman"/>
          <w:sz w:val="18"/>
          <w:szCs w:val="18"/>
          <w:b w:val="1"/>
          <w:bCs w:val="1"/>
          <w:color w:val="auto"/>
        </w:rPr>
        <w:t>priority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about promotions/ merit increases?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anticipated timing of the merger, LivePerson does not currently expect to run a standalone Merit/Promotion process prior to the deal closing. We will align with SoundHound on any future Merit/Promotion cycle planning once the deal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customers?</w:t>
      </w:r>
    </w:p>
    <w:p>
      <w:pPr>
        <w:spacing w:after="0" w:line="135"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immediate changes to:</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are being actively informed, with high-touch outreach to key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term, the vision is for customers to benefit from:</w:t>
      </w:r>
    </w:p>
    <w:p>
      <w:pPr>
        <w:spacing w:after="0" w:line="131"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complete platform (voice + digital + AI)</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stability and investment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innovation roadmap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questions about customer communications, contact </w:t>
      </w:r>
      <w:r>
        <w:rPr>
          <w:rFonts w:ascii="Times New Roman" w:cs="Times New Roman" w:eastAsia="Times New Roman" w:hAnsi="Times New Roman"/>
          <w:sz w:val="18"/>
          <w:szCs w:val="18"/>
          <w:u w:val="single" w:color="auto"/>
          <w:color w:val="auto"/>
        </w:rPr>
        <w:t>Stefanie Mazmanian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80"/>
          </w:cols>
          <w:pgMar w:left="440" w:top="266"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 we start working with SoundHound teams now or otherwise reach out to SoundHound employees/ leaders?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yet.</w:t>
      </w:r>
    </w:p>
    <w:p>
      <w:pPr>
        <w:spacing w:after="0" w:line="248"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legally required to continue operating as </w:t>
      </w:r>
      <w:r>
        <w:rPr>
          <w:rFonts w:ascii="Times New Roman" w:cs="Times New Roman" w:eastAsia="Times New Roman" w:hAnsi="Times New Roman"/>
          <w:sz w:val="18"/>
          <w:szCs w:val="18"/>
          <w:b w:val="1"/>
          <w:bCs w:val="1"/>
          <w:color w:val="auto"/>
        </w:rPr>
        <w:t>separate companies until closing.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w:t>
      </w:r>
      <w:r>
        <w:rPr>
          <w:rFonts w:ascii="Times New Roman" w:cs="Times New Roman" w:eastAsia="Times New Roman" w:hAnsi="Times New Roman"/>
          <w:sz w:val="18"/>
          <w:szCs w:val="18"/>
          <w:b w:val="1"/>
          <w:bCs w:val="1"/>
          <w:color w:val="auto"/>
        </w:rPr>
        <w:t>do not proactively reach out</w:t>
      </w:r>
      <w:r>
        <w:rPr>
          <w:rFonts w:ascii="Times New Roman" w:cs="Times New Roman" w:eastAsia="Times New Roman" w:hAnsi="Times New Roman"/>
          <w:sz w:val="18"/>
          <w:szCs w:val="18"/>
          <w:color w:val="auto"/>
        </w:rPr>
        <w:t xml:space="preserve"> to SoundHound employees or managers.</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will be coordinated in a structured way.</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SoundHound employee contacts you, outside of approved integration planning workstreams, about LivePerson business, customers, products, pricing, or strategy, please redirect them to your manager and notify your HRBP.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my obligations regarding confidentiality and trading?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While the transaction has been publicly announced, much information about the deal, the parties, and integration planning remains non-public. Continue to follow LivePerson’s existing Insider Trading Policy and Confidentiality Policy. Do not discuss non-public deal details with anyone outside LivePerson, and do not post about the transaction on social media beyond sharing officially released materials.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If you have questions about whether you may trade in LivePerson or SoundHound securities, contact </w:t>
      </w:r>
      <w:r>
        <w:rPr>
          <w:rFonts w:ascii="Times New Roman" w:cs="Times New Roman" w:eastAsia="Times New Roman" w:hAnsi="Times New Roman"/>
          <w:sz w:val="18"/>
          <w:szCs w:val="18"/>
          <w:u w:val="single" w:color="auto"/>
          <w:color w:val="auto"/>
        </w:rPr>
        <w:t>legalticket@liveperson.com</w:t>
      </w:r>
      <w:r>
        <w:rPr>
          <w:rFonts w:ascii="Times New Roman" w:cs="Times New Roman" w:eastAsia="Times New Roman" w:hAnsi="Times New Roman"/>
          <w:sz w:val="18"/>
          <w:szCs w:val="18"/>
          <w:color w:val="auto"/>
        </w:rPr>
        <w:t xml:space="preserve"> before placing any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should I do right now?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simple things:</w:t>
      </w:r>
    </w:p>
    <w:p>
      <w:pPr>
        <w:spacing w:after="0" w:line="248" w:lineRule="exact"/>
        <w:rPr>
          <w:sz w:val="20"/>
          <w:szCs w:val="20"/>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Stay focused </w:t>
      </w:r>
      <w:r>
        <w:rPr>
          <w:rFonts w:ascii="Times New Roman" w:cs="Times New Roman" w:eastAsia="Times New Roman" w:hAnsi="Times New Roman"/>
          <w:sz w:val="18"/>
          <w:szCs w:val="18"/>
          <w:color w:val="auto"/>
        </w:rPr>
        <w:t>on your work and customers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Get informed </w:t>
      </w:r>
      <w:r>
        <w:rPr>
          <w:rFonts w:ascii="Times New Roman" w:cs="Times New Roman" w:eastAsia="Times New Roman" w:hAnsi="Times New Roman"/>
          <w:sz w:val="18"/>
          <w:szCs w:val="18"/>
          <w:color w:val="auto"/>
        </w:rPr>
        <w:t>(read materials, ask questions)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Avoid speculation</w:t>
      </w:r>
      <w:r>
        <w:rPr>
          <w:rFonts w:ascii="Times New Roman" w:cs="Times New Roman" w:eastAsia="Times New Roman" w:hAnsi="Times New Roman"/>
          <w:sz w:val="18"/>
          <w:szCs w:val="18"/>
          <w:color w:val="auto"/>
        </w:rPr>
        <w:t>— only officially communicated details should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we keep you updated?</w:t>
      </w:r>
    </w:p>
    <w:p>
      <w:pPr>
        <w:spacing w:after="0" w:line="252"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Ongoing </w:t>
      </w:r>
      <w:r>
        <w:rPr>
          <w:rFonts w:ascii="Times New Roman" w:cs="Times New Roman" w:eastAsia="Times New Roman" w:hAnsi="Times New Roman"/>
          <w:sz w:val="18"/>
          <w:szCs w:val="18"/>
          <w:b w:val="1"/>
          <w:bCs w:val="1"/>
          <w:color w:val="auto"/>
        </w:rPr>
        <w:t>town halls and leadership updates</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cascades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Q&amp;A updates, including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can I ask specific questions?</w:t>
      </w:r>
    </w:p>
    <w:p>
      <w:pPr>
        <w:spacing w:after="0" w:line="145"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manager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 Business Partner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Submit additional </w:t>
      </w:r>
      <w:r>
        <w:rPr>
          <w:rFonts w:ascii="Times New Roman" w:cs="Times New Roman" w:eastAsia="Times New Roman" w:hAnsi="Times New Roman"/>
          <w:sz w:val="18"/>
          <w:szCs w:val="18"/>
          <w:u w:val="single" w:color="auto"/>
          <w:color w:val="auto"/>
        </w:rPr>
        <w:t>questions here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contains "forward looking statements" within the meaning of the U.S. federal securities laws about the expectations, beliefs, plans, intentions, prospects, financial results and strategies relating to SoundHound AI’s proposed acquisition of LivePerson. Such forward looking statements include, among others, statements regarding future product capabilities and offerings, expected benefits to SoundHound AI and LivePerson and their customers arising from and in relation to the proposed acquisition, the timing of closing of the proposed acquisition, SoundHound AI’s plans for future operations and anticipated product offerings after the closing of the proposed acquisition, the parties’ expectations for value creation and strategic advantages, market and growth opportunities, future financial condition and performance and expected financial impacts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Further information on factors that could affect the forward looking statements and expectations above are contained in the filings that LivePerson and/or SoundHound AI and/or have filed, or that will be filed, with the U.S. Securities and Exchange Commission, including as will be set forth in the registration statement to be filed with the U.S. Securities and Exchange Commission in connection with the proposed acquisition and the Proxy Statement/Prospectus contained therein.</w:t>
      </w:r>
    </w:p>
    <w:p>
      <w:pPr>
        <w:sectPr>
          <w:pgSz w:w="11900" w:h="16838" w:orient="portrait"/>
          <w:cols w:equalWidth="0" w:num="1">
            <w:col w:w="10920"/>
          </w:cols>
          <w:pgMar w:left="440" w:top="250"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AI intends to file with the U.S. Securities and Exchange Commission (the “SEC”) a registration statement on Form S-4 (the “Form S-4”) that will include a proxy statement of LivePerson and that will also constitute a prospectus of SoundHound AI with respect to the shares of the SoundHound AI common stock to be issued in the proposed transaction (the “proxy statement/prospectus”). The definitive proxy statement/prospectus (if and when available) will be filed with the SEC by, and mailed to shareholders of, LivePerson. Each of SoundHound AI and LivePerson may also file other relevant documents with the SEC regarding the proposed transaction.</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AI or LivePerson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https://investors.soundhound.com/financial-information/sec-filings</w:t>
      </w:r>
      <w:r>
        <w:rPr>
          <w:rFonts w:ascii="Times New Roman" w:cs="Times New Roman" w:eastAsia="Times New Roman" w:hAnsi="Times New Roman"/>
          <w:sz w:val="18"/>
          <w:szCs w:val="18"/>
          <w:color w:val="auto"/>
        </w:rPr>
        <w:t xml:space="preserve">. Copies of the documents filed with, or furnished to, the SEC by LivePerson will be available free of charge on LivePerson’s website at </w:t>
      </w:r>
      <w:r>
        <w:rPr>
          <w:rFonts w:ascii="Times New Roman" w:cs="Times New Roman" w:eastAsia="Times New Roman" w:hAnsi="Times New Roman"/>
          <w:sz w:val="18"/>
          <w:szCs w:val="18"/>
          <w:u w:val="single" w:color="auto"/>
          <w:color w:val="auto"/>
        </w:rPr>
        <w:t>https://ir.liveperson.com/financial-information/sec-filings</w:t>
      </w:r>
      <w:r>
        <w:rPr>
          <w:rFonts w:ascii="Times New Roman" w:cs="Times New Roman" w:eastAsia="Times New Roman" w:hAnsi="Times New Roman"/>
          <w:sz w:val="18"/>
          <w:szCs w:val="18"/>
          <w:color w:val="auto"/>
        </w:rPr>
        <w:t>. The information included on, or accessible through, SoundHound AI’s or LivePerson’s website is not incorporated by reference into this communication.</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2026-05-01T08:58:09Z</dcterms:created>
  <dcterms:modified xsi:type="dcterms:W3CDTF">2026-05-01T08:58:09Z</dcterms:modified>
</cp:coreProperties>
</file>