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0" w:type="dxa"/>
            <w:vAlign w:val="bottom"/>
            <w:gridSpan w:val="5"/>
          </w:tcPr>
          <w:p>
            <w:pPr>
              <w:jc w:val="center"/>
              <w:spacing w:after="0"/>
              <w:rPr>
                <w:sz w:val="20"/>
                <w:szCs w:val="20"/>
                <w:color w:val="auto"/>
              </w:rPr>
            </w:pPr>
            <w:r>
              <w:rPr>
                <w:rFonts w:ascii="Arial" w:cs="Arial" w:eastAsia="Arial" w:hAnsi="Arial"/>
                <w:sz w:val="22"/>
                <w:szCs w:val="22"/>
                <w:b w:val="1"/>
                <w:bCs w:val="1"/>
                <w:color w:val="auto"/>
                <w:w w:val="96"/>
              </w:rPr>
              <w:t>UNITED STATES</w:t>
            </w:r>
          </w:p>
        </w:tc>
        <w:tc>
          <w:tcPr>
            <w:tcW w:w="2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52"/>
        </w:trPr>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20" w:type="dxa"/>
            <w:vAlign w:val="bottom"/>
            <w:gridSpan w:val="9"/>
          </w:tcPr>
          <w:p>
            <w:pPr>
              <w:jc w:val="center"/>
              <w:ind w:right="2620"/>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234"/>
        </w:trPr>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Washington, D.C. 20549</w:t>
            </w:r>
          </w:p>
        </w:tc>
        <w:tc>
          <w:tcPr>
            <w:tcW w:w="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75"/>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60" w:type="dxa"/>
            <w:vAlign w:val="bottom"/>
            <w:gridSpan w:val="4"/>
          </w:tcPr>
          <w:p>
            <w:pPr>
              <w:jc w:val="center"/>
              <w:ind w:right="1200"/>
              <w:spacing w:after="0"/>
              <w:rPr>
                <w:sz w:val="20"/>
                <w:szCs w:val="20"/>
                <w:color w:val="auto"/>
              </w:rPr>
            </w:pPr>
            <w:r>
              <w:rPr>
                <w:rFonts w:ascii="Arial" w:cs="Arial" w:eastAsia="Arial" w:hAnsi="Arial"/>
                <w:sz w:val="22"/>
                <w:szCs w:val="22"/>
                <w:b w:val="1"/>
                <w:bCs w:val="1"/>
                <w:color w:val="auto"/>
                <w:w w:val="97"/>
              </w:rPr>
              <w:t>FORM 10-K</w:t>
            </w: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9"/>
        </w:trPr>
        <w:tc>
          <w:tcPr>
            <w:tcW w:w="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980" w:type="dxa"/>
            <w:vAlign w:val="bottom"/>
          </w:tcPr>
          <w:p>
            <w:pPr>
              <w:spacing w:after="0"/>
              <w:rPr>
                <w:sz w:val="24"/>
                <w:szCs w:val="24"/>
                <w:color w:val="auto"/>
              </w:rPr>
            </w:pPr>
          </w:p>
        </w:tc>
        <w:tc>
          <w:tcPr>
            <w:tcW w:w="9780" w:type="dxa"/>
            <w:vAlign w:val="bottom"/>
            <w:gridSpan w:val="10"/>
          </w:tcPr>
          <w:p>
            <w:pPr>
              <w:jc w:val="center"/>
              <w:ind w:right="90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tc>
      </w:tr>
      <w:tr>
        <w:trPr>
          <w:trHeight w:val="266"/>
        </w:trPr>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For the Fiscal Year Ended December 31, 2020</w:t>
            </w:r>
          </w:p>
        </w:tc>
        <w:tc>
          <w:tcPr>
            <w:tcW w:w="2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43"/>
        </w:trPr>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60" w:type="dxa"/>
            <w:vAlign w:val="bottom"/>
            <w:gridSpan w:val="3"/>
          </w:tcPr>
          <w:p>
            <w:pPr>
              <w:jc w:val="center"/>
              <w:ind w:right="1480"/>
              <w:spacing w:after="0"/>
              <w:rPr>
                <w:sz w:val="20"/>
                <w:szCs w:val="20"/>
                <w:color w:val="auto"/>
              </w:rPr>
            </w:pPr>
            <w:r>
              <w:rPr>
                <w:rFonts w:ascii="Arial" w:cs="Arial" w:eastAsia="Arial" w:hAnsi="Arial"/>
                <w:sz w:val="16"/>
                <w:szCs w:val="16"/>
                <w:color w:val="auto"/>
                <w:w w:val="91"/>
              </w:rPr>
              <w:t>OR</w:t>
            </w:r>
          </w:p>
        </w:tc>
        <w:tc>
          <w:tcPr>
            <w:tcW w:w="2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42"/>
        </w:trPr>
        <w:tc>
          <w:tcPr>
            <w:tcW w:w="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980" w:type="dxa"/>
            <w:vAlign w:val="bottom"/>
          </w:tcPr>
          <w:p>
            <w:pPr>
              <w:spacing w:after="0"/>
              <w:rPr>
                <w:sz w:val="24"/>
                <w:szCs w:val="24"/>
                <w:color w:val="auto"/>
              </w:rPr>
            </w:pPr>
          </w:p>
        </w:tc>
        <w:tc>
          <w:tcPr>
            <w:tcW w:w="9780" w:type="dxa"/>
            <w:vAlign w:val="bottom"/>
            <w:gridSpan w:val="10"/>
          </w:tcPr>
          <w:p>
            <w:pPr>
              <w:jc w:val="center"/>
              <w:ind w:right="90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79"/>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For the Transition Period from _____ to _____</w:t>
            </w: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7"/>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Commission File Number 000-30141</w:t>
            </w: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5"/>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0" w:type="dxa"/>
            <w:vAlign w:val="bottom"/>
            <w:gridSpan w:val="5"/>
          </w:tcPr>
          <w:p>
            <w:pPr>
              <w:jc w:val="center"/>
              <w:spacing w:after="0"/>
              <w:rPr>
                <w:sz w:val="20"/>
                <w:szCs w:val="20"/>
                <w:color w:val="auto"/>
              </w:rPr>
            </w:pPr>
            <w:r>
              <w:rPr>
                <w:rFonts w:ascii="Arial" w:cs="Arial" w:eastAsia="Arial" w:hAnsi="Arial"/>
                <w:sz w:val="27"/>
                <w:szCs w:val="27"/>
                <w:b w:val="1"/>
                <w:bCs w:val="1"/>
                <w:color w:val="auto"/>
              </w:rPr>
              <w:t>LIVEPERSON, INC.</w:t>
            </w: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6"/>
        </w:trPr>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0" w:type="dxa"/>
            <w:vAlign w:val="bottom"/>
            <w:gridSpan w:val="5"/>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c>
          <w:tcPr>
            <w:tcW w:w="2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37"/>
        </w:trPr>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left="15"/>
              <w:spacing w:after="0"/>
              <w:rPr>
                <w:sz w:val="20"/>
                <w:szCs w:val="20"/>
                <w:color w:val="auto"/>
              </w:rPr>
            </w:pPr>
            <w:r>
              <w:rPr>
                <w:rFonts w:ascii="Arial" w:cs="Arial" w:eastAsia="Arial" w:hAnsi="Arial"/>
                <w:sz w:val="18"/>
                <w:szCs w:val="18"/>
                <w:b w:val="1"/>
                <w:bCs w:val="1"/>
                <w:color w:val="auto"/>
                <w:w w:val="93"/>
              </w:rPr>
              <w:t>Delaware</w:t>
            </w: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1459"/>
              <w:spacing w:after="0"/>
              <w:rPr>
                <w:sz w:val="20"/>
                <w:szCs w:val="20"/>
                <w:color w:val="auto"/>
              </w:rPr>
            </w:pPr>
            <w:r>
              <w:rPr>
                <w:rFonts w:ascii="Arial" w:cs="Arial" w:eastAsia="Arial" w:hAnsi="Arial"/>
                <w:sz w:val="18"/>
                <w:szCs w:val="18"/>
                <w:color w:val="auto"/>
              </w:rPr>
              <w:t>13-3861628</w:t>
            </w:r>
          </w:p>
        </w:tc>
        <w:tc>
          <w:tcPr>
            <w:tcW w:w="660" w:type="dxa"/>
            <w:vAlign w:val="bottom"/>
            <w:tcBorders>
              <w:bottom w:val="single" w:sz="8" w:color="auto"/>
            </w:tcBorders>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7020" w:type="dxa"/>
            <w:vAlign w:val="bottom"/>
            <w:gridSpan w:val="8"/>
          </w:tcPr>
          <w:p>
            <w:pPr>
              <w:jc w:val="center"/>
              <w:ind w:right="2720"/>
              <w:spacing w:after="0"/>
              <w:rPr>
                <w:sz w:val="20"/>
                <w:szCs w:val="20"/>
                <w:color w:val="auto"/>
              </w:rPr>
            </w:pPr>
            <w:r>
              <w:rPr>
                <w:rFonts w:ascii="Arial" w:cs="Arial" w:eastAsia="Arial" w:hAnsi="Arial"/>
                <w:sz w:val="16"/>
                <w:szCs w:val="16"/>
                <w:color w:val="auto"/>
                <w:w w:val="94"/>
              </w:rPr>
              <w:t>(State or other jurisdiction of incorporation)</w:t>
            </w:r>
          </w:p>
        </w:tc>
        <w:tc>
          <w:tcPr>
            <w:tcW w:w="3740" w:type="dxa"/>
            <w:vAlign w:val="bottom"/>
            <w:gridSpan w:val="3"/>
          </w:tcPr>
          <w:p>
            <w:pPr>
              <w:jc w:val="center"/>
              <w:ind w:right="1520"/>
              <w:spacing w:after="0"/>
              <w:rPr>
                <w:sz w:val="20"/>
                <w:szCs w:val="20"/>
                <w:color w:val="auto"/>
              </w:rPr>
            </w:pPr>
            <w:r>
              <w:rPr>
                <w:rFonts w:ascii="Arial" w:cs="Arial" w:eastAsia="Arial" w:hAnsi="Arial"/>
                <w:sz w:val="16"/>
                <w:szCs w:val="16"/>
                <w:color w:val="auto"/>
                <w:w w:val="95"/>
              </w:rPr>
              <w:t>(IRS Employer Identification No.)</w:t>
            </w:r>
          </w:p>
        </w:tc>
      </w:tr>
      <w:tr>
        <w:trPr>
          <w:trHeight w:val="343"/>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gridSpan w:val="2"/>
          </w:tcPr>
          <w:p>
            <w:pPr>
              <w:jc w:val="center"/>
              <w:ind w:left="15"/>
              <w:spacing w:after="0"/>
              <w:rPr>
                <w:sz w:val="20"/>
                <w:szCs w:val="20"/>
                <w:color w:val="auto"/>
              </w:rPr>
            </w:pPr>
            <w:r>
              <w:rPr>
                <w:rFonts w:ascii="Arial" w:cs="Arial" w:eastAsia="Arial" w:hAnsi="Arial"/>
                <w:sz w:val="18"/>
                <w:szCs w:val="18"/>
                <w:color w:val="auto"/>
                <w:w w:val="90"/>
              </w:rPr>
              <w:t>475 Tenth Avenue, 5th Floor</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New York, New York</w:t>
            </w:r>
          </w:p>
        </w:tc>
        <w:tc>
          <w:tcPr>
            <w:tcW w:w="1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2"/>
          </w:tcPr>
          <w:p>
            <w:pPr>
              <w:jc w:val="right"/>
              <w:ind w:right="1659"/>
              <w:spacing w:after="0"/>
              <w:rPr>
                <w:sz w:val="20"/>
                <w:szCs w:val="20"/>
                <w:color w:val="auto"/>
              </w:rPr>
            </w:pPr>
            <w:r>
              <w:rPr>
                <w:rFonts w:ascii="Arial" w:cs="Arial" w:eastAsia="Arial" w:hAnsi="Arial"/>
                <w:sz w:val="18"/>
                <w:szCs w:val="18"/>
                <w:color w:val="auto"/>
              </w:rPr>
              <w:t>10018</w:t>
            </w:r>
          </w:p>
        </w:tc>
        <w:tc>
          <w:tcPr>
            <w:tcW w:w="660" w:type="dxa"/>
            <w:vAlign w:val="bottom"/>
            <w:tcBorders>
              <w:bottom w:val="single" w:sz="8" w:color="auto"/>
            </w:tcBorders>
          </w:tcPr>
          <w:p>
            <w:pPr>
              <w:spacing w:after="0"/>
              <w:rPr>
                <w:sz w:val="20"/>
                <w:szCs w:val="20"/>
                <w:color w:val="auto"/>
              </w:rPr>
            </w:pPr>
          </w:p>
        </w:tc>
      </w:tr>
      <w:tr>
        <w:trPr>
          <w:trHeight w:val="210"/>
        </w:trPr>
        <w:tc>
          <w:tcPr>
            <w:tcW w:w="480" w:type="dxa"/>
            <w:vAlign w:val="bottom"/>
          </w:tcPr>
          <w:p>
            <w:pPr>
              <w:spacing w:after="0"/>
              <w:rPr>
                <w:sz w:val="18"/>
                <w:szCs w:val="18"/>
                <w:color w:val="auto"/>
              </w:rPr>
            </w:pPr>
          </w:p>
        </w:tc>
        <w:tc>
          <w:tcPr>
            <w:tcW w:w="7020" w:type="dxa"/>
            <w:vAlign w:val="bottom"/>
            <w:gridSpan w:val="8"/>
          </w:tcPr>
          <w:p>
            <w:pPr>
              <w:jc w:val="center"/>
              <w:ind w:right="2740"/>
              <w:spacing w:after="0"/>
              <w:rPr>
                <w:sz w:val="20"/>
                <w:szCs w:val="20"/>
                <w:color w:val="auto"/>
              </w:rPr>
            </w:pPr>
            <w:r>
              <w:rPr>
                <w:rFonts w:ascii="Arial" w:cs="Arial" w:eastAsia="Arial" w:hAnsi="Arial"/>
                <w:sz w:val="16"/>
                <w:szCs w:val="16"/>
                <w:color w:val="auto"/>
                <w:w w:val="93"/>
              </w:rPr>
              <w:t>(Address of Principal Executive Offices)</w:t>
            </w:r>
          </w:p>
        </w:tc>
        <w:tc>
          <w:tcPr>
            <w:tcW w:w="200" w:type="dxa"/>
            <w:vAlign w:val="bottom"/>
          </w:tcPr>
          <w:p>
            <w:pPr>
              <w:spacing w:after="0"/>
              <w:rPr>
                <w:sz w:val="18"/>
                <w:szCs w:val="18"/>
                <w:color w:val="auto"/>
              </w:rPr>
            </w:pPr>
          </w:p>
        </w:tc>
        <w:tc>
          <w:tcPr>
            <w:tcW w:w="3540" w:type="dxa"/>
            <w:vAlign w:val="bottom"/>
            <w:gridSpan w:val="2"/>
          </w:tcPr>
          <w:p>
            <w:pPr>
              <w:jc w:val="center"/>
              <w:ind w:right="1740"/>
              <w:spacing w:after="0"/>
              <w:rPr>
                <w:sz w:val="20"/>
                <w:szCs w:val="20"/>
                <w:color w:val="auto"/>
              </w:rPr>
            </w:pPr>
            <w:r>
              <w:rPr>
                <w:rFonts w:ascii="Arial" w:cs="Arial" w:eastAsia="Arial" w:hAnsi="Arial"/>
                <w:sz w:val="16"/>
                <w:szCs w:val="16"/>
                <w:color w:val="auto"/>
                <w:w w:val="95"/>
              </w:rPr>
              <w:t>(Zip Code)</w:t>
            </w:r>
          </w:p>
        </w:tc>
      </w:tr>
      <w:tr>
        <w:trPr>
          <w:trHeight w:val="388"/>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gridSpan w:val="4"/>
          </w:tcPr>
          <w:p>
            <w:pPr>
              <w:jc w:val="center"/>
              <w:ind w:left="1311"/>
              <w:spacing w:after="0"/>
              <w:rPr>
                <w:sz w:val="20"/>
                <w:szCs w:val="20"/>
                <w:color w:val="auto"/>
              </w:rPr>
            </w:pPr>
            <w:r>
              <w:rPr>
                <w:rFonts w:ascii="Arial" w:cs="Arial" w:eastAsia="Arial" w:hAnsi="Arial"/>
                <w:sz w:val="16"/>
                <w:szCs w:val="16"/>
                <w:b w:val="1"/>
                <w:bCs w:val="1"/>
                <w:color w:val="auto"/>
                <w:w w:val="93"/>
              </w:rPr>
              <w:t>(212) 609-4200</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6"/>
        </w:trPr>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0" w:type="dxa"/>
            <w:vAlign w:val="bottom"/>
            <w:gridSpan w:val="5"/>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2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97"/>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0"/>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gridSpan w:val="2"/>
          </w:tcPr>
          <w:p>
            <w:pPr>
              <w:jc w:val="center"/>
              <w:ind w:right="972"/>
              <w:spacing w:after="0"/>
              <w:rPr>
                <w:sz w:val="20"/>
                <w:szCs w:val="20"/>
                <w:color w:val="auto"/>
              </w:rPr>
            </w:pPr>
            <w:r>
              <w:rPr>
                <w:rFonts w:ascii="Arial" w:cs="Arial" w:eastAsia="Arial" w:hAnsi="Arial"/>
                <w:sz w:val="16"/>
                <w:szCs w:val="16"/>
                <w:color w:val="auto"/>
                <w:w w:val="90"/>
              </w:rPr>
              <w:t>Title of each class</w:t>
            </w:r>
          </w:p>
        </w:tc>
        <w:tc>
          <w:tcPr>
            <w:tcW w:w="3800" w:type="dxa"/>
            <w:vAlign w:val="bottom"/>
            <w:gridSpan w:val="5"/>
          </w:tcPr>
          <w:p>
            <w:pPr>
              <w:jc w:val="center"/>
              <w:ind w:right="100"/>
              <w:spacing w:after="0"/>
              <w:rPr>
                <w:sz w:val="20"/>
                <w:szCs w:val="20"/>
                <w:color w:val="auto"/>
              </w:rPr>
            </w:pPr>
            <w:r>
              <w:rPr>
                <w:rFonts w:ascii="Arial" w:cs="Arial" w:eastAsia="Arial" w:hAnsi="Arial"/>
                <w:sz w:val="16"/>
                <w:szCs w:val="16"/>
                <w:color w:val="auto"/>
                <w:w w:val="93"/>
              </w:rPr>
              <w:t>Trading Symbol(s)</w:t>
            </w:r>
          </w:p>
        </w:tc>
        <w:tc>
          <w:tcPr>
            <w:tcW w:w="200" w:type="dxa"/>
            <w:vAlign w:val="bottom"/>
          </w:tcPr>
          <w:p>
            <w:pPr>
              <w:spacing w:after="0"/>
              <w:rPr>
                <w:sz w:val="24"/>
                <w:szCs w:val="24"/>
                <w:color w:val="auto"/>
              </w:rPr>
            </w:pPr>
          </w:p>
        </w:tc>
        <w:tc>
          <w:tcPr>
            <w:tcW w:w="3540" w:type="dxa"/>
            <w:vAlign w:val="bottom"/>
            <w:gridSpan w:val="2"/>
          </w:tcPr>
          <w:p>
            <w:pPr>
              <w:jc w:val="center"/>
              <w:ind w:right="660"/>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0"/>
        </w:trPr>
        <w:tc>
          <w:tcPr>
            <w:tcW w:w="480" w:type="dxa"/>
            <w:vAlign w:val="bottom"/>
          </w:tcPr>
          <w:p>
            <w:pPr>
              <w:spacing w:after="0"/>
              <w:rPr>
                <w:sz w:val="20"/>
                <w:szCs w:val="20"/>
                <w:color w:val="auto"/>
              </w:rPr>
            </w:pPr>
          </w:p>
        </w:tc>
        <w:tc>
          <w:tcPr>
            <w:tcW w:w="3220" w:type="dxa"/>
            <w:vAlign w:val="bottom"/>
            <w:gridSpan w:val="3"/>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3"/>
          </w:tcPr>
          <w:p>
            <w:pPr>
              <w:jc w:val="center"/>
              <w:ind w:right="1620"/>
              <w:spacing w:after="0"/>
              <w:rPr>
                <w:sz w:val="20"/>
                <w:szCs w:val="20"/>
                <w:color w:val="auto"/>
              </w:rPr>
            </w:pPr>
            <w:r>
              <w:rPr>
                <w:rFonts w:ascii="Arial" w:cs="Arial" w:eastAsia="Arial" w:hAnsi="Arial"/>
                <w:sz w:val="16"/>
                <w:szCs w:val="16"/>
                <w:color w:val="auto"/>
                <w:w w:val="95"/>
              </w:rPr>
              <w:t>LPSN</w:t>
            </w:r>
          </w:p>
        </w:tc>
        <w:tc>
          <w:tcPr>
            <w:tcW w:w="200" w:type="dxa"/>
            <w:vAlign w:val="bottom"/>
          </w:tcPr>
          <w:p>
            <w:pPr>
              <w:spacing w:after="0"/>
              <w:rPr>
                <w:sz w:val="20"/>
                <w:szCs w:val="20"/>
                <w:color w:val="auto"/>
              </w:rPr>
            </w:pPr>
          </w:p>
        </w:tc>
        <w:tc>
          <w:tcPr>
            <w:tcW w:w="3540" w:type="dxa"/>
            <w:vAlign w:val="bottom"/>
            <w:gridSpan w:val="2"/>
          </w:tcPr>
          <w:p>
            <w:pPr>
              <w:jc w:val="center"/>
              <w:ind w:right="660"/>
              <w:spacing w:after="0"/>
              <w:rPr>
                <w:sz w:val="20"/>
                <w:szCs w:val="20"/>
                <w:color w:val="auto"/>
              </w:rPr>
            </w:pPr>
            <w:r>
              <w:rPr>
                <w:rFonts w:ascii="Arial" w:cs="Arial" w:eastAsia="Arial" w:hAnsi="Arial"/>
                <w:sz w:val="16"/>
                <w:szCs w:val="16"/>
                <w:color w:val="auto"/>
                <w:w w:val="93"/>
              </w:rPr>
              <w:t>The Nasdaq Stock Market LLC</w:t>
            </w:r>
          </w:p>
        </w:tc>
      </w:tr>
    </w:tbl>
    <w:p>
      <w:pPr>
        <w:spacing w:after="0" w:line="181"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13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13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60" w:type="dxa"/>
            <w:vAlign w:val="bottom"/>
          </w:tcPr>
          <w:p>
            <w:pPr>
              <w:ind w:left="130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1"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 w:name="page2"/>
    <w:bookmarkEnd w:id="1"/>
    <w:p>
      <w:pPr>
        <w:jc w:val="both"/>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30, 2020 (the last business day of the registrant’s most recently completed second fiscal quarter) was approximately $2,500,040,734 (computed by reference to the last reported sale price on The Nasdaq Global Select Market on that date). The registrant does not have any non-voting common stock outstanding.</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On February 26, 2021, 67,784,058 shares of the registrant’s common stock were outstanding.</w:t>
      </w:r>
    </w:p>
    <w:p>
      <w:pPr>
        <w:spacing w:after="0" w:line="109"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Portions of the registrant’s definitive proxy statement for the 2021 Annual Meeting of Stockholders, which we plan to file subsequent to the date hereof, are incorporated by reference into Items 10, 11, 12, 13 and 14 of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612775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700" w:type="dxa"/>
            <w:vAlign w:val="bottom"/>
          </w:tcPr>
          <w:p>
            <w:pPr>
              <w:jc w:val="center"/>
              <w:ind w:left="18"/>
              <w:spacing w:after="0"/>
              <w:rPr>
                <w:sz w:val="20"/>
                <w:szCs w:val="20"/>
                <w:color w:val="auto"/>
              </w:rPr>
            </w:pPr>
            <w:r>
              <w:rPr>
                <w:rFonts w:ascii="Arial" w:cs="Arial" w:eastAsia="Arial" w:hAnsi="Arial"/>
                <w:sz w:val="18"/>
                <w:szCs w:val="18"/>
                <w:b w:val="1"/>
                <w:bCs w:val="1"/>
                <w:color w:val="auto"/>
              </w:rPr>
              <w:t>LIVEPERSON, INC.</w:t>
            </w:r>
          </w:p>
        </w:tc>
        <w:tc>
          <w:tcPr>
            <w:tcW w:w="8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700" w:type="dxa"/>
            <w:vAlign w:val="bottom"/>
          </w:tcPr>
          <w:p>
            <w:pPr>
              <w:jc w:val="center"/>
              <w:ind w:left="38"/>
              <w:spacing w:after="0"/>
              <w:rPr>
                <w:sz w:val="20"/>
                <w:szCs w:val="20"/>
                <w:color w:val="auto"/>
              </w:rPr>
            </w:pPr>
            <w:r>
              <w:rPr>
                <w:rFonts w:ascii="Arial" w:cs="Arial" w:eastAsia="Arial" w:hAnsi="Arial"/>
                <w:sz w:val="18"/>
                <w:szCs w:val="18"/>
                <w:b w:val="1"/>
                <w:bCs w:val="1"/>
                <w:color w:val="auto"/>
                <w:w w:val="98"/>
              </w:rPr>
              <w:t>2020 ANNUAL REPORT ON FORM 10-K</w:t>
            </w:r>
          </w:p>
        </w:tc>
        <w:tc>
          <w:tcPr>
            <w:tcW w:w="80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9700" w:type="dxa"/>
            <w:vAlign w:val="bottom"/>
          </w:tcPr>
          <w:p>
            <w:pPr>
              <w:jc w:val="center"/>
              <w:ind w:left="18"/>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334"/>
        </w:trPr>
        <w:tc>
          <w:tcPr>
            <w:tcW w:w="720" w:type="dxa"/>
            <w:vAlign w:val="bottom"/>
            <w:tcBorders>
              <w:bottom w:val="single" w:sz="8" w:color="CCFFCC"/>
            </w:tcBorders>
          </w:tcPr>
          <w:p>
            <w:pPr>
              <w:spacing w:after="0"/>
              <w:rPr>
                <w:sz w:val="24"/>
                <w:szCs w:val="24"/>
                <w:color w:val="auto"/>
              </w:rPr>
            </w:pPr>
          </w:p>
        </w:tc>
        <w:tc>
          <w:tcPr>
            <w:tcW w:w="9700" w:type="dxa"/>
            <w:vAlign w:val="bottom"/>
            <w:tcBorders>
              <w:bottom w:val="single" w:sz="8" w:color="CCFFCC"/>
            </w:tcBorders>
          </w:tcPr>
          <w:p>
            <w:pPr>
              <w:spacing w:after="0"/>
              <w:rPr>
                <w:sz w:val="24"/>
                <w:szCs w:val="24"/>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Page</w:t>
            </w:r>
          </w:p>
        </w:tc>
      </w:tr>
      <w:tr>
        <w:trPr>
          <w:trHeight w:val="199"/>
        </w:trPr>
        <w:tc>
          <w:tcPr>
            <w:tcW w:w="720" w:type="dxa"/>
            <w:vAlign w:val="bottom"/>
            <w:shd w:val="clear" w:color="auto" w:fill="CCFFCC"/>
          </w:tcPr>
          <w:p>
            <w:pPr>
              <w:spacing w:after="0"/>
              <w:rPr>
                <w:sz w:val="17"/>
                <w:szCs w:val="17"/>
                <w:color w:val="auto"/>
              </w:rPr>
            </w:pPr>
          </w:p>
        </w:tc>
        <w:tc>
          <w:tcPr>
            <w:tcW w:w="9700" w:type="dxa"/>
            <w:vAlign w:val="bottom"/>
            <w:shd w:val="clear" w:color="auto" w:fill="CCFFCC"/>
          </w:tcPr>
          <w:p>
            <w:pPr>
              <w:jc w:val="center"/>
              <w:ind w:left="818"/>
              <w:spacing w:after="0"/>
              <w:rPr>
                <w:sz w:val="20"/>
                <w:szCs w:val="20"/>
                <w:color w:val="auto"/>
              </w:rPr>
            </w:pPr>
            <w:r>
              <w:rPr>
                <w:rFonts w:ascii="Arial" w:cs="Arial" w:eastAsia="Arial" w:hAnsi="Arial"/>
                <w:sz w:val="16"/>
                <w:szCs w:val="16"/>
                <w:b w:val="1"/>
                <w:bCs w:val="1"/>
                <w:color w:val="auto"/>
                <w:w w:val="99"/>
              </w:rPr>
              <w:t>PART I</w:t>
            </w:r>
          </w:p>
        </w:tc>
        <w:tc>
          <w:tcPr>
            <w:tcW w:w="800" w:type="dxa"/>
            <w:vAlign w:val="bottom"/>
            <w:shd w:val="clear" w:color="auto" w:fill="CCFFCC"/>
          </w:tcPr>
          <w:p>
            <w:pPr>
              <w:spacing w:after="0"/>
              <w:rPr>
                <w:sz w:val="17"/>
                <w:szCs w:val="17"/>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1.</w:t>
            </w:r>
          </w:p>
        </w:tc>
        <w:tc>
          <w:tcPr>
            <w:tcW w:w="9700" w:type="dxa"/>
            <w:vAlign w:val="bottom"/>
          </w:tcPr>
          <w:p>
            <w:pPr>
              <w:ind w:left="120"/>
              <w:spacing w:after="0"/>
              <w:rPr>
                <w:sz w:val="20"/>
                <w:szCs w:val="20"/>
                <w:color w:val="auto"/>
              </w:rPr>
            </w:pPr>
            <w:r>
              <w:rPr>
                <w:rFonts w:ascii="Arial" w:cs="Arial" w:eastAsia="Arial" w:hAnsi="Arial"/>
                <w:sz w:val="16"/>
                <w:szCs w:val="16"/>
                <w:color w:val="auto"/>
              </w:rPr>
              <w:t>Business</w:t>
            </w:r>
          </w:p>
        </w:tc>
        <w:tc>
          <w:tcPr>
            <w:tcW w:w="80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1</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1A.</w:t>
            </w:r>
          </w:p>
        </w:tc>
        <w:tc>
          <w:tcPr>
            <w:tcW w:w="9700" w:type="dxa"/>
            <w:vAlign w:val="bottom"/>
          </w:tcPr>
          <w:p>
            <w:pPr>
              <w:ind w:left="120"/>
              <w:spacing w:after="0"/>
              <w:rPr>
                <w:sz w:val="20"/>
                <w:szCs w:val="20"/>
                <w:color w:val="auto"/>
              </w:rPr>
            </w:pPr>
            <w:r>
              <w:rPr>
                <w:rFonts w:ascii="Arial" w:cs="Arial" w:eastAsia="Arial" w:hAnsi="Arial"/>
                <w:sz w:val="16"/>
                <w:szCs w:val="16"/>
                <w:color w:val="auto"/>
              </w:rPr>
              <w:t>Risk Factors</w:t>
            </w:r>
          </w:p>
        </w:tc>
        <w:tc>
          <w:tcPr>
            <w:tcW w:w="800" w:type="dxa"/>
            <w:vAlign w:val="bottom"/>
          </w:tcPr>
          <w:p>
            <w:pPr>
              <w:jc w:val="right"/>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15</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1B.</w:t>
            </w:r>
          </w:p>
        </w:tc>
        <w:tc>
          <w:tcPr>
            <w:tcW w:w="9700" w:type="dxa"/>
            <w:vAlign w:val="bottom"/>
          </w:tcPr>
          <w:p>
            <w:pPr>
              <w:ind w:left="120"/>
              <w:spacing w:after="0"/>
              <w:rPr>
                <w:sz w:val="20"/>
                <w:szCs w:val="20"/>
                <w:color w:val="auto"/>
              </w:rPr>
            </w:pPr>
            <w:r>
              <w:rPr>
                <w:rFonts w:ascii="Arial" w:cs="Arial" w:eastAsia="Arial" w:hAnsi="Arial"/>
                <w:sz w:val="16"/>
                <w:szCs w:val="16"/>
                <w:color w:val="auto"/>
              </w:rPr>
              <w:t>Unresolved Staff Comments</w:t>
            </w:r>
          </w:p>
        </w:tc>
        <w:tc>
          <w:tcPr>
            <w:tcW w:w="80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44</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2.</w:t>
            </w:r>
          </w:p>
        </w:tc>
        <w:tc>
          <w:tcPr>
            <w:tcW w:w="9700" w:type="dxa"/>
            <w:vAlign w:val="bottom"/>
          </w:tcPr>
          <w:p>
            <w:pPr>
              <w:ind w:left="120"/>
              <w:spacing w:after="0"/>
              <w:rPr>
                <w:sz w:val="20"/>
                <w:szCs w:val="20"/>
                <w:color w:val="auto"/>
              </w:rPr>
            </w:pPr>
            <w:r>
              <w:rPr>
                <w:rFonts w:ascii="Arial" w:cs="Arial" w:eastAsia="Arial" w:hAnsi="Arial"/>
                <w:sz w:val="16"/>
                <w:szCs w:val="16"/>
                <w:color w:val="auto"/>
              </w:rPr>
              <w:t>Properties</w:t>
            </w:r>
          </w:p>
        </w:tc>
        <w:tc>
          <w:tcPr>
            <w:tcW w:w="80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44</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3.</w:t>
            </w:r>
          </w:p>
        </w:tc>
        <w:tc>
          <w:tcPr>
            <w:tcW w:w="9700" w:type="dxa"/>
            <w:vAlign w:val="bottom"/>
          </w:tcPr>
          <w:p>
            <w:pPr>
              <w:ind w:left="120"/>
              <w:spacing w:after="0"/>
              <w:rPr>
                <w:sz w:val="20"/>
                <w:szCs w:val="20"/>
                <w:color w:val="auto"/>
              </w:rPr>
            </w:pPr>
            <w:r>
              <w:rPr>
                <w:rFonts w:ascii="Arial" w:cs="Arial" w:eastAsia="Arial" w:hAnsi="Arial"/>
                <w:sz w:val="16"/>
                <w:szCs w:val="16"/>
                <w:color w:val="auto"/>
              </w:rPr>
              <w:t>Legal Proceedings</w:t>
            </w:r>
          </w:p>
        </w:tc>
        <w:tc>
          <w:tcPr>
            <w:tcW w:w="80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45</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4.</w:t>
            </w:r>
          </w:p>
        </w:tc>
        <w:tc>
          <w:tcPr>
            <w:tcW w:w="9700" w:type="dxa"/>
            <w:vAlign w:val="bottom"/>
          </w:tcPr>
          <w:p>
            <w:pPr>
              <w:ind w:left="120"/>
              <w:spacing w:after="0"/>
              <w:rPr>
                <w:sz w:val="20"/>
                <w:szCs w:val="20"/>
                <w:color w:val="auto"/>
              </w:rPr>
            </w:pPr>
            <w:r>
              <w:rPr>
                <w:rFonts w:ascii="Arial" w:cs="Arial" w:eastAsia="Arial" w:hAnsi="Arial"/>
                <w:sz w:val="16"/>
                <w:szCs w:val="16"/>
                <w:color w:val="auto"/>
              </w:rPr>
              <w:t>Mine Safety Disclosures</w:t>
            </w:r>
          </w:p>
        </w:tc>
        <w:tc>
          <w:tcPr>
            <w:tcW w:w="80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45</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spacing w:after="0"/>
              <w:rPr>
                <w:sz w:val="18"/>
                <w:szCs w:val="18"/>
                <w:color w:val="auto"/>
              </w:rPr>
            </w:pPr>
          </w:p>
        </w:tc>
        <w:tc>
          <w:tcPr>
            <w:tcW w:w="97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w:t>
            </w:r>
          </w:p>
        </w:tc>
        <w:tc>
          <w:tcPr>
            <w:tcW w:w="800" w:type="dxa"/>
            <w:vAlign w:val="bottom"/>
          </w:tcPr>
          <w:p>
            <w:pPr>
              <w:spacing w:after="0"/>
              <w:rPr>
                <w:sz w:val="18"/>
                <w:szCs w:val="18"/>
                <w:color w:val="auto"/>
              </w:rPr>
            </w:pPr>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5.</w:t>
            </w:r>
          </w:p>
        </w:tc>
        <w:tc>
          <w:tcPr>
            <w:tcW w:w="9700" w:type="dxa"/>
            <w:vAlign w:val="bottom"/>
          </w:tcPr>
          <w:p>
            <w:pPr>
              <w:ind w:left="12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80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45</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6.</w:t>
            </w:r>
          </w:p>
        </w:tc>
        <w:tc>
          <w:tcPr>
            <w:tcW w:w="9700" w:type="dxa"/>
            <w:vAlign w:val="bottom"/>
          </w:tcPr>
          <w:p>
            <w:pPr>
              <w:ind w:left="120"/>
              <w:spacing w:after="0"/>
              <w:rPr>
                <w:sz w:val="20"/>
                <w:szCs w:val="20"/>
                <w:color w:val="auto"/>
              </w:rPr>
            </w:pPr>
            <w:r>
              <w:rPr>
                <w:rFonts w:ascii="Arial" w:cs="Arial" w:eastAsia="Arial" w:hAnsi="Arial"/>
                <w:sz w:val="16"/>
                <w:szCs w:val="16"/>
                <w:color w:val="auto"/>
              </w:rPr>
              <w:t>Selected Consolidated Financial Data</w:t>
            </w:r>
          </w:p>
        </w:tc>
        <w:tc>
          <w:tcPr>
            <w:tcW w:w="800" w:type="dxa"/>
            <w:vAlign w:val="bottom"/>
          </w:tcPr>
          <w:p>
            <w:pPr>
              <w:jc w:val="right"/>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48</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7.</w:t>
            </w:r>
          </w:p>
        </w:tc>
        <w:tc>
          <w:tcPr>
            <w:tcW w:w="9700" w:type="dxa"/>
            <w:vAlign w:val="bottom"/>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800" w:type="dxa"/>
            <w:vAlign w:val="bottom"/>
          </w:tcPr>
          <w:p>
            <w:pPr>
              <w:jc w:val="right"/>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51</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7A.</w:t>
            </w:r>
          </w:p>
        </w:tc>
        <w:tc>
          <w:tcPr>
            <w:tcW w:w="9700" w:type="dxa"/>
            <w:vAlign w:val="bottom"/>
          </w:tcPr>
          <w:p>
            <w:pPr>
              <w:ind w:left="120"/>
              <w:spacing w:after="0"/>
              <w:rPr>
                <w:sz w:val="20"/>
                <w:szCs w:val="20"/>
                <w:color w:val="auto"/>
              </w:rPr>
            </w:pPr>
            <w:r>
              <w:rPr>
                <w:rFonts w:ascii="Arial" w:cs="Arial" w:eastAsia="Arial" w:hAnsi="Arial"/>
                <w:sz w:val="16"/>
                <w:szCs w:val="16"/>
                <w:color w:val="auto"/>
              </w:rPr>
              <w:t>Quantitative and Qualitative Disclosures About Market Risk</w:t>
            </w:r>
          </w:p>
        </w:tc>
        <w:tc>
          <w:tcPr>
            <w:tcW w:w="800" w:type="dxa"/>
            <w:vAlign w:val="bottom"/>
          </w:tcPr>
          <w:p>
            <w:pPr>
              <w:jc w:val="right"/>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70</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8.</w:t>
            </w:r>
          </w:p>
        </w:tc>
        <w:tc>
          <w:tcPr>
            <w:tcW w:w="9700" w:type="dxa"/>
            <w:vAlign w:val="bottom"/>
          </w:tcPr>
          <w:p>
            <w:pPr>
              <w:ind w:left="120"/>
              <w:spacing w:after="0"/>
              <w:rPr>
                <w:sz w:val="20"/>
                <w:szCs w:val="20"/>
                <w:color w:val="auto"/>
              </w:rPr>
            </w:pPr>
            <w:r>
              <w:rPr>
                <w:rFonts w:ascii="Arial" w:cs="Arial" w:eastAsia="Arial" w:hAnsi="Arial"/>
                <w:sz w:val="16"/>
                <w:szCs w:val="16"/>
                <w:color w:val="auto"/>
              </w:rPr>
              <w:t>Consolidated Financial Statements and Supplementary Data</w:t>
            </w:r>
          </w:p>
        </w:tc>
        <w:tc>
          <w:tcPr>
            <w:tcW w:w="800" w:type="dxa"/>
            <w:vAlign w:val="bottom"/>
          </w:tcPr>
          <w:p>
            <w:pPr>
              <w:jc w:val="right"/>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72</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9.</w:t>
            </w:r>
          </w:p>
        </w:tc>
        <w:tc>
          <w:tcPr>
            <w:tcW w:w="9700" w:type="dxa"/>
            <w:vAlign w:val="bottom"/>
          </w:tcPr>
          <w:p>
            <w:pPr>
              <w:ind w:left="1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800" w:type="dxa"/>
            <w:vAlign w:val="bottom"/>
          </w:tcPr>
          <w:p>
            <w:pPr>
              <w:jc w:val="right"/>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117</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9A.</w:t>
            </w:r>
          </w:p>
        </w:tc>
        <w:tc>
          <w:tcPr>
            <w:tcW w:w="9700" w:type="dxa"/>
            <w:vAlign w:val="bottom"/>
          </w:tcPr>
          <w:p>
            <w:pPr>
              <w:ind w:left="120"/>
              <w:spacing w:after="0"/>
              <w:rPr>
                <w:sz w:val="20"/>
                <w:szCs w:val="20"/>
                <w:color w:val="auto"/>
              </w:rPr>
            </w:pPr>
            <w:r>
              <w:rPr>
                <w:rFonts w:ascii="Arial" w:cs="Arial" w:eastAsia="Arial" w:hAnsi="Arial"/>
                <w:sz w:val="16"/>
                <w:szCs w:val="16"/>
                <w:color w:val="auto"/>
              </w:rPr>
              <w:t>Controls and Procedures</w:t>
            </w:r>
          </w:p>
        </w:tc>
        <w:tc>
          <w:tcPr>
            <w:tcW w:w="800" w:type="dxa"/>
            <w:vAlign w:val="bottom"/>
          </w:tcPr>
          <w:p>
            <w:pPr>
              <w:jc w:val="right"/>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117</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9B.</w:t>
            </w:r>
          </w:p>
        </w:tc>
        <w:tc>
          <w:tcPr>
            <w:tcW w:w="9700" w:type="dxa"/>
            <w:vAlign w:val="bottom"/>
          </w:tcPr>
          <w:p>
            <w:pPr>
              <w:ind w:left="120"/>
              <w:spacing w:after="0"/>
              <w:rPr>
                <w:sz w:val="20"/>
                <w:szCs w:val="20"/>
                <w:color w:val="auto"/>
              </w:rPr>
            </w:pPr>
            <w:r>
              <w:rPr>
                <w:rFonts w:ascii="Arial" w:cs="Arial" w:eastAsia="Arial" w:hAnsi="Arial"/>
                <w:sz w:val="16"/>
                <w:szCs w:val="16"/>
                <w:color w:val="auto"/>
              </w:rPr>
              <w:t>Other Information</w:t>
            </w:r>
          </w:p>
        </w:tc>
        <w:tc>
          <w:tcPr>
            <w:tcW w:w="800" w:type="dxa"/>
            <w:vAlign w:val="bottom"/>
          </w:tcPr>
          <w:p>
            <w:pPr>
              <w:jc w:val="right"/>
              <w:spacing w:after="0"/>
              <w:rPr>
                <w:rFonts w:ascii="Arial" w:cs="Arial" w:eastAsia="Arial" w:hAnsi="Arial"/>
                <w:sz w:val="16"/>
                <w:szCs w:val="16"/>
                <w:u w:val="single" w:color="auto"/>
                <w:color w:val="0000FF"/>
              </w:rPr>
            </w:pPr>
            <w:hyperlink w:anchor="page122">
              <w:r>
                <w:rPr>
                  <w:rFonts w:ascii="Arial" w:cs="Arial" w:eastAsia="Arial" w:hAnsi="Arial"/>
                  <w:sz w:val="16"/>
                  <w:szCs w:val="16"/>
                  <w:u w:val="single" w:color="auto"/>
                  <w:color w:val="0000FF"/>
                </w:rPr>
                <w:t>119</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spacing w:after="0"/>
              <w:rPr>
                <w:sz w:val="18"/>
                <w:szCs w:val="18"/>
                <w:color w:val="auto"/>
              </w:rPr>
            </w:pPr>
          </w:p>
        </w:tc>
        <w:tc>
          <w:tcPr>
            <w:tcW w:w="97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III</w:t>
            </w:r>
          </w:p>
        </w:tc>
        <w:tc>
          <w:tcPr>
            <w:tcW w:w="800" w:type="dxa"/>
            <w:vAlign w:val="bottom"/>
          </w:tcPr>
          <w:p>
            <w:pPr>
              <w:spacing w:after="0"/>
              <w:rPr>
                <w:sz w:val="18"/>
                <w:szCs w:val="18"/>
                <w:color w:val="auto"/>
              </w:rPr>
            </w:pPr>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10.</w:t>
            </w:r>
          </w:p>
        </w:tc>
        <w:tc>
          <w:tcPr>
            <w:tcW w:w="9700" w:type="dxa"/>
            <w:vAlign w:val="bottom"/>
          </w:tcPr>
          <w:p>
            <w:pPr>
              <w:ind w:left="120"/>
              <w:spacing w:after="0"/>
              <w:rPr>
                <w:sz w:val="20"/>
                <w:szCs w:val="20"/>
                <w:color w:val="auto"/>
              </w:rPr>
            </w:pPr>
            <w:r>
              <w:rPr>
                <w:rFonts w:ascii="Arial" w:cs="Arial" w:eastAsia="Arial" w:hAnsi="Arial"/>
                <w:sz w:val="16"/>
                <w:szCs w:val="16"/>
                <w:color w:val="auto"/>
              </w:rPr>
              <w:t>Directors, Executive Officers and Corporate Governance</w:t>
            </w:r>
          </w:p>
        </w:tc>
        <w:tc>
          <w:tcPr>
            <w:tcW w:w="800" w:type="dxa"/>
            <w:vAlign w:val="bottom"/>
          </w:tcPr>
          <w:p>
            <w:pPr>
              <w:jc w:val="right"/>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119</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11.</w:t>
            </w:r>
          </w:p>
        </w:tc>
        <w:tc>
          <w:tcPr>
            <w:tcW w:w="9700" w:type="dxa"/>
            <w:vAlign w:val="bottom"/>
          </w:tcPr>
          <w:p>
            <w:pPr>
              <w:ind w:left="120"/>
              <w:spacing w:after="0"/>
              <w:rPr>
                <w:sz w:val="20"/>
                <w:szCs w:val="20"/>
                <w:color w:val="auto"/>
              </w:rPr>
            </w:pPr>
            <w:r>
              <w:rPr>
                <w:rFonts w:ascii="Arial" w:cs="Arial" w:eastAsia="Arial" w:hAnsi="Arial"/>
                <w:sz w:val="16"/>
                <w:szCs w:val="16"/>
                <w:color w:val="auto"/>
              </w:rPr>
              <w:t>Executive Compensation</w:t>
            </w:r>
          </w:p>
        </w:tc>
        <w:tc>
          <w:tcPr>
            <w:tcW w:w="800" w:type="dxa"/>
            <w:vAlign w:val="bottom"/>
          </w:tcPr>
          <w:p>
            <w:pPr>
              <w:jc w:val="right"/>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119</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12.</w:t>
            </w:r>
          </w:p>
        </w:tc>
        <w:tc>
          <w:tcPr>
            <w:tcW w:w="9700" w:type="dxa"/>
            <w:vAlign w:val="bottom"/>
          </w:tcPr>
          <w:p>
            <w:pPr>
              <w:ind w:left="12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800" w:type="dxa"/>
            <w:vAlign w:val="bottom"/>
          </w:tcPr>
          <w:p>
            <w:pPr>
              <w:jc w:val="right"/>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119</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13.</w:t>
            </w:r>
          </w:p>
        </w:tc>
        <w:tc>
          <w:tcPr>
            <w:tcW w:w="9700" w:type="dxa"/>
            <w:vAlign w:val="bottom"/>
          </w:tcPr>
          <w:p>
            <w:pPr>
              <w:ind w:left="12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800" w:type="dxa"/>
            <w:vAlign w:val="bottom"/>
          </w:tcPr>
          <w:p>
            <w:pPr>
              <w:jc w:val="right"/>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120</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14.</w:t>
            </w:r>
          </w:p>
        </w:tc>
        <w:tc>
          <w:tcPr>
            <w:tcW w:w="9700" w:type="dxa"/>
            <w:vAlign w:val="bottom"/>
          </w:tcPr>
          <w:p>
            <w:pPr>
              <w:ind w:left="120"/>
              <w:spacing w:after="0"/>
              <w:rPr>
                <w:sz w:val="20"/>
                <w:szCs w:val="20"/>
                <w:color w:val="auto"/>
              </w:rPr>
            </w:pPr>
            <w:r>
              <w:rPr>
                <w:rFonts w:ascii="Arial" w:cs="Arial" w:eastAsia="Arial" w:hAnsi="Arial"/>
                <w:sz w:val="16"/>
                <w:szCs w:val="16"/>
                <w:color w:val="auto"/>
              </w:rPr>
              <w:t>Principal Accountant Fees and Services</w:t>
            </w:r>
          </w:p>
        </w:tc>
        <w:tc>
          <w:tcPr>
            <w:tcW w:w="800" w:type="dxa"/>
            <w:vAlign w:val="bottom"/>
          </w:tcPr>
          <w:p>
            <w:pPr>
              <w:jc w:val="right"/>
              <w:spacing w:after="0"/>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120</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spacing w:after="0"/>
              <w:rPr>
                <w:sz w:val="18"/>
                <w:szCs w:val="18"/>
                <w:color w:val="auto"/>
              </w:rPr>
            </w:pPr>
          </w:p>
        </w:tc>
        <w:tc>
          <w:tcPr>
            <w:tcW w:w="97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IV</w:t>
            </w:r>
          </w:p>
        </w:tc>
        <w:tc>
          <w:tcPr>
            <w:tcW w:w="800" w:type="dxa"/>
            <w:vAlign w:val="bottom"/>
          </w:tcPr>
          <w:p>
            <w:pPr>
              <w:spacing w:after="0"/>
              <w:rPr>
                <w:sz w:val="18"/>
                <w:szCs w:val="18"/>
                <w:color w:val="auto"/>
              </w:rPr>
            </w:pPr>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rPr>
              <w:t>Item 15.</w:t>
            </w:r>
          </w:p>
        </w:tc>
        <w:tc>
          <w:tcPr>
            <w:tcW w:w="9700" w:type="dxa"/>
            <w:vAlign w:val="bottom"/>
          </w:tcPr>
          <w:p>
            <w:pPr>
              <w:ind w:left="120"/>
              <w:spacing w:after="0"/>
              <w:rPr>
                <w:sz w:val="20"/>
                <w:szCs w:val="20"/>
                <w:color w:val="auto"/>
              </w:rPr>
            </w:pPr>
            <w:r>
              <w:rPr>
                <w:rFonts w:ascii="Arial" w:cs="Arial" w:eastAsia="Arial" w:hAnsi="Arial"/>
                <w:sz w:val="16"/>
                <w:szCs w:val="16"/>
                <w:color w:val="auto"/>
              </w:rPr>
              <w:t>Exhibits and Financial Statement Schedules</w:t>
            </w:r>
          </w:p>
        </w:tc>
        <w:tc>
          <w:tcPr>
            <w:tcW w:w="800" w:type="dxa"/>
            <w:vAlign w:val="bottom"/>
          </w:tcPr>
          <w:p>
            <w:pPr>
              <w:jc w:val="right"/>
              <w:spacing w:after="0"/>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120</w:t>
              </w:r>
            </w:hyperlink>
          </w:p>
        </w:tc>
      </w:tr>
      <w:tr>
        <w:trPr>
          <w:trHeight w:val="219"/>
        </w:trPr>
        <w:tc>
          <w:tcPr>
            <w:tcW w:w="720" w:type="dxa"/>
            <w:vAlign w:val="bottom"/>
            <w:shd w:val="clear" w:color="auto" w:fill="CCFFCC"/>
          </w:tcPr>
          <w:p>
            <w:pPr>
              <w:spacing w:after="0"/>
              <w:rPr>
                <w:sz w:val="19"/>
                <w:szCs w:val="19"/>
                <w:color w:val="auto"/>
              </w:rPr>
            </w:pPr>
          </w:p>
        </w:tc>
        <w:tc>
          <w:tcPr>
            <w:tcW w:w="97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r>
      <w:tr>
        <w:trPr>
          <w:trHeight w:val="210"/>
        </w:trPr>
        <w:tc>
          <w:tcPr>
            <w:tcW w:w="720" w:type="dxa"/>
            <w:vAlign w:val="bottom"/>
          </w:tcPr>
          <w:p>
            <w:pPr>
              <w:ind w:left="20"/>
              <w:spacing w:after="0"/>
              <w:rPr>
                <w:sz w:val="20"/>
                <w:szCs w:val="20"/>
                <w:color w:val="auto"/>
              </w:rPr>
            </w:pPr>
            <w:r>
              <w:rPr>
                <w:rFonts w:ascii="Arial" w:cs="Arial" w:eastAsia="Arial" w:hAnsi="Arial"/>
                <w:sz w:val="16"/>
                <w:szCs w:val="16"/>
                <w:color w:val="auto"/>
              </w:rPr>
              <w:t>Item 16.</w:t>
            </w:r>
          </w:p>
        </w:tc>
        <w:tc>
          <w:tcPr>
            <w:tcW w:w="9700" w:type="dxa"/>
            <w:vAlign w:val="bottom"/>
          </w:tcPr>
          <w:p>
            <w:pPr>
              <w:ind w:left="120"/>
              <w:spacing w:after="0"/>
              <w:rPr>
                <w:sz w:val="20"/>
                <w:szCs w:val="20"/>
                <w:color w:val="auto"/>
              </w:rPr>
            </w:pPr>
            <w:r>
              <w:rPr>
                <w:rFonts w:ascii="Arial" w:cs="Arial" w:eastAsia="Arial" w:hAnsi="Arial"/>
                <w:sz w:val="16"/>
                <w:szCs w:val="16"/>
                <w:color w:val="auto"/>
              </w:rPr>
              <w:t>Form 10-K Summary</w:t>
            </w:r>
          </w:p>
        </w:tc>
        <w:tc>
          <w:tcPr>
            <w:tcW w:w="800" w:type="dxa"/>
            <w:vAlign w:val="bottom"/>
          </w:tcPr>
          <w:p>
            <w:pPr>
              <w:jc w:val="right"/>
              <w:spacing w:after="0"/>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120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56" w:lineRule="exact"/>
        <w:rPr>
          <w:sz w:val="20"/>
          <w:szCs w:val="20"/>
          <w:color w:val="auto"/>
        </w:rPr>
      </w:pPr>
    </w:p>
    <w:p>
      <w:pPr>
        <w:jc w:val="both"/>
        <w:ind w:firstLine="638"/>
        <w:spacing w:after="0" w:line="251"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THESE FORWARD-LOOKING STATEMENTS ARE BASED ON OUR CURRENT EXPECTATIONS, WHICH MAY NOT PROVE TO BE ACCURATE. MANY OF THESE STATEMENTS ARE FOUND IN THE “BUSINESS” AND “MANAGEMENT’S DISCUSSION AND ANALYSIS OF FINANCIAL CONDITION AND RESULTS OF OPERATIONS” SECTIONS OF THIS FORM 10-K. WHEN USED IN THIS FORM 10-K, THE WORDS “ESTIMATES,” “EXPECTS,” “ANTICIPATES,” “PROJECTS,” “PLANS,” “INTENDS,” “BELIEVES” AND VARIATIONS OF SUCH WORDS OR SIMILAR EXPRESSIONS ARE INTENDED TO IDENTIFY FORWARD-LOOKING STATEMENTS. ALL FORWARD-LOOKING STATEMENTS, INCLUDING, WITHOUT LIMITATION, OUR EXAMINATION OF HISTORICAL OPERATING TRENDS, ARE BASED UPON OUR CURRENT EXPECTATIONS AND VARIOUS ASSUMPTIONS. OUR EXPECTATIONS, BELIEFS AND PROJECTIONS ARE EXPRESSED IN GOOD FAITH, AND WE BELIEVE THERE IS A REASONABLE BASIS FOR THEM, BUT WE CANNOT ASSURE YOU THAT OUR EXPECTATIONS, BELIEFS AND PROJECTIONS WILL BE REALIZED. ANY SUCH FORWARD-LOOKING STATEMENTS ARE MADE PURSUANT TO THE SAFE HARBOR PROVISIONS OF THE PRIVATE SECURITIES LITIGATION REFORM ACT OF 1995. IT IS ROUTINE FOR OUR INTERNAL PROJECTIONS AND EXPECTATIONS TO CHANGE AS THE YEAR OR EACH QUARTER IN THE YEAR PROGRESS, AND THEREFORE IT SHOULD BE CLEARLY UNDERSTOOD THAT THE INTERNAL PROJECTIONS AND BELIEFS UPON WHICH WE BASE OUR EXPECTATIONS MAY CHANGE PRIOR TO THE END OF EACH QUARTER OR THE YEAR. ALTHOUGH THESE EXPECTATIONS MAY CHANGE, WE ARE UNDER NO OBLIGATION TO INFORM YOU IF THEY DO. ACTUAL EVENTS OR RESULTS MAY DIFFER MATERIALLY FROM THOSE CONTAINED IN THE PROJECTIONS OR FORWARD-LOOKING STATEMENTS. IMPORTANT FACTORS THAT COULD CAUSE OUR ACTUAL RESULTS TO DIFFER MATERIALLY FROM THE FORWARD-LOOKING STATEMENTS WE MAKE IN THIS FORM 10-K ARE SET FORTH IN THIS FORM 10-K, INCLUDING THE FACTORS DESCRIBED IN THE SECTION ENTITLED “ITEM 1A — RISK FACTORS.” IF ANY OF THESE RISKS OR UNCERTAINTIES MATERIALIZE, OR IF ANY OF OUR UNDERLYING ASSUMPTIONS ARE INCORRECT, OUR ACTUAL RESULTS MAY DIFFER SIGNIFICANTLY FROM THE RESULTS THAT WE EXPRESS IN OR IMPLY BY ANY OF OUR FORWARD-LOOKING STATEMENTS. WE DO NOT UNDERTAKE ANY OBLIGATION TO REVISE THESE FORWARD-LOOKING STATEMENTS TO REFLECT FUTURE EVENTS OR CIRCUMSTANCES.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LivePerson, Inc. (“LivePerson”, the “Company”, “we” or “our”) makes life easier for people and brands everywhere through trusted Conversational AI.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64" w:lineRule="exact"/>
        <w:rPr>
          <w:sz w:val="20"/>
          <w:szCs w:val="20"/>
          <w:color w:val="auto"/>
        </w:rPr>
      </w:pPr>
    </w:p>
    <w:p>
      <w:pPr>
        <w:jc w:val="both"/>
        <w:ind w:firstLine="222"/>
        <w:spacing w:after="0" w:line="254" w:lineRule="auto"/>
        <w:rPr>
          <w:sz w:val="20"/>
          <w:szCs w:val="20"/>
          <w:color w:val="auto"/>
        </w:rPr>
      </w:pPr>
      <w:r>
        <w:rPr>
          <w:rFonts w:ascii="Arial" w:cs="Arial" w:eastAsia="Arial" w:hAnsi="Arial"/>
          <w:sz w:val="18"/>
          <w:szCs w:val="18"/>
          <w:color w:val="auto"/>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short message service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84"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your reference:</w:t>
      </w:r>
    </w:p>
    <w:p>
      <w:pPr>
        <w:spacing w:after="0" w:line="117"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Conversational AI: Conversational AI allows humans and machines to interact using natural language, including speech or text.</w:t>
      </w:r>
    </w:p>
    <w:p>
      <w:pPr>
        <w:spacing w:after="0" w:line="128" w:lineRule="exact"/>
        <w:rPr>
          <w:rFonts w:ascii="Arial" w:cs="Arial" w:eastAsia="Arial" w:hAnsi="Arial"/>
          <w:sz w:val="17"/>
          <w:szCs w:val="17"/>
          <w:color w:val="auto"/>
        </w:rPr>
      </w:pPr>
    </w:p>
    <w:p>
      <w:pPr>
        <w:jc w:val="both"/>
        <w:ind w:left="1300" w:hanging="320"/>
        <w:spacing w:after="0" w:line="311" w:lineRule="auto"/>
        <w:tabs>
          <w:tab w:leader="none" w:pos="1295"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Conversational Space: In the Conversational Space, consumers message with brands on their own schedule, using natural language, to resolve their intents - all on their preferred messaging service. The core capabilities of the Conversational Space are voice and text-based interfaces, powered by AI and humans working together. Conversational Space is the simplest, most intuitive interface of all.</w:t>
      </w:r>
    </w:p>
    <w:p>
      <w:pPr>
        <w:spacing w:after="0" w:line="40" w:lineRule="exact"/>
        <w:rPr>
          <w:rFonts w:ascii="Arial" w:cs="Arial" w:eastAsia="Arial" w:hAnsi="Arial"/>
          <w:sz w:val="16"/>
          <w:szCs w:val="16"/>
          <w:color w:val="auto"/>
        </w:rPr>
      </w:pPr>
    </w:p>
    <w:p>
      <w:pPr>
        <w:ind w:left="1300" w:hanging="320"/>
        <w:spacing w:after="0" w:line="277" w:lineRule="auto"/>
        <w:tabs>
          <w:tab w:leader="none" w:pos="129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Conversational Cloud: LivePerson's enterprise-class, AI-powered Conversational Cloud platform empowers consumers to message their favorite brands, just as they do with friends and family.</w:t>
      </w:r>
    </w:p>
    <w:p>
      <w:pPr>
        <w:spacing w:after="0" w:line="62" w:lineRule="exact"/>
        <w:rPr>
          <w:sz w:val="20"/>
          <w:szCs w:val="20"/>
          <w:color w:val="auto"/>
        </w:rPr>
      </w:pPr>
    </w:p>
    <w:p>
      <w:pPr>
        <w:jc w:val="both"/>
        <w:ind w:firstLine="197"/>
        <w:spacing w:after="0" w:line="292" w:lineRule="auto"/>
        <w:rPr>
          <w:sz w:val="20"/>
          <w:szCs w:val="20"/>
          <w:color w:val="auto"/>
        </w:rPr>
      </w:pPr>
      <w:r>
        <w:rPr>
          <w:rFonts w:ascii="Arial" w:cs="Arial" w:eastAsia="Arial" w:hAnsi="Arial"/>
          <w:sz w:val="16"/>
          <w:szCs w:val="16"/>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Conversational AI, as well as third-party bots, the Conversational Cloud offers brands a comprehensive approach to scaling automations across their millions of customer conversations.</w:t>
      </w:r>
    </w:p>
    <w:p>
      <w:pPr>
        <w:spacing w:after="0" w:line="62" w:lineRule="exact"/>
        <w:rPr>
          <w:sz w:val="20"/>
          <w:szCs w:val="20"/>
          <w:color w:val="auto"/>
        </w:rPr>
      </w:pPr>
    </w:p>
    <w:p>
      <w:pPr>
        <w:jc w:val="both"/>
        <w:ind w:firstLine="262"/>
        <w:spacing w:after="0" w:line="263" w:lineRule="auto"/>
        <w:rPr>
          <w:sz w:val="20"/>
          <w:szCs w:val="20"/>
          <w:color w:val="auto"/>
        </w:rPr>
      </w:pPr>
      <w:r>
        <w:rPr>
          <w:rFonts w:ascii="Arial" w:cs="Arial" w:eastAsia="Arial" w:hAnsi="Arial"/>
          <w:sz w:val="18"/>
          <w:szCs w:val="18"/>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products, coupled with our domain knowledge, industry expertise and professional services, have been proven to maximize the effectiveness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Conversational Space and deliver measurable return on investment. Certain of our customers have achieved the following advantages from our offerings:</w:t>
      </w:r>
    </w:p>
    <w:p>
      <w:pPr>
        <w:spacing w:after="0" w:line="261" w:lineRule="exact"/>
        <w:rPr>
          <w:sz w:val="20"/>
          <w:szCs w:val="20"/>
          <w:color w:val="auto"/>
        </w:rPr>
      </w:pPr>
    </w:p>
    <w:p>
      <w:pPr>
        <w:ind w:left="1300" w:hanging="320"/>
        <w:spacing w:after="0" w:line="291" w:lineRule="auto"/>
        <w:tabs>
          <w:tab w:leader="none" w:pos="129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9"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increases of up to 20 percentage points, and enhancing retention and loyalty;</w:t>
      </w:r>
    </w:p>
    <w:p>
      <w:pPr>
        <w:ind w:left="1300" w:hanging="320"/>
        <w:spacing w:after="0" w:line="250"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9"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spending that drives visitor traffic by increasing visitor conversions;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 and</w:t>
      </w:r>
    </w:p>
    <w:p>
      <w:pPr>
        <w:spacing w:after="0" w:line="9" w:lineRule="exact"/>
        <w:rPr>
          <w:rFonts w:ascii="Arial" w:cs="Arial" w:eastAsia="Arial" w:hAnsi="Arial"/>
          <w:sz w:val="18"/>
          <w:szCs w:val="18"/>
          <w:color w:val="auto"/>
        </w:rPr>
      </w:pPr>
    </w:p>
    <w:p>
      <w:pPr>
        <w:ind w:left="1300" w:hanging="320"/>
        <w:spacing w:after="0" w:line="260"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lead generation by providing a single platform that engages consumers through advertisements and listings on branded and third-party websites.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further enhance our platform, in September 2020 we signed a partnership with Infosys, a leader in next-generation digital services and consulting. We will work with Infosys to transform our technology infrastructure on the public cloud, to build integrated solutions and a global practice around our Conversational Cloud to sell into their channels and global enterprise customer base, and to redefine how the world’s top brands communicate.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6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41"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In light of the COVID-19 pandemic and the company’s strong performance working remotely, LivePerson has adopted an “employee-centric” workforce model that does not rely on traditional offices.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LivePerson's proprietary messaging and Conversational AI enable consumers and businesses to use natural language over conversational interfaces such as SMS, Messenger, Apple Business Chat, Google’s Rich Business Messenger, and in-home personal assistants like Alexa, in order to get answers to questions, make purchases and resolve customer care inquiries. These conversational messaging capabilities target lower costs and increased customer satisfaction, retention and revenue by utilizing human agents, AI and bots to provide convenient, personalized and content-rich communication as alternatives to calling a 1-800 number, navigating a website or downloading an app.</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view is that once a consumer has established their favorite brands as contacts in their preferred messaging app, they will no longer see a need to call that brand’s 1-800 number, visit their website or download their app. Instead, they will simply select the contact, open up the thread with their entire history with the brand, and then renew the conversation. As a result, the billions of dollars previously invested by brands across these legacy channels will be increasingly allocated to experiences powered by our platform.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jc w:val="both"/>
        <w:ind w:firstLine="648"/>
        <w:spacing w:after="0" w:line="255" w:lineRule="auto"/>
        <w:rPr>
          <w:sz w:val="20"/>
          <w:szCs w:val="20"/>
          <w:color w:val="auto"/>
        </w:rPr>
      </w:pPr>
      <w:r>
        <w:rPr>
          <w:rFonts w:ascii="Arial" w:cs="Arial" w:eastAsia="Arial" w:hAnsi="Arial"/>
          <w:sz w:val="18"/>
          <w:szCs w:val="18"/>
          <w:color w:val="auto"/>
        </w:rPr>
        <w:t>Historically, brands have predominantly promoted calling the 1-800 number or using email as the primary means of contact with consumers. According to a 2018 IBM report, approximately 270 billion customer service calls are made to contact centers each year. With a median cost per call of approximately $5.60, according to US Contact Center Decision-Makers' Guide, we estimate that businesses spend approximately $1.5 trillion annually to support their 1-800 number call centers. We believe that moving these calls to messaging represents the largest portion of what we estimate is a $60 billion go-to-market opportunity. We estimate that nearly half of this market opportunity is tied to service, and the other half tied to sales, marketing, social and brick and mortar use cases.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LivePerson is already capitalizing on this Conversational Space transformation. We cite the following considerations:</w:t>
      </w:r>
    </w:p>
    <w:p>
      <w:pPr>
        <w:spacing w:after="0" w:line="117" w:lineRule="exact"/>
        <w:rPr>
          <w:sz w:val="20"/>
          <w:szCs w:val="20"/>
          <w:color w:val="auto"/>
        </w:rPr>
      </w:pPr>
    </w:p>
    <w:p>
      <w:pPr>
        <w:jc w:val="both"/>
        <w:ind w:left="1060" w:hanging="323"/>
        <w:spacing w:after="0" w:line="266" w:lineRule="auto"/>
        <w:tabs>
          <w:tab w:leader="none" w:pos="10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Consumer preference has already shifted away from calling to messaging in our personal lives. Gartner, a technology research firm, estimates that the proportion of voice-based communication will drop from 41% in 2017 to 12% in 2022. In contrast, WhatsApp and Facebook users combined send more than 65 billion messages a day, and, according to Portio Research, people worldwide were estimated to send an estimated 23 billion text messages a day in 2015. According to Gartner, by the end of 2020, more than 500 million consumers have used voice-enabled conversational AI to purchase on digital commerce platforms, growing from 160 million in 2017. The International Smartphone Mobility Report by mobile data tracking firm Infomate found that Americans spend about 26 minutes a day texting, as compared to six minutes a day on voice calls. A survey by transportation booking app, Hailo, found that making phone calls has dropped to the sixth most popular use of a mobile device, behind sending messages, receiving messages, checking email, surfing the Web, and using the alarm clock. The adoption of messaging has not been constrained to younger generations. According to Experian Marketing Services, adults 55 and older send and receive an average of nearly 500 text messages a month.</w:t>
      </w:r>
    </w:p>
    <w:p>
      <w:pPr>
        <w:spacing w:after="0" w:line="7" w:lineRule="exact"/>
        <w:rPr>
          <w:rFonts w:ascii="Arial" w:cs="Arial" w:eastAsia="Arial" w:hAnsi="Arial"/>
          <w:sz w:val="17"/>
          <w:szCs w:val="17"/>
          <w:color w:val="auto"/>
        </w:rPr>
      </w:pPr>
    </w:p>
    <w:p>
      <w:pPr>
        <w:jc w:val="both"/>
        <w:ind w:left="1060" w:hanging="323"/>
        <w:spacing w:after="0" w:line="265" w:lineRule="auto"/>
        <w:tabs>
          <w:tab w:leader="none" w:pos="10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Calling a 1-800 number typically leads to a poor customer experience. Roughly 50% of calls to 1-800 numbers go unresolved, according to IBM, and a 2014 Harris Interactive survey found that “81% of all consumers agree that it is frustrating to be tied to a phone or computer to wait for customer service help.” Research by enterprise analytics firm Mattersight, reinforces this view, with 74% of consumers feeling that call centers are getting worse or at best staying the same. The risk of poor customer service is material, according to Harris Interactive, which found that 89% of consumers will leave and go to a competitor due to bad customer experiences.</w:t>
      </w:r>
    </w:p>
    <w:p>
      <w:pPr>
        <w:jc w:val="both"/>
        <w:ind w:left="1060" w:hanging="323"/>
        <w:spacing w:after="0" w:line="250" w:lineRule="auto"/>
        <w:tabs>
          <w:tab w:leader="none" w:pos="10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Conversational experiences, which harness the power of human agents, bots and AI over messaging have been demonstrated to provide a superior alternative to voice calls. LivePerson customers typically see contact center agent efficiency increase by at least two times for messaging on our platform versus voice, while fueling higher customer satisfaction and increased sales conversions. According to a RingCentral survey, “at least 78% of consumers who text wish they could have a text conversation with a business.” An Amdocs global consumer survey had a similar finding, with 76% of consumers stating they would rather use a mobile app than call the contact center. According to Forrester Research's Customer Experience Survey, 73% of US online adults say that valuing their time is the most important thing a company can do to provide them with good service.</w:t>
      </w:r>
    </w:p>
    <w:p>
      <w:pPr>
        <w:spacing w:after="0" w:line="2" w:lineRule="exact"/>
        <w:rPr>
          <w:rFonts w:ascii="Arial" w:cs="Arial" w:eastAsia="Arial" w:hAnsi="Arial"/>
          <w:sz w:val="18"/>
          <w:szCs w:val="18"/>
          <w:color w:val="auto"/>
        </w:rPr>
      </w:pPr>
    </w:p>
    <w:p>
      <w:pPr>
        <w:jc w:val="both"/>
        <w:ind w:left="1060" w:hanging="323"/>
        <w:spacing w:after="0" w:line="271" w:lineRule="auto"/>
        <w:tabs>
          <w:tab w:leader="none" w:pos="105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believe the combination of strong alignment to consumer communication preferences, high returns on investment and a growing list of proven referenceable customers have positioned the Conversational Space at an inflection point. Approximately 66% of our enterprise customers have adopted messaging by the end of 2020, up from nearly 55% at the end of 2019 and approximately 40% at the end of 2018. In addition, nearly 70% of messaging conversations had automation attached at the end of 2020, up from nearly 60% at the end of 2019 and up from approximately 25% at the end of 2017. In the first year of its launch, our Conversation Bot Builder was deployed by nearly 300 brands. The Conversational Space is growing very rapidly; according to Gartner, by 2022, 70% of customer interactions will involve emerging technologies such as machine learning applications, chatbots and mobile messaging, up from 15% in 2018.</w:t>
      </w:r>
    </w:p>
    <w:p>
      <w:pPr>
        <w:spacing w:after="0" w:line="192" w:lineRule="exact"/>
        <w:rPr>
          <w:sz w:val="20"/>
          <w:szCs w:val="20"/>
          <w:color w:val="auto"/>
        </w:rPr>
      </w:pPr>
    </w:p>
    <w:p>
      <w:pPr>
        <w:jc w:val="both"/>
        <w:ind w:firstLine="203"/>
        <w:spacing w:after="0" w:line="257" w:lineRule="auto"/>
        <w:rPr>
          <w:sz w:val="20"/>
          <w:szCs w:val="20"/>
          <w:color w:val="auto"/>
        </w:rPr>
      </w:pPr>
      <w:r>
        <w:rPr>
          <w:rFonts w:ascii="Arial" w:cs="Arial" w:eastAsia="Arial" w:hAnsi="Arial"/>
          <w:sz w:val="18"/>
          <w:szCs w:val="18"/>
          <w:color w:val="auto"/>
        </w:rPr>
        <w:t>In addition to market share opportunities in the legacy 1-800 number call center, we believe that consumer traffic and digital spending will increasingly shift away from websites and mobile apps to conversational engagements. We think that websites and e-commerce have not lived up to the expectations of businesses and that consumers are likewise frustrated with the navigational experience and the challenges of getting questions answered on websites. In fact, after more than 20 years and a global pandemic, e-commerce still only accounts for approximately 18% of total retail sales and, in the United States, Amazon.com accounts for approximately 40% of this share.</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low penetration rates of online and mobile e-commerce reflect disappointing website conversion rates, which average less than 5%. Low conversion rates are likely a factor of the trend for websites to be designed for content, as opposed to commerce, so that they can be indexed to show up in web searches. According to Forrester Research, 53% of customers are likely to abandon their online purchases if they can't find quick answers to their questions. This conflict between content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commerce not only impacts revenue, but also drives higher costs, as we estimate that 60%-80% of all calls to 1-800 numbers originate from consumers first visiting a website and then getting confused or not obtaining the answers they seek.</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LivePerson's proprietary messaging and Conversational AI offerings provide a superior alternative. Certain LivePerson customers have demonstrated increases in website sales of up to 20%, while lowering the cost of engagement relative to voice or email. No longer are consumers navigating through clicks and searches to find answers across multiple static web pages. Instead they use natural language to engage conversationally with a brand. These conversations can be personalized to each brand’s unique identity and to each consumer’s unique history and preferences. The engagements are content rich, featuring images, reviews, ratings, and videos, and they are convenient, letting the consumer drive the conversation when it meets their needs, and offering the ability to integrate to credit cards, pay wallets and calendars.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believe that the Conversational Space will steadily eliminate the need for investment in branded apps. We conclude that consumers will increasingly opt to connect with brands through their preferred messaging channels, such as Apple Business Chat, WhatsApp, SMS, Messenger, or Twitter, rather than clutter their mobile devices, waste storage, and potentially impact performance by downloading a multitude of individual apps.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Another emerging market opportunity for LivePerson is the leveraging of brick and mortar operations as an extension of the contact center. Retailers, telecommunications companies, and financial services companies, among others, all operate brick and mortar storefronts, where thousands of employees often sit idle during off peak hours. The Conversational Cloud enables our customers to set up campaigns where these employees can connect through messaging to customers in their community, with check-ins, follow ups, and special offers, reinforcing relationships at the local level. For example, a telecommunications company targeted consumers that were local to its storefronts with a trade-in offer. Additionally, our platform can arm employees in the field with the ability to rapidly obtain answers to questions as they engage with customers in the stores. For example, a consumer may have a specific question about a new appliance in a home improvement store, and the employee can engage through our platform with a specialist bot or human agent to obtain detailed information on that appliance. The COVID-19 pandemic has only accelerated adoption of these experiences. While in-store traffic on Black Friday fell by 52% in 2020 compared with 2019, according to Sensormatic Solutions, peak conversation volume on the Conversational Cloud during the 2020 Black Friday to Cyber Monday period grew 200% year over year.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Build awareness and drive adoption of the Conversational Space. </w:t>
      </w:r>
      <w:r>
        <w:rPr>
          <w:rFonts w:ascii="Arial" w:cs="Arial" w:eastAsia="Arial" w:hAnsi="Arial"/>
          <w:sz w:val="18"/>
          <w:szCs w:val="18"/>
          <w:color w:val="auto"/>
        </w:rPr>
        <w:t>LivePerson brought our first customer live on messaging in June 2016.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key component of our industry awareness marketing strategy has been to hold multiple global customer summits each year (events in 2020 were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held virtually in light of the COVID-19 pandemic) that target executives from enterprise customers and prospects, and feature a key theme within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Conversational Space, such as Apple Business Chat, Google Rich Business Messenger, IVR deflection or AI. LivePerson customers are the center point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summits, presenting why they chose LivePerson for conversational experiences, how they achieved success, and what type of ROI they have realized.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attendee then receives a blueprint for how they can achieve similar outcomes. We have found this strategy to drive strong results for LivePerson,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have seen a greater than 40% conversion rate on opportunities that were created or advanced as part of the customer summits. By year-end 2020,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brought approximately 400 customers live on messaging and increased adoption within our enterprise customers to 66%. In addition, nearly 70%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messaging conversations had automation attached. We will continue to focus on building awareness for the Conversational Space and driving adoption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messaging and AI across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customer base.</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is to 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jc w:val="both"/>
        <w:ind w:firstLine="648"/>
        <w:spacing w:after="0" w:line="269" w:lineRule="auto"/>
        <w:rPr>
          <w:sz w:val="20"/>
          <w:szCs w:val="20"/>
          <w:color w:val="auto"/>
        </w:rPr>
      </w:pPr>
      <w:r>
        <w:rPr>
          <w:rFonts w:ascii="Arial" w:cs="Arial" w:eastAsia="Arial" w:hAnsi="Arial"/>
          <w:sz w:val="17"/>
          <w:szCs w:val="17"/>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channel and use case added opens the door to hundreds of millions of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LivePerson is leading the structural shift to Conversational AI.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 LivePerson’s enterprise and mid-market revenue retention rate, (the trailing-twelve-month change in total revenue from existing customers after upsells, downsells and attrition) which exceeded the high end of our target range of 105% to 115% for 2020. The benefit can also be seen in LivePerson’s average revenue per user (ARPU) for our enterprise and mid-market customers, which increased approximately 35% in 2020 to $465,000 from approximately $345,000 in 2019.</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Attract the industry’s best AI, machine learning and conversational talent. </w:t>
      </w:r>
      <w:r>
        <w:rPr>
          <w:rFonts w:ascii="Arial" w:cs="Arial" w:eastAsia="Arial" w:hAnsi="Arial"/>
          <w:sz w:val="18"/>
          <w:szCs w:val="18"/>
          <w:color w:val="auto"/>
        </w:rPr>
        <w:t>We believe that AI and machine learning are critical to successfully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scaling in the Conversational Space, and that in order to develop the industry’s leading technology, we need to attract the industry's best talent. In 2018, LivePerson recruited Alex Spinelli, key architect of the Alexa Operating System at Amazon.com, as our Global CTO. Under Mr. Spinelli’s leadership, LivePerson hired more than 280 of the industry’s 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and Conversable in Austin, Texas.</w:t>
      </w:r>
    </w:p>
    <w:p>
      <w:pPr>
        <w:spacing w:after="0" w:line="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Bring to market best-in-class AI and machine learning technologies designed for the Conversational Space. </w:t>
      </w:r>
      <w:r>
        <w:rPr>
          <w:rFonts w:ascii="Arial" w:cs="Arial" w:eastAsia="Arial" w:hAnsi="Arial"/>
          <w:sz w:val="17"/>
          <w:szCs w:val="17"/>
          <w:color w:val="auto"/>
        </w:rPr>
        <w:t>We believe that in the last decade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many vendors introduced AI and bot offerings 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Unlike alternative solutions designed solely for IT departments, LivePerson’s Conversational AI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Some of the key innovations behind LivePerson’s Conversational AI include:</w:t>
      </w:r>
    </w:p>
    <w:p>
      <w:pPr>
        <w:spacing w:after="0" w:line="117" w:lineRule="exact"/>
        <w:rPr>
          <w:sz w:val="20"/>
          <w:szCs w:val="20"/>
          <w:color w:val="auto"/>
        </w:rPr>
      </w:pPr>
    </w:p>
    <w:p>
      <w:pPr>
        <w:jc w:val="both"/>
        <w:ind w:left="1060" w:hanging="323"/>
        <w:spacing w:after="0" w:line="255"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2" w:lineRule="exact"/>
        <w:rPr>
          <w:rFonts w:ascii="Arial" w:cs="Arial" w:eastAsia="Arial" w:hAnsi="Arial"/>
          <w:sz w:val="18"/>
          <w:szCs w:val="18"/>
          <w:color w:val="auto"/>
        </w:rPr>
      </w:pPr>
    </w:p>
    <w:p>
      <w:pPr>
        <w:ind w:left="1060" w:hanging="323"/>
        <w:spacing w:after="0" w:line="250"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jc w:val="both"/>
        <w:ind w:left="1060" w:hanging="323"/>
        <w:spacing w:after="0" w:line="250"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w:t>
      </w:r>
    </w:p>
    <w:p>
      <w:pPr>
        <w:spacing w:after="0" w:line="1" w:lineRule="exact"/>
        <w:rPr>
          <w:rFonts w:ascii="Arial" w:cs="Arial" w:eastAsia="Arial" w:hAnsi="Arial"/>
          <w:sz w:val="18"/>
          <w:szCs w:val="18"/>
          <w:color w:val="auto"/>
        </w:rPr>
      </w:pPr>
    </w:p>
    <w:p>
      <w:pPr>
        <w:ind w:left="1060" w:right="20" w:hanging="323"/>
        <w:spacing w:after="0" w:line="250"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ind w:left="1060" w:hanging="323"/>
        <w:spacing w:after="0" w:line="250"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AI natural language understanding (NLU) integration, so customers aren't boxed into one vendor; and</w:t>
      </w:r>
    </w:p>
    <w:p>
      <w:pPr>
        <w:spacing w:after="0" w:line="9" w:lineRule="exact"/>
        <w:rPr>
          <w:rFonts w:ascii="Arial" w:cs="Arial" w:eastAsia="Arial" w:hAnsi="Arial"/>
          <w:sz w:val="18"/>
          <w:szCs w:val="18"/>
          <w:color w:val="auto"/>
        </w:rPr>
      </w:pPr>
    </w:p>
    <w:p>
      <w:pPr>
        <w:ind w:left="1060" w:right="20" w:hanging="323"/>
        <w:spacing w:after="0" w:line="260"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AI analytics and reporting tailored to the Conversational Space, providing brands with immediate, actionable insights about their businesses and contact center operations.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strategy is to continue to enhance the Conversational AI engine and related products, by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6"/>
          <w:szCs w:val="16"/>
          <w:color w:val="auto"/>
        </w:rPr>
        <w:t>We believe that most contact center technology vendors incorrectly view messaging as a feature. They are content with building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integrations to a messaging endpoint and offering messaging as just another product in their suite. LivePerson holds the perspective that messaging and AI are the foundation for transforming conversational experiences, disrupting how agents operate and how brands engage with consumers.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LivePerson is uniquely positioned to deliver this transformation due to our technology and expertise:</w:t>
      </w:r>
    </w:p>
    <w:p>
      <w:pPr>
        <w:spacing w:after="0" w:line="117" w:lineRule="exact"/>
        <w:rPr>
          <w:sz w:val="20"/>
          <w:szCs w:val="20"/>
          <w:color w:val="auto"/>
        </w:rPr>
      </w:pPr>
    </w:p>
    <w:p>
      <w:pPr>
        <w:jc w:val="both"/>
        <w:ind w:left="1060" w:hanging="323"/>
        <w:spacing w:after="0" w:line="253"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w:t>
      </w:r>
    </w:p>
    <w:p>
      <w:pPr>
        <w:spacing w:after="0" w:line="1" w:lineRule="exact"/>
        <w:rPr>
          <w:rFonts w:ascii="Arial" w:cs="Arial" w:eastAsia="Arial" w:hAnsi="Arial"/>
          <w:sz w:val="18"/>
          <w:szCs w:val="18"/>
          <w:color w:val="auto"/>
        </w:rPr>
      </w:pPr>
    </w:p>
    <w:p>
      <w:pPr>
        <w:ind w:left="1060" w:hanging="323"/>
        <w:spacing w:after="0" w:line="250"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ind w:left="1060" w:hanging="323"/>
        <w:spacing w:after="0" w:line="250"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jc w:val="both"/>
        <w:ind w:left="1060" w:hanging="323"/>
        <w:spacing w:after="0" w:line="253"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 times inefficient legacy voice, email and chat solutions to modern conversational ones powered by messaging and AI.</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jc w:val="both"/>
        <w:ind w:firstLine="193"/>
        <w:spacing w:after="0" w:line="272" w:lineRule="auto"/>
        <w:rPr>
          <w:sz w:val="20"/>
          <w:szCs w:val="20"/>
          <w:color w:val="auto"/>
        </w:rPr>
      </w:pPr>
      <w:r>
        <w:rPr>
          <w:rFonts w:ascii="Arial" w:cs="Arial" w:eastAsia="Arial" w:hAnsi="Arial"/>
          <w:sz w:val="17"/>
          <w:szCs w:val="17"/>
          <w:b w:val="1"/>
          <w:bCs w:val="1"/>
          <w:i w:val="1"/>
          <w:iCs w:val="1"/>
          <w:color w:val="auto"/>
        </w:rPr>
        <w:t xml:space="preserve">Strengthen our position in both existing and new industries. </w:t>
      </w:r>
      <w:r>
        <w:rPr>
          <w:rFonts w:ascii="Arial" w:cs="Arial" w:eastAsia="Arial" w:hAnsi="Arial"/>
          <w:sz w:val="17"/>
          <w:szCs w:val="17"/>
          <w:color w:val="auto"/>
        </w:rPr>
        <w:t>We plan to continue to develop our market position by increasing our customer base,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expanding within our installed base. We will continue to focus primarily on key target markets: consumer/retail, telecommunications, financial services, travel/hospitality, technology and automotive within both our enterprise and mid-market sectors, as well as the small business (SMB) sector. In 2019, we made strong inroads into new verticals with key wins in the airline, food service and healthcare industries. In 2020, we strengthened our presence in key markets including travel/hospitality and retail, and opened new verticals like healthcare and government. We are experimenting with new conversational businesses, including some that are in regulated industries, like online banking. We are increasingly structuring our field organization to emphasize our domain expertise and strengthen customer relationships across target industries.</w:t>
      </w:r>
    </w:p>
    <w:p>
      <w:pPr>
        <w:spacing w:after="0" w:line="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building our international presence and expanding our international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which accounted for 38% and 41% of total revenue in 2020 and 2019, respectively. We are generating positive results from our recent investments in the Asia Pacific, Europe and Latin America regions.</w:t>
      </w:r>
    </w:p>
    <w:p>
      <w:pPr>
        <w:spacing w:after="0" w:line="76" w:lineRule="exact"/>
        <w:rPr>
          <w:sz w:val="20"/>
          <w:szCs w:val="20"/>
          <w:color w:val="auto"/>
        </w:rPr>
      </w:pPr>
    </w:p>
    <w:p>
      <w:pPr>
        <w:jc w:val="both"/>
        <w:ind w:firstLine="238"/>
        <w:spacing w:after="0" w:line="272" w:lineRule="auto"/>
        <w:rPr>
          <w:sz w:val="20"/>
          <w:szCs w:val="20"/>
          <w:color w:val="auto"/>
        </w:rPr>
      </w:pPr>
      <w:r>
        <w:rPr>
          <w:rFonts w:ascii="Arial" w:cs="Arial" w:eastAsia="Arial" w:hAnsi="Arial"/>
          <w:sz w:val="17"/>
          <w:szCs w:val="17"/>
          <w:b w:val="1"/>
          <w:bCs w:val="1"/>
          <w:i w:val="1"/>
          <w:iCs w:val="1"/>
          <w:color w:val="auto"/>
        </w:rPr>
        <w:t xml:space="preserve">Leverage our open architecture to support partners and developers. </w:t>
      </w:r>
      <w:r>
        <w:rPr>
          <w:rFonts w:ascii="Arial" w:cs="Arial" w:eastAsia="Arial" w:hAnsi="Arial"/>
          <w:sz w:val="17"/>
          <w:szCs w:val="17"/>
          <w:color w:val="auto"/>
        </w:rPr>
        <w:t>In addition to developing our own applications, we continue to cultivate a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Function as a Service (FaaS) integration which enables brands to develop custom behaviors within LivePerson's conversational platform to easily and rapidly tailor conversation flows to their specific needs.</w:t>
      </w:r>
    </w:p>
    <w:p>
      <w:pPr>
        <w:spacing w:after="0" w:line="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Expand sales partnerships to broaden our presence and accelerate sales cycles. </w:t>
      </w:r>
      <w:r>
        <w:rPr>
          <w:rFonts w:ascii="Arial" w:cs="Arial" w:eastAsia="Arial" w:hAnsi="Arial"/>
          <w:sz w:val="16"/>
          <w:szCs w:val="16"/>
          <w:color w:val="auto"/>
        </w:rPr>
        <w:t>We are focused on broadening our market reach and accelerating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Infosys joined LivePerson's network with a first-of-its-kind 360 degree partnership focusing not only on capturing the global rising demand for conversational commerce and building a personalized experience for customers, but also driving the transformation for internal corporate messaging and the employee experience through Conversational AI. LivePerson increased the number of partners focused on SMBs to more than 300 at year-end 2020 and 2019, from over 150 at year-end 2018, and approximately 40 at the end of 2017. Approximately one quarter of all opportunities were influenced by partners in 2020 and we are focused on driving that contribution toward 50% longer term.</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Maintain market leadership in technology and security expertise. </w:t>
      </w:r>
      <w:r>
        <w:rPr>
          <w:rFonts w:ascii="Arial" w:cs="Arial" w:eastAsia="Arial" w:hAnsi="Arial"/>
          <w:sz w:val="18"/>
          <w:szCs w:val="18"/>
          <w:color w:val="auto"/>
        </w:rPr>
        <w:t>As described above, we are devoting significant resources to creating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Evaluate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solutions offerings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LivePerson’s hosted platforms harness human, AI and bot-powered messaging on mobile apps, mobile and desktop web browsers, SMS, social media and third-party consumer messaging platforms. Our business-to-business services are all managed from a single user interface. By supplying a complete, unified consumer view, our solutions enable businesses to deliver a relevant, timely, personalized, and seamless consumer experience for heads of digital and customer care, as well as e-commerce, marketing, and contact center executives. In addition to product offerings, LivePerson provides professional services and value-added business consulting to support complete deployment and optimization of our enterprise solutions. Revenue attributable to our monthly hosted Business services accounted for 79% of total revenue for the year ended December 31, 2020, 77% of total revenue for the year ended December 31, 2019 and 79% of total revenue for the year ended December 31, 2018. Our strategy is to increase the percentage of our total revenue attributable to Business services by leveraging the partner network for a portion of professional services work and the adoption of our self-service tools.</w:t>
      </w:r>
    </w:p>
    <w:p>
      <w:pPr>
        <w:spacing w:after="0" w:line="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The Conversational Cloud</w:t>
      </w:r>
      <w:r>
        <w:rPr>
          <w:rFonts w:ascii="Arial" w:cs="Arial" w:eastAsia="Arial" w:hAnsi="Arial"/>
          <w:sz w:val="19"/>
          <w:szCs w:val="19"/>
          <w:b w:val="1"/>
          <w:bCs w:val="1"/>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Conversational Cloud, LivePerson’s enterprise-class, cloud-based platform, enables businesses and consumers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 through conversational interfaces, such as in-app and mobile messaging, while leveraging bots and AI to increase efficiency. The platform, which is targeted at heads of digital and customer care, as well as e-commerce, marketing, and contact center executives, combines sophisticated mobile and online engagement technology with robust business intelligence and big data to produce compelling, measurable results by intelligently engaging consumers based on a real-time understanding of consumer needs. Rich, contextually aware targeting, actionable insights and personalized experiences, empower businesses to get the most out of their existing online, mobile and social platforms. Potential benefits of the Conversational Cloud include increased agent efficiency, decreased customer care costs, improved customer experiences, higher conversion rates and increased customer lifetime value.</w:t>
      </w:r>
    </w:p>
    <w:p>
      <w:pPr>
        <w:spacing w:after="0" w:line="56" w:lineRule="exact"/>
        <w:rPr>
          <w:sz w:val="20"/>
          <w:szCs w:val="20"/>
          <w:color w:val="auto"/>
        </w:rPr>
      </w:pPr>
    </w:p>
    <w:p>
      <w:pPr>
        <w:jc w:val="both"/>
        <w:ind w:firstLine="191"/>
        <w:spacing w:after="0" w:line="271" w:lineRule="auto"/>
        <w:rPr>
          <w:sz w:val="20"/>
          <w:szCs w:val="20"/>
          <w:color w:val="auto"/>
        </w:rPr>
      </w:pPr>
      <w:r>
        <w:rPr>
          <w:rFonts w:ascii="Arial" w:cs="Arial" w:eastAsia="Arial" w:hAnsi="Arial"/>
          <w:sz w:val="17"/>
          <w:szCs w:val="17"/>
          <w:color w:val="auto"/>
        </w:rPr>
        <w:t>The Conversational Cloud was designed for conversational experiences, enabling businesses to securely deploy messaging, coupled with bots and AI, at scale for brands with tens of millions of customers and many thousands of customer care agents. The platform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The platform seamlessly integrates LivePerson’s Conversational AI engine as well as third-party bots, enabling brands to manage both AI-based agents and human agents from a single console.</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the Conversational Cloud, agents can manage all conversations with consumers through a single console interface, regardless of which disparate messaging endpoints the consumers originate from; i.e., WhatsApp, Line, Apple Business Chat, IVR, social, email, Amazon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Conversational Cloud enables the combination of real time on-site data and off-site behavioral data, with a broad set of historical and operational data. Proprietary analytics utilize this data to target end users with compelling engagement options at any step in the conversion funnel and throughout the customer lifecycle. The platform enables customers to maximize online revenue opportunities, improve conversion rates and reduce shopping cart abandonment by proactively engaging the right visitor, using the right channel, at the right time. Our solution identifies segments of website visitors who demonstrate the highest propensity to convert, and engages them in real-time with relevant content and offers, helping to generate incremental sales. The platform also reduces costs in the contact center relative to voice, by identifying consumers who may be struggling with their self-serve</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experience, and proactively connecting them to a live consumer care specialist via messaging, who can manage several conversations at once. This comprehensive solution blends a proven value-based methodology with an active rules-based engagement engine and deep domain expertise to increase first contact resolution, improve consumer satisfaction, and reduce attrition rates.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 xml:space="preserve">LivePerson’s Conversational AI. </w:t>
      </w:r>
      <w:r>
        <w:rPr>
          <w:rFonts w:ascii="Arial" w:cs="Arial" w:eastAsia="Arial" w:hAnsi="Arial"/>
          <w:sz w:val="16"/>
          <w:szCs w:val="16"/>
          <w:color w:val="auto"/>
        </w:rPr>
        <w:t>LivePerson’s Conversational AI, announced in December 2018, operates as the brains behind new LivePerson AI-</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products, and was developed using our conversational data set of millions of brand-to-consumer interactions. LivePerson’s Conversational AI was custom designed for the Conversational Space, putting the power of bot development, training and management into the hands of the contact center and its agents, the teams most familiar with how to structure sales and service conversations to drive successful outcomes. The platform enables what we call “the tango”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jc w:val="both"/>
        <w:spacing w:after="0" w:line="296" w:lineRule="auto"/>
        <w:rPr>
          <w:sz w:val="20"/>
          <w:szCs w:val="20"/>
          <w:color w:val="auto"/>
        </w:rPr>
      </w:pPr>
      <w:r>
        <w:rPr>
          <w:rFonts w:ascii="Arial" w:cs="Arial" w:eastAsia="Arial" w:hAnsi="Arial"/>
          <w:sz w:val="16"/>
          <w:szCs w:val="16"/>
          <w:color w:val="auto"/>
        </w:rPr>
        <w:t>humans, AI and bots, whereby human agents act as bot managers, overseeing AI-powered conversations and seamlessly stepping into the flow when a personal touch is needed. Through the Conversational Cloud, agents become ultra-efficient, leveraging the AI engine to serve up relevant content, define next-best actions and take over repetitive transactional work, so that the agent can focus on relationship building. By seamlessly integrating the Conversational Cloud with our proprietary AI, as well as third-party bots, the platform provides businesses with a comprehensive view of all AI-based and human-based conversations from a single console. Some of the first products developed on LivePerson’s Conversational AI engine include:</w:t>
      </w:r>
    </w:p>
    <w:p>
      <w:pPr>
        <w:spacing w:after="0" w:line="49" w:lineRule="exact"/>
        <w:rPr>
          <w:sz w:val="20"/>
          <w:szCs w:val="20"/>
          <w:color w:val="auto"/>
        </w:rPr>
      </w:pPr>
    </w:p>
    <w:p>
      <w:pPr>
        <w:jc w:val="both"/>
        <w:ind w:left="660" w:hanging="328"/>
        <w:spacing w:after="0" w:line="289"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Conversation Builder, </w:t>
      </w:r>
      <w:r>
        <w:rPr>
          <w:rFonts w:ascii="Arial" w:cs="Arial" w:eastAsia="Arial" w:hAnsi="Arial"/>
          <w:sz w:val="16"/>
          <w:szCs w:val="16"/>
          <w:color w:val="auto"/>
        </w:rPr>
        <w:t>which non-technical staff such as contact center agents use to design high-quality automated conversations.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conversations are not built from scratch. Conversation Builder creates the initial versions by mining a brand's existing conversation transcripts. Prebuilt industry templates are also available, providing the dialogue and integrations necessary for common use cases such as billing.</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Conversation Manager, </w:t>
      </w:r>
      <w:r>
        <w:rPr>
          <w:rFonts w:ascii="Arial" w:cs="Arial" w:eastAsia="Arial" w:hAnsi="Arial"/>
          <w:sz w:val="18"/>
          <w:szCs w:val="18"/>
          <w:color w:val="auto"/>
        </w:rPr>
        <w:t>a console that suggests automated responses and next best actions to contact center agents, who edit and select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them. Edits and selections dynamically improve the responses and next best actions. When the content reaches a brand-set accuracy threshold, it can be offered to consumers without human intervention. Conversation Manager also includes sentiment monitoring to alert contact center agents to conversations that require their attention. Designed for use in large contact centers, Conversation Manager sends these requests to agents who have the capacity and appropriate skills to respond. A major retail brand that adopted this approach in its sales operation increased agent productivity up to 220% within 12 weeks of launch.</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Conversation Analytics</w:t>
      </w:r>
      <w:r>
        <w:rPr>
          <w:rFonts w:ascii="Arial" w:cs="Arial" w:eastAsia="Arial" w:hAnsi="Arial"/>
          <w:sz w:val="18"/>
          <w:szCs w:val="18"/>
          <w:color w:val="auto"/>
        </w:rPr>
        <w:t>, dashboards and reporting which take the true voice of the customer - their direct discussions with a brand, spoken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natural language - and turn it into actionable sales and service intelligence. A major wireless provider using early versions of Conversation Analytics reported the product identifies the root cause of service issues faster than monitoring software, enabling the provider to accelerate the fix and reduce inbound customer inquiries. A leading hospitality firm used Conversation Analytics to identify and add new, top-selling items to its menu selection.</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6"/>
          <w:szCs w:val="16"/>
          <w:b w:val="1"/>
          <w:bCs w:val="1"/>
          <w:color w:val="auto"/>
        </w:rPr>
        <w:t>Intent Manager</w:t>
      </w:r>
      <w:r>
        <w:rPr>
          <w:rFonts w:ascii="Arial" w:cs="Arial" w:eastAsia="Arial" w:hAnsi="Arial"/>
          <w:sz w:val="16"/>
          <w:szCs w:val="16"/>
          <w:color w:val="auto"/>
        </w:rPr>
        <w:t>, a real-time intent recognition and classification engine that analyzes consumer intentions at every turn of the conversation.</w:t>
      </w:r>
      <w:r>
        <w:rPr>
          <w:rFonts w:ascii="Arial" w:cs="Arial" w:eastAsia="Arial" w:hAnsi="Arial"/>
          <w:sz w:val="16"/>
          <w:szCs w:val="16"/>
          <w:b w:val="1"/>
          <w:bCs w:val="1"/>
          <w:color w:val="auto"/>
        </w:rPr>
        <w:t xml:space="preserve"> </w:t>
      </w:r>
      <w:r>
        <w:rPr>
          <w:rFonts w:ascii="Arial" w:cs="Arial" w:eastAsia="Arial" w:hAnsi="Arial"/>
          <w:sz w:val="16"/>
          <w:szCs w:val="16"/>
          <w:color w:val="auto"/>
        </w:rPr>
        <w:t>Intent Manager is powered by LivePerson’s proprietary natural language understanding capabilities and machine learning algorithms, which are grounded in 20+ years of conversational data and more than one billion messaging transcripts across a variety of industries. Intent Manager is currently being used by top brands to gain real-time insights and take action to improve customer service, marketing, and sales automation</w:t>
      </w:r>
    </w:p>
    <w:p>
      <w:pPr>
        <w:spacing w:after="0" w:line="1" w:lineRule="exact"/>
        <w:rPr>
          <w:rFonts w:ascii="Arial" w:cs="Arial" w:eastAsia="Arial" w:hAnsi="Arial"/>
          <w:sz w:val="18"/>
          <w:szCs w:val="18"/>
          <w:color w:val="auto"/>
        </w:rPr>
      </w:pPr>
    </w:p>
    <w:p>
      <w:pPr>
        <w:jc w:val="both"/>
        <w:ind w:left="660" w:hanging="328"/>
        <w:spacing w:after="0" w:line="24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b w:val="1"/>
          <w:bCs w:val="1"/>
          <w:color w:val="auto"/>
        </w:rPr>
        <w:t>Performance Optimizer</w:t>
      </w:r>
      <w:r>
        <w:rPr>
          <w:rFonts w:ascii="Arial" w:cs="Arial" w:eastAsia="Arial" w:hAnsi="Arial"/>
          <w:sz w:val="18"/>
          <w:szCs w:val="18"/>
          <w:color w:val="auto"/>
        </w:rPr>
        <w:t>, a measurement tool to help brands to measure and manage the health of their conversational operations in a single self-service dashboard. Performance Optimizer measures critical metrics for conversational experiences and uses AI to automatically assess performance, provide actionable insights, and deliver executive reporting.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mission of our Professional Services team is to help customers optimize the performance of our products in order to drive incremental value through their mobile and online sales and/or service channel(s). This talented group utilizes their deep domain expertise and years of hands-on experience to provide customers with detailed analyses and measurements of their LivePerson deployment that drive strategies and decisions on how to optimize mobile and online messaging, real-time chat, and bot and AI integration. Deliverables of the team include scorecards that measure and chart performance trends, analyses and recommendations for conversational design, web design and process improvement, transcript reviews to discover both voice of the consumer insight and agent improvement opportunities, custom training of call center agents and management, and ongoing management of messaging programs to ensure alignment with current business practices and objectives. The team’s value-added methodology and approach to guiding customers towards messaging channels and human/bot agent optimization is an important component of the LivePerson offering, and gives our customers a competitive advantage in the digital world. Revenue attributable to professional services accounted for 13%, 14% and 13% of total revenue for the years ended December 31, 2020, 2019 and 2018,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offering</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 Revenue from our Consumer segment accounted for approximately 8% of total revenue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More than 18,000 customers have deployed our business solutions, including Fortune 500 companies, dedicated Internet businesses, a broad range of online merchants, as well as numerous SMBs, automotive dealers, universities, libraries, government agencies and not-for-profit organizations. Our solutions benefit organizations of all sizes conducting business or communicating with consumers through mobile and online messaging and chat. We plan to continue to focus on key target markets: consumer/retail, telecommunications, financial services, travel/hospitality, technology, healthcare and automotive, within the United States and Canada, Latin America, Europe and the Asia-Pacific region.</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single customer accounted for or exceeded 10% of our total revenue in 2020, 2019 or 2018.</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 xml:space="preserve">Sales. </w:t>
      </w:r>
      <w:r>
        <w:rPr>
          <w:rFonts w:ascii="Arial" w:cs="Arial" w:eastAsia="Arial" w:hAnsi="Arial"/>
          <w:sz w:val="17"/>
          <w:szCs w:val="17"/>
          <w:color w:val="auto"/>
        </w:rPr>
        <w:t>We sell our business products and services by leveraging a common methodology through both direct and indirect sales channels.</w:t>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sales process focuses on the perspective that the Conversational Space requires an operational transformation that changes how brands engage with consumers across service, sales, marketing, social and brick and mortar. Brands must adapt their contact centers to an asynchronous messaging environment and leverage a combination of human agents, bots and AI to achieve scale and efficiencies. When done right, the entire consumer lifecycle with a brand will be maintained within the Conversational Space, and traffic will steadily shift away from lower returning voice calls, websites, emails and apps to higher returning messaging endpoints.</w:t>
      </w:r>
    </w:p>
    <w:p>
      <w:pPr>
        <w:spacing w:after="0" w:line="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mobile and online messaging solutions are targeted at business executives whose primary responsibility is optimization of customer care, sales and marketing, or optimizing a consumer’s journey across the brand’s digital properties. Our solutions enable organizations to provide effective customer service, sales and marketing by deflecting costly phone calls and emails to the more cost efficient mobile and online messaging channel. We focus on the value that our solutions deliver in the form of increased agent efficiency, reduced contact center costs, increased customer satisfaction, improved customer lifetime value, maximized digital consumer acquisition, and optimized website and mobile business outcomes. LivePerson supports any organization with a company-wide strategic initiative to improve the overall mobile and online consumer experience.</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Within the business solutions segment we have aligned our field organization to address the different sales strategies of our target markets:</w:t>
      </w:r>
    </w:p>
    <w:p>
      <w:pPr>
        <w:spacing w:after="0" w:line="264" w:lineRule="exact"/>
        <w:rPr>
          <w:sz w:val="20"/>
          <w:szCs w:val="20"/>
          <w:color w:val="auto"/>
        </w:rPr>
      </w:pPr>
    </w:p>
    <w:p>
      <w:pPr>
        <w:jc w:val="both"/>
        <w:ind w:firstLine="207"/>
        <w:spacing w:after="0" w:line="294" w:lineRule="auto"/>
        <w:rPr>
          <w:sz w:val="20"/>
          <w:szCs w:val="20"/>
          <w:color w:val="auto"/>
        </w:rPr>
      </w:pPr>
      <w:r>
        <w:rPr>
          <w:rFonts w:ascii="Arial" w:cs="Arial" w:eastAsia="Arial" w:hAnsi="Arial"/>
          <w:sz w:val="16"/>
          <w:szCs w:val="16"/>
          <w:i w:val="1"/>
          <w:iCs w:val="1"/>
          <w:color w:val="auto"/>
        </w:rPr>
        <w:t xml:space="preserve">Enterprise and large mid-market. </w:t>
      </w:r>
      <w:r>
        <w:rPr>
          <w:rFonts w:ascii="Arial" w:cs="Arial" w:eastAsia="Arial" w:hAnsi="Arial"/>
          <w:sz w:val="16"/>
          <w:szCs w:val="16"/>
          <w:color w:val="auto"/>
        </w:rPr>
        <w:t>We target large mid-market and enterprise businesses with a combination of direct sales and customer success teams,</w:t>
      </w:r>
      <w:r>
        <w:rPr>
          <w:rFonts w:ascii="Arial" w:cs="Arial" w:eastAsia="Arial" w:hAnsi="Arial"/>
          <w:sz w:val="16"/>
          <w:szCs w:val="16"/>
          <w:i w:val="1"/>
          <w:iCs w:val="1"/>
          <w:color w:val="auto"/>
        </w:rPr>
        <w:t xml:space="preserve"> </w:t>
      </w:r>
      <w:r>
        <w:rPr>
          <w:rFonts w:ascii="Arial" w:cs="Arial" w:eastAsia="Arial" w:hAnsi="Arial"/>
          <w:sz w:val="16"/>
          <w:szCs w:val="16"/>
          <w:color w:val="auto"/>
        </w:rPr>
        <w:t>and partners. Across the globe, we are targeting a select group of brands, many of them already customers, that hold the power to transform customer care. These enterprises have thousands of agents in their contact centers and collectively connect with billions of consumers each year. We leverage thought leadership and related events to showcase our strength in messaging and AI, and highlight existing reference customers who share their successes on our</w:t>
      </w:r>
    </w:p>
    <w:p>
      <w:pPr>
        <w:spacing w:after="0" w:line="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platform and how they achieved positive ROIs. Increasingly, we are working with large third-party system integrators, technology providers and business process outsourcers to supplement our direct sales effort.</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our large and more complex customers, our sales methodology often begins with research and discovery meetings that enable us to develop a deep understanding of the value drivers and key performance metrics of a prospective customer. We then present an analytical review detailing how our solutions and industry expertise can affect these value drivers and metrics. Once we validate solution capabilities and prove financial return on investment, we transition to a program management model wherein we work hand-in-hand with the customer, providing detailed analysis, measurements and recommendations that help optimize their performance and ensure ongoing program success.</w:t>
      </w:r>
    </w:p>
    <w:p>
      <w:pPr>
        <w:spacing w:after="0" w:line="20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2018, we introduced a pilot accelerator program, where we offer customers the option to test our entire platform, across all messaging endpoints and customer use cases, at an entry level price point for a period of three to nine months. This pilot program is intended to accelerate sales cycles and enable customers to rapidly assess the potential ROI and differentiation of our solutions before committing to a more substantial and extended deployment.</w:t>
      </w:r>
    </w:p>
    <w:p>
      <w:pPr>
        <w:spacing w:after="0" w:line="47" w:lineRule="exact"/>
        <w:rPr>
          <w:sz w:val="20"/>
          <w:szCs w:val="20"/>
          <w:color w:val="auto"/>
        </w:rPr>
      </w:pPr>
    </w:p>
    <w:p>
      <w:pPr>
        <w:jc w:val="both"/>
        <w:spacing w:after="0" w:line="305" w:lineRule="auto"/>
        <w:rPr>
          <w:sz w:val="20"/>
          <w:szCs w:val="20"/>
          <w:color w:val="auto"/>
        </w:rPr>
      </w:pPr>
      <w:r>
        <w:rPr>
          <w:rFonts w:ascii="Arial" w:cs="Arial" w:eastAsia="Arial" w:hAnsi="Arial"/>
          <w:sz w:val="16"/>
          <w:szCs w:val="16"/>
          <w:i w:val="1"/>
          <w:iCs w:val="1"/>
          <w:color w:val="auto"/>
        </w:rPr>
        <w:t>Small business and small mid-market</w:t>
      </w:r>
      <w:r>
        <w:rPr>
          <w:rFonts w:ascii="Arial" w:cs="Arial" w:eastAsia="Arial" w:hAnsi="Arial"/>
          <w:sz w:val="19"/>
          <w:szCs w:val="19"/>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target small business and small mid-market customers with a mix of direct, online self-service and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channels. Our customer acquisition strategy centers on leveraging customer word-of-mouth, our leading brand name, online marketing and partnerships. We also leverage marketing programs and partner resources to promote increased usage and product adoption within these customers.</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Indirect Sales</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within our organization are focused on developing partnerships to generate revenues via referral partnerships and indirect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channel partners. By maximizing market coverage via partners who provide lead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referrals and complementary products and services, we believe this channel supports revenue opportunities without incurring the costs associated with traditional direct sales.</w:t>
      </w:r>
    </w:p>
    <w:p>
      <w:pPr>
        <w:spacing w:after="0" w:line="6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b w:val="1"/>
          <w:bCs w:val="1"/>
          <w:i w:val="1"/>
          <w:iCs w:val="1"/>
          <w:color w:val="auto"/>
        </w:rPr>
        <w:t xml:space="preserve">Customer Support. </w:t>
      </w:r>
      <w:r>
        <w:rPr>
          <w:rFonts w:ascii="Arial" w:cs="Arial" w:eastAsia="Arial" w:hAnsi="Arial"/>
          <w:sz w:val="18"/>
          <w:szCs w:val="18"/>
          <w:color w:val="auto"/>
        </w:rPr>
        <w:t>Our Professional Services group provides deployment support and ongoing business consulting to enterprise and mid-market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maintains involvement throughout the engagement lifecycle. All LivePerson customers have access to 24/7 help desk services through messaging, chat, and technical support ticketing.</w:t>
      </w:r>
    </w:p>
    <w:p>
      <w:pPr>
        <w:spacing w:after="0" w:line="76" w:lineRule="exact"/>
        <w:rPr>
          <w:sz w:val="20"/>
          <w:szCs w:val="20"/>
          <w:color w:val="auto"/>
        </w:rPr>
      </w:pPr>
    </w:p>
    <w:p>
      <w:pPr>
        <w:jc w:val="both"/>
        <w:ind w:firstLine="693"/>
        <w:spacing w:after="0" w:line="257"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Our marketing efforts in support of our business operations are organized around the needs, trends and characteristics of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prospective customer base. Our deep relationship with existing customers fosters continuous feedback and critical data analysis, thereby allowing us to develop and refine marketing programs that drive adoption across multiple customer segments. We have a global team, spread across key geographies that is focused on marketing our brand, products and services to executives responsible for the digital channel, the consumer experience, marketing, sales, IT, and consumer service operations of their organization.</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main focus is on the consumer/retail, telecommunications, financial services, travel/hospitality, technology, healthcare and automotive industries. Our integrated marketing strategy is focused on driving demand, building customer and consumer advocacy, driving adoption of our platform, and supporting key areas of business, especially large enterprise, but also including mid-sized and small business, partners and international entities. We aim to achieve this by delivering high-touch, small group events for senior executives, to educate them on messaging and the transformational ways that digital communication can help their business. We also market our software via high-level thought leadership campaigns, industry event participation, personalized lead generation campaigns to reach potential and existing customers using mediums such as paid and organic search, direct email and mail, industry- and category-specific trade shows and events, and telemarketing.</w:t>
      </w:r>
    </w:p>
    <w:p>
      <w:pPr>
        <w:spacing w:after="0" w:line="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marketing strategy also encompasses a strategic communications approach that integrates public relations, social media, and analyst/influencer relations. We are focused on using those channels to communicate our brand value, to those key stakeholders, to increase overall brand and technology awareness. Communications seek to highlight key customer success stories, and promote executive thought leadership via contributed content, speaking opportunities and press interviews, to raise LivePerson’s profile and reinforce our position as an industry leader.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markets for mobile and online business messaging, and digital engagement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pricing pressure. If we are unable to accurately anticipate technology developments and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most contact center technology vendors incorrectly view messaging as a feature. They are content with building integrations to a messaging endpoint and offering messaging as just another product in their suite. LivePerson holds the perspective that messaging and AI are the foundation for conversational experiences, which transform how agents operate and how brands engage with consumers across service, sales, marketing,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 and apps to higher returning messaging endpoints.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our differentiated approach to the Conversational Space, combined with our unique technology and expertise, has established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as a market leader, with an ability to deliver superior returns on investment:</w:t>
      </w:r>
    </w:p>
    <w:p>
      <w:pPr>
        <w:spacing w:after="0" w:line="103" w:lineRule="exact"/>
        <w:rPr>
          <w:sz w:val="20"/>
          <w:szCs w:val="20"/>
          <w:color w:val="auto"/>
        </w:rPr>
      </w:pPr>
    </w:p>
    <w:p>
      <w:pPr>
        <w:jc w:val="both"/>
        <w:ind w:left="1060" w:hanging="323"/>
        <w:spacing w:after="0" w:line="253" w:lineRule="auto"/>
        <w:tabs>
          <w:tab w:leader="none" w:pos="10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w:t>
      </w:r>
    </w:p>
    <w:p>
      <w:pPr>
        <w:spacing w:after="0" w:line="1" w:lineRule="exact"/>
        <w:rPr>
          <w:rFonts w:ascii="Arial" w:cs="Arial" w:eastAsia="Arial" w:hAnsi="Arial"/>
          <w:sz w:val="18"/>
          <w:szCs w:val="18"/>
          <w:color w:val="auto"/>
        </w:rPr>
      </w:pPr>
    </w:p>
    <w:p>
      <w:pPr>
        <w:ind w:left="1060" w:hanging="323"/>
        <w:spacing w:after="0" w:line="250" w:lineRule="auto"/>
        <w:tabs>
          <w:tab w:leader="none" w:pos="10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ind w:left="1060" w:hanging="323"/>
        <w:spacing w:after="0" w:line="260" w:lineRule="auto"/>
        <w:tabs>
          <w:tab w:leader="none" w:pos="10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ind w:left="1060" w:hanging="323"/>
        <w:spacing w:after="0" w:line="257" w:lineRule="auto"/>
        <w:tabs>
          <w:tab w:leader="none" w:pos="10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 times inefficient legacy voice, email and chat solutions to modern conversational ones powered by messaging and AI.</w:t>
      </w:r>
    </w:p>
    <w:p>
      <w:pPr>
        <w:spacing w:after="0" w:line="215" w:lineRule="exact"/>
        <w:rPr>
          <w:sz w:val="20"/>
          <w:szCs w:val="20"/>
          <w:color w:val="auto"/>
        </w:rPr>
      </w:pPr>
    </w:p>
    <w:p>
      <w:pPr>
        <w:jc w:val="both"/>
        <w:ind w:firstLine="195"/>
        <w:spacing w:after="0" w:line="263" w:lineRule="auto"/>
        <w:rPr>
          <w:sz w:val="20"/>
          <w:szCs w:val="20"/>
          <w:color w:val="auto"/>
        </w:rPr>
      </w:pPr>
      <w:r>
        <w:rPr>
          <w:rFonts w:ascii="Arial" w:cs="Arial" w:eastAsia="Arial" w:hAnsi="Arial"/>
          <w:sz w:val="18"/>
          <w:szCs w:val="18"/>
          <w:color w:val="auto"/>
        </w:rPr>
        <w:t>We believe this focus on technological innovation, expertise and enterprise-class capabilities is positioning LivePerson as a leader in the Conversational Space. For example, we estimate that LivePerson held an approximate 33% share of Apple Business Chat deployments in 2018, and that the Company at least maintained that position in 2019 and 2020.</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6" w:lineRule="exact"/>
        <w:rPr>
          <w:sz w:val="20"/>
          <w:szCs w:val="20"/>
          <w:color w:val="auto"/>
        </w:rPr>
      </w:pPr>
    </w:p>
    <w:p>
      <w:pPr>
        <w:ind w:left="1100" w:hanging="323"/>
        <w:spacing w:after="0" w:line="258" w:lineRule="auto"/>
        <w:tabs>
          <w:tab w:leader="none" w:pos="10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spacing w:after="0" w:line="1" w:lineRule="exact"/>
        <w:rPr>
          <w:rFonts w:ascii="Arial" w:cs="Arial" w:eastAsia="Arial" w:hAnsi="Arial"/>
          <w:sz w:val="18"/>
          <w:szCs w:val="18"/>
          <w:color w:val="auto"/>
        </w:rPr>
      </w:pPr>
    </w:p>
    <w:p>
      <w:pPr>
        <w:ind w:left="1100" w:hanging="323"/>
        <w:spacing w:after="0" w:line="250" w:lineRule="auto"/>
        <w:tabs>
          <w:tab w:leader="none" w:pos="109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providers that offer basic messaging products or services with limited functionality free of charge or at significantly reduced entry level prices;</w:t>
      </w:r>
    </w:p>
    <w:p>
      <w:pPr>
        <w:jc w:val="both"/>
        <w:ind w:left="1100" w:hanging="323"/>
        <w:spacing w:after="0" w:line="250" w:lineRule="auto"/>
        <w:tabs>
          <w:tab w:leader="none" w:pos="1095" w:val="left"/>
        </w:tabs>
        <w:numPr>
          <w:ilvl w:val="0"/>
          <w:numId w:val="9"/>
        </w:numPr>
        <w:rPr>
          <w:rFonts w:ascii="Arial" w:cs="Arial" w:eastAsia="Arial" w:hAnsi="Arial"/>
          <w:sz w:val="18"/>
          <w:szCs w:val="18"/>
          <w:color w:val="auto"/>
        </w:rPr>
      </w:pPr>
      <w:r>
        <w:rPr>
          <w:rFonts w:ascii="Arial" w:cs="Arial" w:eastAsia="Arial" w:hAnsi="Arial"/>
          <w:sz w:val="18"/>
          <w:szCs w:val="18"/>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business-to-business solutions; and</w:t>
      </w:r>
    </w:p>
    <w:p>
      <w:pPr>
        <w:spacing w:after="0" w:line="1" w:lineRule="exact"/>
        <w:rPr>
          <w:rFonts w:ascii="Arial" w:cs="Arial" w:eastAsia="Arial" w:hAnsi="Arial"/>
          <w:sz w:val="18"/>
          <w:szCs w:val="18"/>
          <w:color w:val="auto"/>
        </w:rPr>
      </w:pPr>
    </w:p>
    <w:p>
      <w:pPr>
        <w:ind w:left="1100" w:hanging="32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customers that develop and manage their messaging solutions in-house.</w:t>
      </w:r>
    </w:p>
    <w:p>
      <w:pPr>
        <w:spacing w:after="0" w:line="251" w:lineRule="exact"/>
        <w:rPr>
          <w:sz w:val="20"/>
          <w:szCs w:val="20"/>
          <w:color w:val="auto"/>
        </w:rPr>
      </w:pPr>
    </w:p>
    <w:p>
      <w:pPr>
        <w:jc w:val="both"/>
        <w:ind w:firstLine="262"/>
        <w:spacing w:after="0" w:line="308"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w:t>
      </w:r>
    </w:p>
    <w:p>
      <w:pPr>
        <w:jc w:val="both"/>
        <w:spacing w:after="0" w:line="257" w:lineRule="auto"/>
        <w:rPr>
          <w:sz w:val="20"/>
          <w:szCs w:val="20"/>
          <w:color w:val="auto"/>
        </w:rPr>
      </w:pPr>
      <w:r>
        <w:rPr>
          <w:rFonts w:ascii="Arial" w:cs="Arial" w:eastAsia="Arial" w:hAnsi="Arial"/>
          <w:sz w:val="18"/>
          <w:szCs w:val="18"/>
          <w:color w:val="auto"/>
        </w:rPr>
        <w:t>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 key technological features distinguish the LivePerson services:</w:t>
      </w:r>
    </w:p>
    <w:p>
      <w:pPr>
        <w:spacing w:after="0" w:line="117" w:lineRule="exact"/>
        <w:rPr>
          <w:sz w:val="20"/>
          <w:szCs w:val="20"/>
          <w:color w:val="auto"/>
        </w:rPr>
      </w:pPr>
    </w:p>
    <w:p>
      <w:pPr>
        <w:jc w:val="both"/>
        <w:ind w:left="1300" w:hanging="320"/>
        <w:spacing w:after="0" w:line="266" w:lineRule="auto"/>
        <w:tabs>
          <w:tab w:leader="none" w:pos="12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support our customers through a secure, scalable server infrastructure. In North America, our primary servers are hosted in a fully-secured, top-tier, third-party server center located in the Mid-Atlantic United States, and are supported by a top-tier backup server facility located in the Western United States. In Europe, our primary servers are hosted in a fully-secured, top-tier, third-party server center located in the United Kingdom and are supported by a top-tier backup server facility located in The Netherlands. In the Asia Pacific region, our primary and backup servers are hosted in fully-secured, top-tier, third-party server centers located in Australia. Nearly all of our larger customers outside of the United States are hosted within our UK- and Australia-based facilities. By managing our servers directly, we maintain greater flexibility and control over the production environment allowing us to be responsive to customer needs and to continue to provide a superior level of service. Utilizing advanced network infrastructure and protocols, our network, hardware and software are designed to accommodate our customers’ demand for secure, high-quality 24/7 service, including during peak times such as the holiday shopping season.</w:t>
      </w:r>
    </w:p>
    <w:p>
      <w:pPr>
        <w:spacing w:after="0" w:line="7" w:lineRule="exact"/>
        <w:rPr>
          <w:rFonts w:ascii="Arial" w:cs="Arial" w:eastAsia="Arial" w:hAnsi="Arial"/>
          <w:sz w:val="17"/>
          <w:szCs w:val="17"/>
          <w:color w:val="auto"/>
        </w:rPr>
      </w:pPr>
    </w:p>
    <w:p>
      <w:pPr>
        <w:jc w:val="both"/>
        <w:ind w:left="1300" w:hanging="320"/>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spacing w:after="0" w:line="1" w:lineRule="exact"/>
        <w:rPr>
          <w:rFonts w:ascii="Arial" w:cs="Arial" w:eastAsia="Arial" w:hAnsi="Arial"/>
          <w:sz w:val="18"/>
          <w:szCs w:val="18"/>
          <w:color w:val="auto"/>
        </w:rPr>
      </w:pPr>
    </w:p>
    <w:p>
      <w:pPr>
        <w:ind w:left="1300" w:hanging="320"/>
        <w:spacing w:after="0" w:line="281" w:lineRule="auto"/>
        <w:tabs>
          <w:tab w:leader="none" w:pos="13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a SaaS provider, we focus on the development of tightly integrated software design and network architecture. We dedicate significant resources to designing our software and network architecture based on the fundamental principles of security, reliability and scalability.</w:t>
      </w:r>
    </w:p>
    <w:p>
      <w:pPr>
        <w:spacing w:after="0" w:line="1" w:lineRule="exact"/>
        <w:rPr>
          <w:rFonts w:ascii="Arial" w:cs="Arial" w:eastAsia="Arial" w:hAnsi="Arial"/>
          <w:sz w:val="16"/>
          <w:szCs w:val="16"/>
          <w:color w:val="auto"/>
        </w:rPr>
      </w:pPr>
    </w:p>
    <w:p>
      <w:pPr>
        <w:ind w:left="1300" w:right="240" w:hanging="320"/>
        <w:spacing w:after="0" w:line="238"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LivePerson’s powerful Conversational AI is powered by over 20 years of proprietary, verbatim conversation data that the company has accumulated helping thousands of clients, including the world’s largest brands, message with consumers at scale. The strength of the company’s Conversational AI can also be attributed to the company’s laser focus on brand-consumer conversations. Unlike other AIs, which are applied to wide-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left="1300" w:right="420"/>
        <w:spacing w:after="0" w:line="261" w:lineRule="auto"/>
        <w:rPr>
          <w:sz w:val="20"/>
          <w:szCs w:val="20"/>
          <w:color w:val="auto"/>
        </w:rPr>
      </w:pPr>
      <w:r>
        <w:rPr>
          <w:rFonts w:ascii="Arial" w:cs="Arial" w:eastAsia="Arial" w:hAnsi="Arial"/>
          <w:sz w:val="18"/>
          <w:szCs w:val="18"/>
          <w:color w:val="auto"/>
        </w:rPr>
        <w:t>ranging and unrelated use cases, LivePerson’s AI has been built specifically to power conversations between brands and consumers, giving it the edge in understanding consumer intents and the resolutions that best satisfy them.</w:t>
      </w:r>
    </w:p>
    <w:p>
      <w:pPr>
        <w:spacing w:after="0" w:line="279"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b w:val="1"/>
          <w:bCs w:val="1"/>
          <w:i w:val="1"/>
          <w:iCs w:val="1"/>
          <w:color w:val="auto"/>
        </w:rPr>
        <w:t xml:space="preserve">Software Design. </w:t>
      </w:r>
      <w:r>
        <w:rPr>
          <w:rFonts w:ascii="Arial" w:cs="Arial" w:eastAsia="Arial" w:hAnsi="Arial"/>
          <w:sz w:val="18"/>
          <w:szCs w:val="18"/>
          <w:color w:val="auto"/>
        </w:rPr>
        <w:t>Our software design is based on client-server architecture. Since we are a SaaS provider, Conversational Cloud customers and visitors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customers’ websites require only a standard Web browser and do not need to download software from LivePerson in order to interact with our customers’ operators or to use the LivePerson services. We also provide APIs that enable our customers and third-parties to integrate the Conversational Cloud with custom designed applications.</w:t>
      </w:r>
    </w:p>
    <w:p>
      <w:pPr>
        <w:spacing w:after="0" w:line="79" w:lineRule="exact"/>
        <w:rPr>
          <w:sz w:val="20"/>
          <w:szCs w:val="20"/>
          <w:color w:val="auto"/>
        </w:rPr>
      </w:pPr>
    </w:p>
    <w:p>
      <w:pPr>
        <w:jc w:val="both"/>
        <w:ind w:firstLine="265"/>
        <w:spacing w:after="0" w:line="254" w:lineRule="auto"/>
        <w:rPr>
          <w:sz w:val="20"/>
          <w:szCs w:val="20"/>
          <w:color w:val="auto"/>
        </w:rPr>
      </w:pPr>
      <w:r>
        <w:rPr>
          <w:rFonts w:ascii="Arial" w:cs="Arial" w:eastAsia="Arial" w:hAnsi="Arial"/>
          <w:sz w:val="18"/>
          <w:szCs w:val="18"/>
          <w:b w:val="1"/>
          <w:bCs w:val="1"/>
          <w:i w:val="1"/>
          <w:iCs w:val="1"/>
          <w:color w:val="auto"/>
        </w:rPr>
        <w:t xml:space="preserve">Network Architecture. </w:t>
      </w:r>
      <w:r>
        <w:rPr>
          <w:rFonts w:ascii="Arial" w:cs="Arial" w:eastAsia="Arial" w:hAnsi="Arial"/>
          <w:sz w:val="18"/>
          <w:szCs w:val="18"/>
          <w:color w:val="auto"/>
        </w:rPr>
        <w:t>The software underlying our services is integrated with scalable and reliable network architecture. Our network is scalable;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not need to add new hardware or network capacity for each new LivePerson customer. This network architecture is hosted in co-location facilities with redundant network connections, servers and other infrastructure, enabling superior availability. Our backup server infrastructure housed at separate locations provides our primary hosting facilities with effective disaster recovery capability. We comply with security standards such as SOC2 and PCI. For increased security, through a multi-layered approach, we use advanced firewall architecture and industry-leading encryption standards and employ third-party experts to further validate our systems’ security. We also enable our customers to further encrypt their sensitive data using more advanced encryption algorithms.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and our customers are subject to a number of laws and regulations in the United States and abroad, including laws related to conducting business on the Internet and on mobile devices, such as laws regarding data privacy, data protection, information security, cybersecurity, restrictions or technological requirements regarding the collection, use, storage, protection, disposal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U.S. and international privacy laws and regulations are evolving and changing, are subject to differing interpretations, may be costly to comply</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and data protection,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investigations, and legislative proposals and enactments could harm our reputation or otherwise impact the growth of our business.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protect proprietary rights as fully as do the laws of the United States or where enforcement of laws protecting proprietary rights is not common or effective.</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Substantial litigation regarding intellectual property rights exists in the software industry. In the ordinary course of our business, our services and/or our customers' use of our services have been and may be increasingly subject to third-party infringement claims as claims by non-practicing entities become more prevalent and as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develop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As a leading provider of conversational solutions, we are at the forefront of a consumer-led shift to Conversational AI, and our Conversational Cloud is setting the industry standard for this future. As a result of these efforts, LivePerson was named to </w:t>
      </w:r>
      <w:r>
        <w:rPr>
          <w:rFonts w:ascii="Arial" w:cs="Arial" w:eastAsia="Arial" w:hAnsi="Arial"/>
          <w:sz w:val="18"/>
          <w:szCs w:val="18"/>
          <w:i w:val="1"/>
          <w:iCs w:val="1"/>
          <w:color w:val="auto"/>
        </w:rPr>
        <w:t>Fast Company’s</w:t>
      </w:r>
      <w:r>
        <w:rPr>
          <w:rFonts w:ascii="Arial" w:cs="Arial" w:eastAsia="Arial" w:hAnsi="Arial"/>
          <w:sz w:val="18"/>
          <w:szCs w:val="18"/>
          <w:color w:val="auto"/>
        </w:rPr>
        <w:t xml:space="preserve"> annual list of the World’s Ten Most Innovative Artificial Intelligence Companies of 2020. Our employees understand that they are critical to our mission of making life easier for people and brands everywhere through trusted Conversational AI. We will continue to invest in the diversity, inclusiveness, health and happiness of our employees in order to foster creativity, productivity and growth.</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As of December 31, 2020, we had 1,201 full-time employees worldwide, located in more than 12 countries. Of these, 603 were located in the Americas, 502 in Europe, Middle East and Africa and 96 in Asia-Pacific. Although we have statutory employee representation obligations in certain countries, our U.S. employees are not covered by collective bargaining arrangements. We believe we have good relations with our employees. For 2020, our key human capital management efforts focused on the following: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and Development</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place a high priority on attracting, recruiting, developing and retaining diverse global talent. As a company, we are focused on benefits and programs that support our employees across the entire employee lifecycle, from recruitment and onboarding, to well-being, learning and development. Our recruiting processes are designed to ensure that we bring on employees who are aligned to our values and culture, and we follow a comprehensive process in order to solicit multiple perspectives and eliminate bias. In 2020, we scaled and expanded an internal program to train employees to become objective “hiring experts” and to reduce unconscious bias in the hiring process. We also launched a new virtual onboarding and orientation program for new hires globally, which includes a multi-day immersion into our principles and team building exercises.</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2020, we also launched a “LivePerson AI Native” program, a four week seminar style cohort program to ensure LivePerson employees understand the foundation of AI and how AI is transforming industries and society. The program also features monthly external AI speakers and a monthly podcast series showcasing internal product leaders and AI specialists. Approximately 25% of employees earned LivePerson AI Native certificates during 2020, and we plan to expand the program during 2021 due to continuing employee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23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Diversity, equity and inclusion (“DEI”) is core to our global strategy. We believe that diverse and inclusive teams foster innovation, creativity and productivity. We have invested resources in this area for some time, and will continue to enhance and improve our efforts. For example, we required all employees hired for recruiting roles in 2020 to have demonstrated previous DEI recruiting experience. We also began working with two diversity recruiting platforms, intentionally diversified our interview panels, and recalibrated our job description templates to focus more heavily on inclusivity.</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are committed to fostering a diverse and inclusive workplace that celebrates different perspectives, cultures and experiences. We regularly measure the representation of women and minority groups in the company, including in leadership and technical positions, and will continue our ongoing efforts to increase hiring of employees from these groups. We are committed to equal pay for equal work. As part of that commitment, we run a pay equity analysis when we conduct our annual compensation assessments and when we grant equity.</w:t>
      </w:r>
    </w:p>
    <w:p>
      <w:pPr>
        <w:spacing w:after="0" w:line="21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During 2020, we launched an employee-led diversity council empowered to drive global programs focused on DEI as well as to support independent employee resource groups and help ensure the diversity of teams and projects within our company. We have launched several employee-led DEI programs under this umbrella in 2020, including a Women in Technology (WiT) program, a peer mentoring program that we plan to scale in 2021, and multiple thought leadership programs and seminars devoted to DEI topics.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Wellness and COVID-19 Response</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We remain focused on programs that promote the total wellness of our employees, including resources and services to support physical, mental and financial wellness. We offer industry-leading benefits packages based on the diverse needs of our employees and their families, including comprehensive healthcare, accident insurance, a 401(k) plan, an employee stock purchase program, and time off programs. We work hard to ensure that our employees are aware of and take advantage of these opportunities, and we review our programs annually to ensure they remain competitive.</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This was particularly important during the COVID-19 pandemic, where we proactively prioritized the safety and health of our employees. Before local health experts suggested shelter in place initiatives, we began to limit business travel and encourage all employees to work remotely. We went on to adopt a company policy for all employees to work from home and closed virtually all of our offices (including our corporate headquarters). Since transitioning to a remote work environment, we established multiple employee-led committees to design future of work programs and launched two surveys to gather employee feedback. Based on survey results from over 75% of our global workforce, we identified key themes and opportunities for enhancement, and we have already implemented several employee recommendations.</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also provided opportunities for virtual peer connection, virtual learning, and enhanced emotional well being benefits and programs, along with flexible work arrangements to ensure our employees have the resources they need to care for themselves and their families. We will continue to offer time away, wellness and caregiving leave and financial support and reimbursement for work from home equipment to foster a healthy and happy workforce and community with support for productive remote workspaces.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We make available, free of charge, on our website ( </w:t>
      </w:r>
      <w:r>
        <w:rPr>
          <w:rFonts w:ascii="Arial" w:cs="Arial" w:eastAsia="Arial" w:hAnsi="Arial"/>
          <w:sz w:val="16"/>
          <w:szCs w:val="16"/>
          <w:i w:val="1"/>
          <w:iCs w:val="1"/>
          <w:color w:val="auto"/>
        </w:rPr>
        <w:t>www.liveperson.com</w:t>
      </w:r>
      <w:r>
        <w:rPr>
          <w:rFonts w:ascii="Arial" w:cs="Arial" w:eastAsia="Arial" w:hAnsi="Arial"/>
          <w:sz w:val="16"/>
          <w:szCs w:val="16"/>
          <w:color w:val="auto"/>
        </w:rPr>
        <w:t xml:space="preserve"> ), our annual reports on Form 10-K, our quarterly reports on Form 10-Q and our current reports on Form 8-K and amendments to those reports filed or furnished pursuant to Sections 13(a) or 15(d) of the Securities Exchange Act of 1934 as soon as reasonably practicable after we have electronically filed such material with, or furnished it to, the Securities and Exchange Commission.</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The Company’s web site address provided above is not intended to function as a hyperlink, and the information on the Company’s web site is not and should not be considered part of this Annual Report on Form 10-K and is not incorporated by reference herein. </w:t>
      </w:r>
      <w:r>
        <w:rPr>
          <w:rFonts w:ascii="Arial" w:cs="Arial" w:eastAsia="Arial" w:hAnsi="Arial"/>
          <w:sz w:val="17"/>
          <w:szCs w:val="17"/>
          <w:color w:val="auto"/>
        </w:rPr>
        <w:t>The SEC maintains an Internet site that</w:t>
      </w:r>
      <w:r>
        <w:rPr>
          <w:rFonts w:ascii="Arial" w:cs="Arial" w:eastAsia="Arial" w:hAnsi="Arial"/>
          <w:sz w:val="17"/>
          <w:szCs w:val="17"/>
          <w:i w:val="1"/>
          <w:iCs w:val="1"/>
          <w:color w:val="auto"/>
        </w:rPr>
        <w:t xml:space="preserve"> </w:t>
      </w:r>
      <w:r>
        <w:rPr>
          <w:rFonts w:ascii="Arial" w:cs="Arial" w:eastAsia="Arial" w:hAnsi="Arial"/>
          <w:sz w:val="17"/>
          <w:szCs w:val="17"/>
          <w:color w:val="auto"/>
        </w:rPr>
        <w:t>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are certain of the important risk factors that could cause, or contribute to causing, our actual operating results to differ materially from those indicated, expected or suggested by forward-looking statements made in this Annual Report on Form 10-K or presented elsewhere by management from time to time. The risks described below are not the only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color w:val="auto"/>
        </w:rPr>
        <w:t>ones we face. Additional risks not presently known to us, or that we currently deem to be immaterial, could also materially and adversely affect our business, results of operations, financial condition, cash flows, prospects and/or the price of our outstanding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right="2060"/>
        <w:spacing w:after="0" w:line="259" w:lineRule="auto"/>
        <w:rPr>
          <w:sz w:val="20"/>
          <w:szCs w:val="20"/>
          <w:color w:val="auto"/>
        </w:rPr>
      </w:pPr>
      <w:r>
        <w:rPr>
          <w:rFonts w:ascii="Arial" w:cs="Arial" w:eastAsia="Arial" w:hAnsi="Arial"/>
          <w:sz w:val="18"/>
          <w:szCs w:val="18"/>
          <w:i w:val="1"/>
          <w:iCs w:val="1"/>
          <w:color w:val="auto"/>
        </w:rPr>
        <w:t>The following is a summary of the principal risks and uncertainties that could materially adversely affect our business, results of operations, financial condition, cash flows, prospects and/or the price of our outstanding securities, and make an investment in our securities speculative or risky. You should read this summary together with the more detailed description of each risk factor contained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Operating our Business</w:t>
      </w:r>
    </w:p>
    <w:p>
      <w:pPr>
        <w:spacing w:after="0" w:line="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depends significantly on our ability to retain our key personnel, attract new personnel, and manage attrition.</w:t>
      </w:r>
    </w:p>
    <w:p>
      <w:pPr>
        <w:ind w:left="660" w:right="20" w:hanging="328"/>
        <w:spacing w:after="0" w:line="23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our existing and growing customer base could strain our personnel resources and infrastructure, and if we are unable to scale our operations and increase productivity, we may not be able to successfully implement our business plan.</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our business depends on retention of existing customers and their purchase of additional services, and attracting new customers and new consumer users of our consumer services.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expansion into new products, services and technologies could subject us to additional risks.</w:t>
      </w:r>
    </w:p>
    <w:p>
      <w:pPr>
        <w:ind w:left="660" w:hanging="328"/>
        <w:spacing w:after="0" w:line="23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 public health issues, and specifically the pandemic caused by the spread of COVID-19, could have a material adverse impact on our business, results of operations, financial condition, cash flows, prospects and/or the price of our outstanding securities.</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do not successfully integrate past or potential future acquisitions, we may not realize the expected business or financial benefits and our business could be adversely impacted.</w:t>
      </w:r>
    </w:p>
    <w:p>
      <w:pPr>
        <w:spacing w:after="0" w:line="1" w:lineRule="exact"/>
        <w:rPr>
          <w:rFonts w:ascii="Arial" w:cs="Arial" w:eastAsia="Arial" w:hAnsi="Arial"/>
          <w:sz w:val="18"/>
          <w:szCs w:val="18"/>
          <w:color w:val="auto"/>
        </w:rPr>
      </w:pPr>
    </w:p>
    <w:p>
      <w:pPr>
        <w:ind w:left="660" w:right="20" w:hanging="328"/>
        <w:spacing w:after="0" w:line="24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needs necessary to execute our business strategy could increase substantially and we may not be able to secure additional financing to execute this strategy.</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6"/>
          <w:szCs w:val="16"/>
          <w:color w:val="auto"/>
        </w:rPr>
        <w:t>Our sales cycles can be lengthy, and the timing of sales can be difficult to predict, which may cause our operating results to vary significantly.</w:t>
      </w:r>
    </w:p>
    <w:p>
      <w:pPr>
        <w:spacing w:after="0" w:line="10" w:lineRule="exact"/>
        <w:rPr>
          <w:rFonts w:ascii="Arial" w:cs="Arial" w:eastAsia="Arial" w:hAnsi="Arial"/>
          <w:sz w:val="18"/>
          <w:szCs w:val="18"/>
          <w:color w:val="auto"/>
        </w:rPr>
      </w:pPr>
    </w:p>
    <w:p>
      <w:pPr>
        <w:ind w:left="640" w:hanging="308"/>
        <w:spacing w:after="0" w:line="223"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Delays in our implementation cycles could have an adverse effect on our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Condition and Operating Results</w:t>
      </w:r>
    </w:p>
    <w:p>
      <w:pPr>
        <w:spacing w:after="0" w:line="12" w:lineRule="exact"/>
        <w:rPr>
          <w:sz w:val="20"/>
          <w:szCs w:val="20"/>
          <w:color w:val="auto"/>
        </w:rPr>
      </w:pPr>
    </w:p>
    <w:p>
      <w:pPr>
        <w:ind w:left="660"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revenue and operating results may fluctuate significantly, which may cause a substantial decline in the trading price of our securities.</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past we have experienced losses, we had an accumulated deficit of $391.9 million as of December 31, 2020 and we may incur losses in the future.</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non-payment or late payment of amounts due to us from a significant number of customers may negatively impact our financial condition or make it difficult to forecast our revenues accurately.</w:t>
      </w:r>
    </w:p>
    <w:p>
      <w:pPr>
        <w:spacing w:after="0" w:line="1"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we recognize revenue from subscriptions for our service over the term of the subscription, declines in business may not be immediately reflected in our operating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Industry Dynamics and Competition</w:t>
      </w:r>
    </w:p>
    <w:p>
      <w:pPr>
        <w:spacing w:after="0" w:line="12" w:lineRule="exact"/>
        <w:rPr>
          <w:sz w:val="20"/>
          <w:szCs w:val="20"/>
          <w:color w:val="auto"/>
        </w:rPr>
      </w:pPr>
    </w:p>
    <w:p>
      <w:pPr>
        <w:ind w:left="660" w:hanging="328"/>
        <w:spacing w:after="0" w:line="23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develop and maintain successful relationships with social media and other third-party consumer messaging platforms and endpoints, our business, results of operations and financial condition could be adversely affected.</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effectively operate on mobile devices, our business could be adversely affected.</w:t>
      </w:r>
    </w:p>
    <w:p>
      <w:pPr>
        <w:ind w:left="660" w:hanging="328"/>
        <w:spacing w:after="0" w:line="23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markets in which we participate are highly competitive, and we may lose customers and revenue if we are not able to innovate or effectively compete.</w:t>
      </w:r>
    </w:p>
    <w:p>
      <w:pPr>
        <w:spacing w:after="0" w:line="1" w:lineRule="exact"/>
        <w:rPr>
          <w:rFonts w:ascii="Arial" w:cs="Arial" w:eastAsia="Arial" w:hAnsi="Arial"/>
          <w:sz w:val="18"/>
          <w:szCs w:val="18"/>
          <w:color w:val="auto"/>
        </w:rPr>
      </w:pPr>
    </w:p>
    <w:p>
      <w:pPr>
        <w:ind w:left="660" w:right="20" w:hanging="328"/>
        <w:spacing w:after="0" w:line="24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Downturns in the global economic environment or in particular industries in which our sales are concentrated may adversely affect our business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Security Vulnerabilities and Service Reliability</w:t>
      </w:r>
    </w:p>
    <w:p>
      <w:pPr>
        <w:spacing w:after="0" w:line="12" w:lineRule="exact"/>
        <w:rPr>
          <w:sz w:val="20"/>
          <w:szCs w:val="20"/>
          <w:color w:val="auto"/>
        </w:rPr>
      </w:pPr>
    </w:p>
    <w:p>
      <w:pPr>
        <w:ind w:left="660" w:right="20" w:hanging="328"/>
        <w:spacing w:after="0" w:line="23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Failures or security breaches in our services or systems, those of our third party service providers, or in the websites of our customers, including those resulting from cyber-attacks, security vulnerabilities, defects or errors, could harm our business.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liable if third parties access or misappropriate confidential or personal data from our systems or services.</w:t>
      </w:r>
    </w:p>
    <w:p>
      <w:pPr>
        <w:ind w:left="660" w:hanging="328"/>
        <w:spacing w:after="0" w:line="24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provide service level commitments to certain customers. If we do not meet these contractual commitments, we could be obligated to provide credits or refunds or face contract terminations, which could adversely affect our revenue and harm our reputation.</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dependent on technology systems and third-party content that are beyond our control.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license necessary third party software for use in our products and services, or failure to successfully integrate third party software, could cause delays or reductions in our sales, or errors or failures of our service.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Regulatory and Data Privacy Issues</w:t>
      </w:r>
    </w:p>
    <w:p>
      <w:pPr>
        <w:spacing w:after="0" w:line="12" w:lineRule="exact"/>
        <w:rPr>
          <w:sz w:val="20"/>
          <w:szCs w:val="20"/>
          <w:color w:val="auto"/>
        </w:rPr>
      </w:pPr>
    </w:p>
    <w:p>
      <w:pPr>
        <w:jc w:val="both"/>
        <w:ind w:left="660"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w:t>
      </w:r>
    </w:p>
    <w:p>
      <w:pPr>
        <w:spacing w:after="0" w:line="2"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Industry-specific regulation is evolving and unfavorable industry-specific laws, regulations or interpretive positions could harm our business.</w:t>
      </w:r>
    </w:p>
    <w:p>
      <w:pPr>
        <w:spacing w:after="0" w:line="7" w:lineRule="exact"/>
        <w:rPr>
          <w:rFonts w:ascii="Arial" w:cs="Arial" w:eastAsia="Arial" w:hAnsi="Arial"/>
          <w:sz w:val="17"/>
          <w:szCs w:val="17"/>
          <w:color w:val="auto"/>
        </w:rPr>
      </w:pPr>
    </w:p>
    <w:p>
      <w:pPr>
        <w:ind w:left="660" w:hanging="328"/>
        <w:spacing w:after="0" w:line="24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regulation of the Internet or mobile devices may slow our growth, resulting in decreased demand for our services and increased costs of doing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12" w:lineRule="exact"/>
        <w:rPr>
          <w:sz w:val="20"/>
          <w:szCs w:val="20"/>
          <w:color w:val="auto"/>
        </w:rPr>
      </w:pPr>
    </w:p>
    <w:p>
      <w:pPr>
        <w:ind w:left="660" w:right="2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products and services may infringe upon intellectual property rights of third parties and any infringement could require us to incur substantial costs and may distract our management.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and prospects would suffer if we are unable to protect and enforce our intellectual property rights.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in the use of AI in our product offerings may result in reputational harm or liability.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International Operations and Tax Issues</w:t>
      </w:r>
    </w:p>
    <w:p>
      <w:pPr>
        <w:spacing w:after="0" w:line="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results of operations may be adversely impacted due to our exposure to foreign currency exchange rate fluctuations.</w:t>
      </w:r>
    </w:p>
    <w:p>
      <w:pPr>
        <w:ind w:left="660" w:hanging="328"/>
        <w:spacing w:after="0" w:line="24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spacing w:after="0" w:line="1" w:lineRule="exact"/>
        <w:rPr>
          <w:rFonts w:ascii="Arial" w:cs="Arial" w:eastAsia="Arial" w:hAnsi="Arial"/>
          <w:sz w:val="17"/>
          <w:szCs w:val="17"/>
          <w:color w:val="auto"/>
        </w:rPr>
      </w:pPr>
    </w:p>
    <w:p>
      <w:pPr>
        <w:ind w:left="660" w:hanging="328"/>
        <w:spacing w:after="0" w:line="23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operations may expose us to greater than anticipated income, non-income and transactional tax liabilities, which could harm our financial condition and results of operations.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use our net operating losses to offset future taxable income may be subject to certain limitations.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economic and military conditions in Israel could negatively impact our Israeli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Outstanding Convertible Notes</w:t>
      </w:r>
    </w:p>
    <w:p>
      <w:pPr>
        <w:spacing w:after="0" w:line="1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Servicing our debt may require a significant amount of cash, and we may not have sufficient cash flow from our business to pay our indebtedness.</w:t>
      </w:r>
    </w:p>
    <w:p>
      <w:pPr>
        <w:spacing w:after="0" w:line="18" w:lineRule="exact"/>
        <w:rPr>
          <w:rFonts w:ascii="Arial" w:cs="Arial" w:eastAsia="Arial" w:hAnsi="Arial"/>
          <w:sz w:val="16"/>
          <w:szCs w:val="16"/>
          <w:color w:val="auto"/>
        </w:rPr>
      </w:pPr>
    </w:p>
    <w:p>
      <w:pPr>
        <w:ind w:left="660" w:hanging="328"/>
        <w:spacing w:after="0" w:line="24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have the ability to raise the funds necessary to settle conversions of the Notes in cash or to repurchase the Notes upon a fundamental change, and any future debt may contain limitations on our ability to pay cash upon conversion or repurchase of the Notes.</w:t>
      </w:r>
    </w:p>
    <w:p>
      <w:pPr>
        <w:spacing w:after="0" w:line="1"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in the indentures for the Notes may deter or prevent a business combination that may be favorable to you.</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conditional conversion feature of the Notes, if triggered, may adversely affect our financial condition and operating results.</w:t>
      </w:r>
    </w:p>
    <w:p>
      <w:pPr>
        <w:ind w:left="660" w:hanging="328"/>
        <w:spacing w:after="0" w:line="23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accounting method for convertible debt securities that may be settled in cash, such as the Notes, could have a material effect on our reported financial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capped call transactions may affect the value of the Notes and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stock price has been, and may continue to be, highly volatile, which could reduce the value of your investment and subject us to litigation.</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common stock is traded on more than one market and this may result in price variations.</w:t>
      </w:r>
    </w:p>
    <w:p>
      <w:pPr>
        <w:ind w:left="660" w:hanging="328"/>
        <w:spacing w:after="0" w:line="23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our officers, directors and largest stockholders choose to act together, they may be able to significantly influence our management and operations, acting in their own best interest and not necessarily those of our other stockholders.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sales of substantial amounts of our common stock may negatively affect our stock price.</w:t>
      </w: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Provisions in our charter documents and Delaware law could discourage, delay or prevent a takeover that stockholders may consider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left="4400"/>
        <w:spacing w:after="0"/>
        <w:rPr>
          <w:sz w:val="20"/>
          <w:szCs w:val="20"/>
          <w:color w:val="auto"/>
        </w:rPr>
      </w:pPr>
      <w:r>
        <w:rPr>
          <w:rFonts w:ascii="Arial" w:cs="Arial" w:eastAsia="Arial" w:hAnsi="Arial"/>
          <w:sz w:val="18"/>
          <w:szCs w:val="18"/>
          <w:b w:val="1"/>
          <w:bCs w:val="1"/>
          <w:color w:val="auto"/>
        </w:rPr>
        <w:t>Risks Related to Operating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significantly on our ability to retain our key personnel, attract new personnel, and manage attrition.</w:t>
      </w:r>
    </w:p>
    <w:p>
      <w:pPr>
        <w:spacing w:after="0" w:line="2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success depends largely on the continued services of our senior management team.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harm our ability to release new products and services and upgrade existing products and services on a timely basis, and put us at a competitive disadvantage.</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the technology industry, there is substantial competition for key personnel, including skilled engineers, sales executives and operations personnel. We may not be able to successfully recruit, integrate and retain qualified personnel in the future, which could impact our ability to innovate and deliver new or updated products to our customers, which could harm our business. Among other things, our decision to close virtually all of our offices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following the onset of the COVID-19 pandemic may make it harder for us to recruit and retain our personnel. If our retention and recruitment efforts are ineffective, employee turnover could increase and our ability to provide services to our customers would be materially and adversely affected. Furthermore, the requirement to expense stock options may discourage us from granting the size or type of stock option awards that job candidates may require in order to join our company.</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we may not be able to outsource certain functions. 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Supporting our existing and growing customer base could strain our personnel resources and infrastructure, and if we are unable to scale our operations and increase productivity, we may not be able to successfully implement our business plan.</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continue to experience significant growth in our customer base and personnel, which has placed a strain on our management, administrative, operational and financial infrastructure. We anticipate that additional investments in our internal infrastructure, data center capacity, research, customer support and development, and real estate spending will be required to scale our operations and increase productivity, to address the needs of our customers, to further develop and enhance our services, to expand into new geographic areas, and to scale with our overall growth. We may also need to make additional investments with third party outsourcing providers, such our announced plans to work with Infosys to move our technology infrastructure to the public cloud. The additional investments we are making will increase our cost base, which will make it more difficult for us to offset any future revenue shortfalls by reducing expenses in the short term, and there is no guarantee that they will be successful or meet our customers’ needs.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regularly upgrade or replace our various software systems. If the implementations of these new applications are delayed, or if we encounter unforeseen problems with our new systems or in migrating away from our existing applications and systems, our operations and our ability to manage our business could be negatively impacted.</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success will depend in part upon the ability of our senior management to manage our projected growth effectively. To do so, we must continue to increase the productivity of our existing employees and to hire, train and manage new employees as needed.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our operations and increase productivity, we may be unable to execute our business plan and the market price of our securities could decline.</w:t>
      </w:r>
    </w:p>
    <w:p>
      <w:pPr>
        <w:spacing w:after="0" w:line="20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The success of our business depends on retention of existing customers and their purchase of additional services, and attracting new customers and new consumer users of our consumer services.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ind w:firstLine="648"/>
        <w:spacing w:after="0" w:line="275" w:lineRule="auto"/>
        <w:rPr>
          <w:sz w:val="20"/>
          <w:szCs w:val="20"/>
          <w:color w:val="auto"/>
        </w:rPr>
      </w:pPr>
      <w:r>
        <w:rPr>
          <w:rFonts w:ascii="Arial" w:cs="Arial" w:eastAsia="Arial" w:hAnsi="Arial"/>
          <w:sz w:val="17"/>
          <w:szCs w:val="17"/>
          <w:color w:val="auto"/>
        </w:rPr>
        <w:t>Our customers typically subscribe for our services for a twelve month term and may have no obligation to renew their subscription after expiration of the twelve month term. In some cases, our agreements are terminable or may terminate upon 30 to 90 days’ notice without penalty.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 Dissatisfaction with the nature or quality of our services could also lead customers to terminate our service.</w:t>
      </w:r>
    </w:p>
    <w:p>
      <w:pPr>
        <w:spacing w:after="0" w:line="20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We depend on monthly fees and interaction-based fees from our services for substantially all of our revenue. As part of our strategy, we are increasingly offering customers subscriptions with interaction-based fees. While this interaction-based fee model has demonstrated success in our business to date, it could potentially produce greater variability in our revenue as revenue in this model is impacted by the number of interactions that our customers generate through use of our products. Because of the historically small amount of services sold in initial orders, we depend significantly on the growth of our customer base and sales to new customers and sales of additional services to our existing customers. The success of our consumer offerings similarly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depends on our ability to attract and retain new customers. Our revenue could decline unless we are able to obtain additional customers or alternate revenue 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products, services and technologies could subject us to additional risks.</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have limited or no experience in new market segments that we enter or new services that we decide to offer, and customers may not choose to buy or use our service offerings. These offerings, which can present new and difficult technology challenges, may subject us to claims if customers of these offerings experience service disruptions or failures or other quality issues. In addition, profitability, if any, in our newer activities may not meet our expectations, and we may not be successful enough in these newer activities to recoup our investments in them. Failure to realize the benefits of amounts we invest in new technologies, products, or services could result in the value of those investments being written down or written off.</w:t>
      </w:r>
    </w:p>
    <w:p>
      <w:pPr>
        <w:spacing w:after="0" w:line="188" w:lineRule="exact"/>
        <w:rPr>
          <w:sz w:val="20"/>
          <w:szCs w:val="20"/>
          <w:color w:val="auto"/>
        </w:rPr>
      </w:pPr>
    </w:p>
    <w:p>
      <w:pPr>
        <w:jc w:val="both"/>
        <w:ind w:right="2060"/>
        <w:spacing w:after="0" w:line="263" w:lineRule="auto"/>
        <w:rPr>
          <w:sz w:val="20"/>
          <w:szCs w:val="20"/>
          <w:color w:val="auto"/>
        </w:rPr>
      </w:pPr>
      <w:r>
        <w:rPr>
          <w:rFonts w:ascii="Arial" w:cs="Arial" w:eastAsia="Arial" w:hAnsi="Arial"/>
          <w:sz w:val="18"/>
          <w:szCs w:val="18"/>
          <w:b w:val="1"/>
          <w:bCs w:val="1"/>
          <w:i w:val="1"/>
          <w:iCs w:val="1"/>
          <w:color w:val="auto"/>
        </w:rPr>
        <w:t>Major public health issues, and specifically the pandemic caused by the spread of COVID-19, could have a material adverse impact on our business, results of operations, financial condition, cash flows, prospects and/or the price of our outstanding securities.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results of operations could in the future be materially adversely impacted by the coronavirus (COVID-19) pandemic. We closely monitor developments related to the COVID-19 pandemic to assess its impact on our business. While still evolving, the global spread of the COVID-19 pandemic has created significant economic disruption, and financial volatility and uncertainty both in the U.S. and around the world. Though vaccines believed to be highly effective at preventing symptomatic COVID-19 have been produced and are currently in the process of being distributed, it is not possible to estimate how long it will take to halt the spread of the virus or the longer term-effects that the COVID-19 pandemic could have on our business. The extent to which the COVID-19 pandemic impacts our business, results of operations, financial condition, cash flows or prospects will depend on future developments, which are highly uncertain and that we may not be able to accurately predict, including the duration and severity of the pandemic; governmental, business and individuals’ actions that have been and continue to be taken in response to the pandemic; the rate of vaccine adoption, the efficacy of vaccines in the broader population, and how widespread such vaccine adoption is; the impact of the pandemic on economic activity and actions taken in response; the effect on our clients and client demand for our services and solutions, including the potential lengthening of the sales cycle; our ability to sell and provide our services and solutions, including through in-person global customer summits, which have proven successful for us in the past, travel restrictions and people working from home; the ability of our clients to pay for our services and solutions; and any closures of our and our clients’ offices and facilities. Clients may also slow down decision making, delay planned work, seek to terminate existing agreements and/or delay payment terms.</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have implemented risk management and contingency plans and taken preventive measures and other precautions, the ultimate impact of the COVID-19 pandemic on our business is uncertain. In 2020, due to health concerns related to the global novel coronavirus (COVID-19) pandemic, we vacated our physical offices around the world, and began transitioning to a work-from-anywhere model. While we have been able to operate effectively from remote locations, the long-term impact of such work arrangements remains unknown. For example, such remote work arrangements may increase the risk of cyber incidents or data breaches. Furthermore, we have incurred, and will in the future incur, expenses associated with the early termination of various leases at our office locations around the world.</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outsource certain critical business activities to third parties and plan to continue to increase these activities, such as through our announced outsourcing partnership with Infosys. As a result, we rely upon the successful implementation and execution of the business continuity and repopulation planning of such entities in the current environment. While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closely monitor the business continuity activities of these third parties, successful implementation and execution of their business continuity and repopulation strategies are largely outside our control. If one or more of the third parties to whom we outsource certain critical business activities experience operational failures as a result of the impacts from the spread of COVID-19, or claim that they cannot perform due to a force majeure, it may have a material adverse effect on our business, financial condition, results of operations, liquidity and cash flows.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of these events or other currently unforeseen consequences of the coronavirus pandemic, or of other pandemics, epidemics or similar widespread public health concerns, could cause or contribute to the risks and uncertainties enumerated in this Annual Report on Form 10-K, and could materially adversely affect our business, results of operations, financial condition, cash flows, prospects and/or the price of our outstanding securities.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do not successfully integrate past or potential future acquisitions, we may not realize the expected business or financial benefits and our business could be adversely impacted.</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part of our business strategy, we have made and will continue to make acquisitions to add complementary businesses, products, technologies, revenue and intellectual property rights. We have made a number of acquisitions in the past, including three in 2018. In October 2018, we acquired AdvantageTec, Inc., a leading provider of texting solutions for service departments of automotive dealerships that helps enable the conversational experience across the entire dealership, including variable and fixed operations. In September 2018, we acquired the employees and technology assets of Conversable, Inc. a SaaS based Artificial Intelligence powered conversational platform. In January 2018, we acquired the employees and technology assets of BotCentral, Inc., a Silicon Valley based startup which has created a number of bot solutions for major brands in banking, insurance, and travel, running on LivePerson’s conversational platform.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investments involve numerous risks to us, including:</w:t>
      </w:r>
    </w:p>
    <w:p>
      <w:pPr>
        <w:spacing w:after="0" w:line="23" w:lineRule="exact"/>
        <w:rPr>
          <w:sz w:val="20"/>
          <w:szCs w:val="20"/>
          <w:color w:val="auto"/>
        </w:rPr>
      </w:pPr>
    </w:p>
    <w:p>
      <w:pPr>
        <w:ind w:left="760" w:hanging="10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of the combination or acquisition;</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products and personnel;</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efforts related to existing operations;</w:t>
      </w:r>
    </w:p>
    <w:p>
      <w:pPr>
        <w:spacing w:after="0" w:line="9" w:lineRule="exact"/>
        <w:rPr>
          <w:rFonts w:ascii="Arial" w:cs="Arial" w:eastAsia="Arial" w:hAnsi="Arial"/>
          <w:sz w:val="18"/>
          <w:szCs w:val="18"/>
          <w:color w:val="auto"/>
        </w:rPr>
      </w:pPr>
    </w:p>
    <w:p>
      <w:pPr>
        <w:ind w:left="660" w:right="2480" w:hanging="4"/>
        <w:spacing w:after="0" w:line="250" w:lineRule="auto"/>
        <w:tabs>
          <w:tab w:leader="none" w:pos="7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of entering new markets in which we have little or no experience or where competitors may have stronger market positions;</w:t>
      </w:r>
    </w:p>
    <w:p>
      <w:pPr>
        <w:ind w:left="760" w:hanging="10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our existing key employees or key employees of the company we acquire;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tax effects of any such acquisitions.</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difficulties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Capital needs necessary to execute our business strategy could increase substantially and we may not be able to secure additional financing to execute this strategy.</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require additional funds to support our operations or the expansion of our business, or to pay for acquisitions, we may need to sell additional equity, issue debt or convertible securities or obtain credit facilities through financial institutions. In the past, we have obtained financing principally through the sale of preferred stock, common stock, warrants and convertible notes. If additional funds are raised through the issuance of debt or preferred equity securities, these securities could have rights, preferences and privileges senior to holders of common stock, and could have terms that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any potential expansion, take advantage of acquisition opportunities, develop or enhance our services or products, or otherwise respond to competitive pressures would be significantly limited. Those limitations would materially and adversely affect our business, results of operations, cash flows and financial condition.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2120"/>
        <w:spacing w:after="0" w:line="261" w:lineRule="auto"/>
        <w:rPr>
          <w:sz w:val="20"/>
          <w:szCs w:val="20"/>
          <w:color w:val="auto"/>
        </w:rPr>
      </w:pPr>
      <w:r>
        <w:rPr>
          <w:rFonts w:ascii="Arial" w:cs="Arial" w:eastAsia="Arial" w:hAnsi="Arial"/>
          <w:sz w:val="18"/>
          <w:szCs w:val="18"/>
          <w:b w:val="1"/>
          <w:bCs w:val="1"/>
          <w:i w:val="1"/>
          <w:iCs w:val="1"/>
          <w:color w:val="auto"/>
        </w:rPr>
        <w:t>Our sales cycles can be lengthy, and the timing of sales can be difficult to predict, which may cause our operating results to vary significantly.</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expend substantial time, effort, and money educating potential customers them about the value of our offerings. The increasingly complex needs of our customers can contribute to a longer sales cycle.</w:t>
      </w:r>
    </w:p>
    <w:p>
      <w:pPr>
        <w:spacing w:after="0" w:line="1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Additionally, our quarterly sales have historically reflected an uneven pattern in which a disproportionate percentage of a quarter’s total sales occur in the last month, weeks and days of each quarter. These patterns make prediction of revenue especially difficult and uncertain and increase the risk of unanticipated variations in our results of operations. As a result, we are not always able to precisely predict the quarter in which expected sales will occur. In addition, historically a large portion of our revenue has derived from large orders from large clients. Consequently, delays in the closing of sales, especially from large clients, could have a material impact on the timing of revenue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our implementation cycles could have an adverse effect on our results of operations.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of our products require some implementation services, including but not limited to, training our customers. As an open platform, we also work with other third parties on implementing a variety of integrations into our platform.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are subject to payment-related risks.</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in such a way as to make compliance infeasible.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w:t>
      </w:r>
    </w:p>
    <w:p>
      <w:pPr>
        <w:spacing w:after="0" w:line="22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Through our consumer-facing platform, we facilitate online transactions between individual service providers who provide online advice and information to consumers. In connection with these services, we accept payments using a variety of methods, such as credit card, debit card and PayPal. These payments are subject to “chargebacks” when consumers dispute payments they have made to us. Chargebacks can occur whether or not services were properly provided. Susceptibility to chargebacks puts a portion of our revenue at risk. We take measures to manage our risk relative to chargebacks and to recoup properly charged fees, however, if we are unable to successfully manage this risk our business and operating results could be adversely affected. As we offer new payment options to our users, we may be subject to additional regulations, compliance requirements, and fraud.</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depends, in part, on factors which are partially or entirely outside of our control.</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services typically appear under the LivePerson brand or as a LivePerson-branded icon on our customers’ websites. The customer service operators and Experts who respond to the inquiries of our customers’ users are employees or agents of our customers or independent consultants rather than employees of LivePerson. As a result, we are not able to control the actions of these operators or Experts and the impression that such operator or Expert leaves the user with whom they interact. A user may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5" w:name="page26"/>
    <w:bookmarkEnd w:id="25"/>
    <w:p>
      <w:pPr>
        <w:jc w:val="both"/>
        <w:spacing w:after="0" w:line="311" w:lineRule="auto"/>
        <w:rPr>
          <w:sz w:val="20"/>
          <w:szCs w:val="20"/>
          <w:color w:val="auto"/>
        </w:rPr>
      </w:pPr>
      <w:r>
        <w:rPr>
          <w:rFonts w:ascii="Arial" w:cs="Arial" w:eastAsia="Arial" w:hAnsi="Arial"/>
          <w:sz w:val="16"/>
          <w:szCs w:val="16"/>
          <w:color w:val="auto"/>
        </w:rPr>
        <w:t>not know that the operator or Expert is not a LivePerson employee. If a user were to have a negative experience in a LivePerson-powered real-time dialogue, it is possible that this experience could be attributed to us, which could diminish our brand and harm our business. Additionally, we believe the success of our business services is aided by the prominent placement of the chat icon on a customer’s website, over which we also have no 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factors influence our reputation including the perception held by our customers, business partners and other key stakeholders. Businesses face increasing scrutiny related to environmental, social and governance activities. We risk damage to our reputation if we fail to act responsibly in a number of areas, such as diversity and inclusion, sustainability and social responsibility. Any harm to our reputation could impact employee engagement and retention, our corporate culture and the willingness of customers and our partners to do business with us, which could have a material adverse effect on our business, results of operations and cash flows.</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Financial Condition and Operating Results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revenue and operating results may fluctuate significantly, which may cause a substantial decline in the trading price of our securities.</w:t>
      </w:r>
    </w:p>
    <w:p>
      <w:pPr>
        <w:spacing w:after="0" w:line="2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in the past incurred, and may in the future incur, losses and experience negative cash flows, either or both of which may be significant and may cause our quarterly revenue and operating results to fluctuate significantly. These fluctuations may result from a variety of factors, many of which are outside of our control. Some of the important factors that may cause our revenue and operating results to fluctuate include:</w:t>
      </w: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new customers;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and increase sales to existing customers;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from customers and consumers for our services;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innovate and provide new services to current and future customers;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add artificial intelligence, machine learning and automation into our services;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introduction of new services by us or our competitors;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avoid and/or manage service interruptions, disruptions, or security incidents;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pricing models or policies or in those of our competitors;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and add integrations with third-party consumer messaging platforms and endpoints;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adoption by companies of mobile and cloud-based messaging solutions;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growing our sales and marketing programs;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adoption by Experts and Users of web-based advice services;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and</w:t>
      </w:r>
    </w:p>
    <w:p>
      <w:pPr>
        <w:spacing w:after="0" w:line="9" w:lineRule="exact"/>
        <w:rPr>
          <w:rFonts w:ascii="Arial" w:cs="Arial" w:eastAsia="Arial" w:hAnsi="Arial"/>
          <w:sz w:val="18"/>
          <w:szCs w:val="18"/>
          <w:color w:val="auto"/>
        </w:rPr>
      </w:pPr>
    </w:p>
    <w:p>
      <w:pPr>
        <w:ind w:left="660" w:right="480" w:hanging="4"/>
        <w:spacing w:after="0" w:line="260" w:lineRule="auto"/>
        <w:tabs>
          <w:tab w:leader="none" w:pos="7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and timing of capital expenditures and other costs related to operation and expansion of our business, including those related to acquisitions.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revenue and operating results may also fluctuate significantly in the future due to the following factors that are entirely outside of our control:</w:t>
      </w:r>
    </w:p>
    <w:p>
      <w:pPr>
        <w:spacing w:after="0" w:line="46" w:lineRule="exact"/>
        <w:rPr>
          <w:sz w:val="20"/>
          <w:szCs w:val="20"/>
          <w:color w:val="auto"/>
        </w:rPr>
      </w:pPr>
    </w:p>
    <w:p>
      <w:pPr>
        <w:ind w:left="760" w:hanging="10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laws, regulations or regulatory or law enforcement initiatives;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conditions specific to the web, mobile technology, electronic commerce and cloud computing;</w:t>
      </w:r>
    </w:p>
    <w:p>
      <w:pPr>
        <w:spacing w:after="0" w:line="9" w:lineRule="exact"/>
        <w:rPr>
          <w:rFonts w:ascii="Arial" w:cs="Arial" w:eastAsia="Arial" w:hAnsi="Arial"/>
          <w:sz w:val="18"/>
          <w:szCs w:val="18"/>
          <w:color w:val="auto"/>
        </w:rPr>
      </w:pPr>
    </w:p>
    <w:p>
      <w:pPr>
        <w:ind w:left="660" w:right="60" w:hanging="4"/>
        <w:spacing w:after="0" w:line="250" w:lineRule="auto"/>
        <w:tabs>
          <w:tab w:leader="none" w:pos="7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consequences of unexpected geopolitical events, natural disasters, acts of war or terrorism, outbreaks of contagious disease (e.g., coronavirus) or climate change; and</w:t>
      </w:r>
    </w:p>
    <w:p>
      <w:pPr>
        <w:ind w:left="760" w:hanging="10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regional and/or global economic and political conditions.</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securities could decline significantly.</w:t>
      </w:r>
    </w:p>
    <w:p>
      <w:pPr>
        <w:spacing w:after="0" w:line="214" w:lineRule="exact"/>
        <w:rPr>
          <w:sz w:val="20"/>
          <w:szCs w:val="20"/>
          <w:color w:val="auto"/>
        </w:rPr>
      </w:pPr>
    </w:p>
    <w:p>
      <w:pPr>
        <w:ind w:right="2300"/>
        <w:spacing w:after="0" w:line="261" w:lineRule="auto"/>
        <w:rPr>
          <w:sz w:val="20"/>
          <w:szCs w:val="20"/>
          <w:color w:val="auto"/>
        </w:rPr>
      </w:pPr>
      <w:r>
        <w:rPr>
          <w:rFonts w:ascii="Arial" w:cs="Arial" w:eastAsia="Arial" w:hAnsi="Arial"/>
          <w:sz w:val="18"/>
          <w:szCs w:val="18"/>
          <w:b w:val="1"/>
          <w:bCs w:val="1"/>
          <w:i w:val="1"/>
          <w:iCs w:val="1"/>
          <w:color w:val="auto"/>
        </w:rPr>
        <w:t>In the past we have experienced losses, we had an accumulated deficit of $391.9 million as of December 31, 2020 and we may incur losses in the future.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 the past incurred, and we may in the future incur, losses and experience negative cash flow, either or both of which may be significant. We recorded net losses from inception through the year ended December 31, 2003. We recorded net income for the years ended December 31, 2004 through 2007 and 2009 through 2012, while we recorded net losses for the years ended December 31, 2008, and 2013 through 2020. We recorded a net loss of $107.6 million for the year ended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6" w:name="page27"/>
    <w:bookmarkEnd w:id="26"/>
    <w:p>
      <w:pPr>
        <w:jc w:val="both"/>
        <w:ind w:right="20"/>
        <w:spacing w:after="0" w:line="263" w:lineRule="auto"/>
        <w:rPr>
          <w:sz w:val="20"/>
          <w:szCs w:val="20"/>
          <w:color w:val="auto"/>
        </w:rPr>
      </w:pPr>
      <w:r>
        <w:rPr>
          <w:rFonts w:ascii="Arial" w:cs="Arial" w:eastAsia="Arial" w:hAnsi="Arial"/>
          <w:sz w:val="18"/>
          <w:szCs w:val="18"/>
          <w:color w:val="auto"/>
        </w:rPr>
        <w:t>December 31, 2020. As of December 31, 2020, our accumulated deficit was approximately $391.9 million. We cannot assure you that we can sustain or increase profitability on a quarterly or annual basis in the future. Failure to maintain profitability may materially and adversely affect the market price of our securities.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non-payment or late payment of amounts due to us from a significant number of customers may negatively impact our financial condition or make it difficult to forecast our revenues accurately.</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2020, we increased our allowance for doubtful accounts from $3.1 million to approximately $5.3 million. During 2019, we increased our allowance for doubtful accounts from $2.3 million to approximately $3.1 million. We base our allowance for doubtful accounts on specifically identified credit risks of customers, historical trends and other information that we believe to be reasonable. A large proportion of receivables are due from larger corporate customers that typically have longer payment cycles. We adjust our allowance for doubtful accounts when accounts previously reserved have been collected. As a result of increasingly long payment cycles, we have faced increased difficulty in predicting our operating results for any given period, and have experienced significant unanticipated fluctuations in our revenues from period to period. Any failure to achieve anticipated revenues in a period could cause the market price of our securities to decline.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our controls.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securities could decline.</w:t>
      </w:r>
    </w:p>
    <w:p>
      <w:pPr>
        <w:spacing w:after="0" w:line="21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With the recent volatility in the capital markets, there is a risk that we could suffer a loss of principal in our cash and cash equivalents and short term investments and suffer a reduction in our interest income or in our return on investments.</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2020, we had $654.2 million in cash and cash equivalents. We regularly invest excess funds from our cash and cash equivalents in short-term money market funds. We currently hold no mortgaged-backed or auction rate securities. However, some of our investments are subject to general credit, liquidity, market and interest rate risks, which may be exacerbated by any ongoing uncertainty in the United States and global credit markets. In the future, these market risks associated with our investment portfolio may harm the results of our operations, liquidity and financial condition. Although we believe we have chosen a more cautious portfolio designed to preserve our existing cash position, it may not adequately protect the value of our investments. Furthermore, this more cautious portfolio is unlikely to provide us with any significant interest income in the near term.</w:t>
      </w:r>
    </w:p>
    <w:p>
      <w:pPr>
        <w:spacing w:after="0" w:line="19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Because we recognize revenue from subscriptions for our service over the term of the subscription, declines in business may not be immediately reflected in our operating results.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immediately.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5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Accounting principles generally accepted in the United States are subject to interpretation by the Financial Accounting Standards Board (the “FASB”), the American Institute of Certified Public Accountants, the SEC, and various bodies formed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color w:val="auto"/>
        </w:rPr>
        <w:t>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97" w:lineRule="exact"/>
        <w:rPr>
          <w:sz w:val="20"/>
          <w:szCs w:val="20"/>
          <w:color w:val="auto"/>
        </w:rPr>
      </w:pPr>
    </w:p>
    <w:p>
      <w:pPr>
        <w:ind w:right="2480"/>
        <w:spacing w:after="0" w:line="277" w:lineRule="auto"/>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accounting principles generally accepted in the United States, we review our amortizable intangible assets for impairment when events or changes in circumstances indicated that the carrying value may not be recoverable. We review our goodwill for impairment at least annually and when events or changes in circumstances indicate that the carrying value may not</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 recoverable. Factors that may be considered a change in circumstances indicating that the carrying value of our goodwill or amortizable intangible assets may not be recoverable include a decline in stock price and market capitalization, reduced future cash flow estimates, and slower growth rates in our industry. Based on our annual review for 2020, we determined that it is not more likely than not that the fair value of the reporting units is less than their carrying amount. However, future assessments may yield a different result, and from time to time, we may be required to record a significant charge to earnings in our consolidated financial statements during the period in which any impairment of our goodwill is determined, resulting in a negative impact on our results of operations.</w:t>
      </w:r>
    </w:p>
    <w:p>
      <w:pPr>
        <w:spacing w:after="0" w:line="2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Risks Related to Industry Dynamics and Competition</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social media and other third-party consumer messaging platforms and endpoints, our business, results of operations and financial condition could be adversely affected.</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that continued growth for companies in our industry depends, in part, on enabling brands to connect with consumers across consumers’ preferred conversational interfaces and messaging endpoints, such as SMS, Facebook Messenger, WhatsApp, Apple Business Chat, Google Rich Business Messenger, Line and Alexa. In order to grow our business, we have identified and developed, and maintain, strategic relationships with many key technology partners. As part of our growth strategy, we plan to further develop partnerships and specific solution areas with additional technology partners. If we fail to establish these relationships in a timely and cost-effective manner, or at all, or if we lose any or all of our current relationships, then our business, results of operations and financial condition could be adversely affected. Additionally, even if we are successful at developing these relationships, but there are problems or issues with the integrations, or our ability to scale and onboard our customers onto new endpoints, our reputation and ability to grow our business may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operate on mobile devices, our business could be adversely affected.</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number of people who access the Internet and complete transactions over the Internet through devices other than desktop computers, including smartphones, handheld tablets and mobile phones, has increased dramatically in the past few years and is projected to continue to increase. To address these developments, we continue to extend our products and services to support messaging on mobile phone and tablet applications belonging to our company and our customers. If the mobile solutions we have developed do not meet our customers’ needs or the needs of their website visitors, or are not widely adopted by our customers and consumers, we may fail to retain existing customers and we may have difficulty attracting new customers. Such solutions may also create new risks related to privacy and security, which could subject us to investigations, litigation or reputational harm. If we are unable to rapidly innovate and grow mobile revenue, or if we incur excessive expenses in this effort, our financial performance and ability to continue to grow overall revenue may be negatively affected.</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continually being released, it is difficult to predict the challenges we may encounter in developing versions of our solutions for use on these alternative devices.</w:t>
      </w:r>
    </w:p>
    <w:p>
      <w:pPr>
        <w:spacing w:after="0" w:line="21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we may lose customers and revenue if we are not able to innovate or effectively compete.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markets for mobile and online business messaging and digital engagement and AI technology are intensely competitive, rapidly changing and characterized by aggressive marketing, pricing pressure, evolving industry standards, rapid technology developments and frequent new product introductions. We believe that competition will continue to increase as our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current competitors increase the sophistication of their offerings and as new participants enter the market, which may cause additional pressure. If we are unable to accurately anticipate technology developments and continue to innovate in the markets in which we compete and develop successful integrations with third-party consumer messaging platforms, AI providers and endpoints, or our competitors are more successful than us at developing compelling new products, services and integrations, or at attracting and retaining customers, we may lose revenue and market share and our operating results could be adversely affected.</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3" w:lineRule="exact"/>
        <w:rPr>
          <w:sz w:val="20"/>
          <w:szCs w:val="20"/>
          <w:color w:val="auto"/>
        </w:rPr>
      </w:pPr>
    </w:p>
    <w:p>
      <w:pPr>
        <w:ind w:left="660" w:hanging="4"/>
        <w:spacing w:after="0" w:line="250" w:lineRule="auto"/>
        <w:tabs>
          <w:tab w:leader="none" w:pos="7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ind w:left="660" w:hanging="4"/>
        <w:spacing w:after="0" w:line="250" w:lineRule="auto"/>
        <w:tabs>
          <w:tab w:leader="none" w:pos="7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 providers that offer basic messaging products or services with limited functionality free of charge or at significantly reduced entry level prices;</w:t>
      </w:r>
    </w:p>
    <w:p>
      <w:pPr>
        <w:ind w:left="660" w:hanging="4"/>
        <w:spacing w:after="0" w:line="281" w:lineRule="auto"/>
        <w:tabs>
          <w:tab w:leader="none" w:pos="7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B2B solutions; and</w:t>
      </w:r>
    </w:p>
    <w:p>
      <w:pPr>
        <w:spacing w:after="0" w:line="1" w:lineRule="exact"/>
        <w:rPr>
          <w:rFonts w:ascii="Arial" w:cs="Arial" w:eastAsia="Arial" w:hAnsi="Arial"/>
          <w:sz w:val="16"/>
          <w:szCs w:val="16"/>
          <w:color w:val="auto"/>
        </w:rPr>
      </w:pPr>
    </w:p>
    <w:p>
      <w:pPr>
        <w:ind w:left="760" w:hanging="10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customers that develop and manage their messaging solutions in-house.</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222"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b w:val="1"/>
          <w:bCs w:val="1"/>
          <w:i w:val="1"/>
          <w:iCs w:val="1"/>
          <w:color w:val="auto"/>
        </w:rPr>
        <w:t>We may be unable to respond to the rapid technological change and changing customer preferences in the online sales, marketing, customer service, and/or online consumer services industries and this may harm our business.</w:t>
      </w:r>
    </w:p>
    <w:p>
      <w:pPr>
        <w:jc w:val="both"/>
        <w:ind w:firstLine="648"/>
        <w:spacing w:after="0" w:line="264" w:lineRule="auto"/>
        <w:rPr>
          <w:sz w:val="20"/>
          <w:szCs w:val="20"/>
          <w:color w:val="auto"/>
        </w:rPr>
      </w:pPr>
      <w:r>
        <w:rPr>
          <w:rFonts w:ascii="Arial" w:cs="Arial" w:eastAsia="Arial" w:hAnsi="Arial"/>
          <w:sz w:val="17"/>
          <w:szCs w:val="17"/>
          <w:color w:val="auto"/>
        </w:rPr>
        <w:t>If we are unable, for technological, legal, financial or other reasons, to adapt in a timely manner to changing market conditions in the online sales, marketing, customer service and/or e-commerce industry or our customers’ or consumers’ requirements or preferences, our business, results of operations and financial condition would be materially and adversely affected. Online business is characterized by rapid technological change. In addition, the market for online sales, marketing, customer service and expert advice solutions is relatively new. Sudden changes in customer and consumer requirements and preferences, frequent new product and service introductions embodying new technologies, and the emergence of new industry and regulatory standards and practices such as but not limited to data privacy and security standards, could render the LivePerson services and our proprietary technology and systems obsolete. The rapid evolution of these products and services will require that we continually improve the performance, features and reliability of our services. Our success will depend, in part, on our ability to:</w:t>
      </w:r>
    </w:p>
    <w:p>
      <w:pPr>
        <w:spacing w:after="0" w:line="6" w:lineRule="exact"/>
        <w:rPr>
          <w:sz w:val="20"/>
          <w:szCs w:val="20"/>
          <w:color w:val="auto"/>
        </w:rPr>
      </w:pPr>
    </w:p>
    <w:p>
      <w:pPr>
        <w:ind w:left="760" w:hanging="10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enhance the features and performance of our services;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offer new services that are valuable to companies doing business online as well as consumers;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respond to technological advances and emerging industry and regulatory standards and practices in a cost-effective and timely manner.</w:t>
      </w:r>
    </w:p>
    <w:p>
      <w:pPr>
        <w:spacing w:after="0" w:line="2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of our new services, including upgrades to our current services, do not meet our customers’ or consumers’ expectations, we could lose customers and our business may be harmed. Updating our technology may require significant additional capital expenditures and could materially and adversely affect our business, results of operations and financial condition.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new services require us to grow rapidly, this could place a significant strain on our managerial, operational, technical and financial resources. In order to manage our growth, we could be required to implement new or upgraded operating and financial systems, procedures and controls. Our failure to expand our operations in an efficient manner could cause our expenses to grow, our revenue to decline or grow more slowly than expected and could otherwise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right="180"/>
        <w:spacing w:after="0" w:line="261" w:lineRule="auto"/>
        <w:rPr>
          <w:sz w:val="20"/>
          <w:szCs w:val="20"/>
          <w:color w:val="auto"/>
        </w:rPr>
      </w:pPr>
      <w:r>
        <w:rPr>
          <w:rFonts w:ascii="Arial" w:cs="Arial" w:eastAsia="Arial" w:hAnsi="Arial"/>
          <w:sz w:val="18"/>
          <w:szCs w:val="18"/>
          <w:b w:val="1"/>
          <w:bCs w:val="1"/>
          <w:i w:val="1"/>
          <w:iCs w:val="1"/>
          <w:color w:val="auto"/>
        </w:rPr>
        <w:t>Downturns in the global economic environment or in particular industries in which our sales are concentrated may adversely affect our business and results of operations.</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United States and other global economies have experienced in the past and could in the future experience economic downturn that affects all sectors of the economy, particularly in the financial services and retail industries, resulting in declines in economic growth and consumer confidence, increases in unemployment rates and uncertainty about economic stability. Further, there is increased uncertainty regarding social, political, immigration and trade policies in the United States, which could impact our global operations and our business. Global credit and financial markets have in the past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w:t>
      </w:r>
    </w:p>
    <w:p>
      <w:pPr>
        <w:spacing w:after="0" w:line="19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business is, and will continue to be, dependent on sales to customers in the telecommunications, financial services, retail, automotive, real estate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It could be difficult to predict the timing, strength or duration of any economic slowdown or subsequent economic recovery, either relating to the global economic environment or to the particular industries in which our sales are concentrated, which, in turn, could make it more challenging for us to forecast our operating results, make business decisions and identify risks that may adversely affect our business, sources and uses of cash, financial condition and results of operations.</w:t>
      </w:r>
    </w:p>
    <w:p>
      <w:pPr>
        <w:spacing w:after="0" w:line="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Weak economic conditions may also cause our customers to experience difficulty in supporting their current operations and implementing their business plans. Our customers may reduce their spending on our services, may not be able to discharge their payment and other obligations to us, may experience difficulty raising capital, or may elect to scale back the resources they devote to customer service and/or sales and marketing technology, including services such as ours. Economic conditions may also lead consumers and businesses to postpone spending, which may cause our customers to decrease or delay their purchases of our products and services.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w:t>
      </w:r>
    </w:p>
    <w:p>
      <w:pPr>
        <w:spacing w:after="0" w:line="200" w:lineRule="exact"/>
        <w:rPr>
          <w:sz w:val="20"/>
          <w:szCs w:val="20"/>
          <w:color w:val="auto"/>
        </w:rPr>
      </w:pPr>
    </w:p>
    <w:p>
      <w:pPr>
        <w:spacing w:after="0" w:line="24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Risks Related to Security Vulnerabilities and Service Reliability</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Failures or security breaches in our services or systems, those of our third party service providers, or in the websites of our customers, including those resulting from cyber-attacks, security vulnerabilities, defects or errors, could harm our business.</w:t>
      </w:r>
    </w:p>
    <w:p>
      <w:pPr>
        <w:spacing w:after="0" w:line="198"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7"/>
          <w:szCs w:val="17"/>
          <w:color w:val="auto"/>
        </w:rPr>
        <w:t>Our products and services involve the storage and transmission of proprietary information and personal data related to our customers and their users, as well as experts and consumers, and theft and security breaches expose us to a risk of loss of such information and data, improper use and disclosure thereof, litigation, regulatory investigation, and potential liability. We experience cyber-attacks of varying degrees on a regular basis. Our security measures may also be breached due to employee or other error, intentional malfeasance and other third party acts, and system errors or vulnerabilities, including vulnerabilities of our third party service providers, or customers, or otherwise. Additionally, in response to the COVID-19</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pandemic, a majority of our office employees are working remotely. We currently expect this to continue for the foreseeable future, which may potentially further increase the risk of cyber incidents or data breaches. Any such breach or unauthorized access, or attempts by outside parties to fraudulently induce employees, users, vendors or customers to disclose sensitive information in order to gain access to our data or data of our customers, users, experts or consumers, including, but not limited to, individual personal information and financial credit or debit card data that is protected by law or contract, could result in significant legal and financial exposure, damage to our reputation, and a loss of confidence in the security of our products and services that could potentially have an adverse effect on our business.</w:t>
      </w:r>
    </w:p>
    <w:p>
      <w:pPr>
        <w:spacing w:after="0" w:line="213" w:lineRule="exact"/>
        <w:rPr>
          <w:sz w:val="20"/>
          <w:szCs w:val="20"/>
          <w:color w:val="auto"/>
        </w:rPr>
      </w:pPr>
    </w:p>
    <w:p>
      <w:pPr>
        <w:jc w:val="both"/>
        <w:ind w:firstLine="551"/>
        <w:spacing w:after="0" w:line="274" w:lineRule="auto"/>
        <w:rPr>
          <w:sz w:val="20"/>
          <w:szCs w:val="20"/>
          <w:color w:val="auto"/>
        </w:rPr>
      </w:pPr>
      <w:r>
        <w:rPr>
          <w:rFonts w:ascii="Arial" w:cs="Arial" w:eastAsia="Arial" w:hAnsi="Arial"/>
          <w:sz w:val="16"/>
          <w:szCs w:val="16"/>
          <w:color w:val="auto"/>
        </w:rPr>
        <w:t>While we continue to expand our focus on this issue and are taking measures to safeguard our products and services from cybersecurity threats and vulnerabilities in desktop computers, mobile phones, smartphones and handheld devices, cyber-attacks and other security incidents continue to evolve in sophistication and frequency. Because the techniques used to obtain unauthorized access, disable or degrade service, or sabotage systems, are constantly evolving in sophisticated ways to avoid detection and often are not recognized until launched against a target, it may be difficult or impossible for us to anticipate or identify these techniques or to implement adequate preventative measures. And while technological advancements enable more data and processes, such as mobile computing and mobile payments, they also increase the risk that cyber-attacks and other security incidents will occur. We engage third parties to review and assist in safeguarding our products and services from such</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249" w:lineRule="auto"/>
        <w:rPr>
          <w:sz w:val="20"/>
          <w:szCs w:val="20"/>
          <w:color w:val="auto"/>
        </w:rPr>
      </w:pPr>
      <w:r>
        <w:rPr>
          <w:rFonts w:ascii="Arial" w:cs="Arial" w:eastAsia="Arial" w:hAnsi="Arial"/>
          <w:sz w:val="18"/>
          <w:szCs w:val="18"/>
          <w:color w:val="auto"/>
        </w:rPr>
        <w:t>threats. Those parties may identify vulnerabilities, some of which may not be immediately remedied. A significant cyber-attack, or a security incident of any magnitude that is profiled in the media, involving our, our third party service providers’ or our customers’ systems, could result in material harm to our brand and reputation, our ability to deliver our services or retain customers, and expose us to lawsuits, regulatory investigations, and significant damages, fines or penalties.</w:t>
      </w:r>
    </w:p>
    <w:p>
      <w:pPr>
        <w:spacing w:after="0" w:line="208"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7"/>
          <w:szCs w:val="17"/>
          <w:color w:val="auto"/>
        </w:rPr>
        <w:t>In addition, our customers may authorize third party access to their customer data located in our cloud environment. Because we do not control the transmissions to customer-authorized third parties, or the processing of such data by customer 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Such adverse impact could include a decrease in demand for our services, damage to our reputation and to our customer relationships, legal exposure, and other financial liability or harm 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third parties access or misappropriate confidential or personal data from our systems or services.</w:t>
      </w:r>
    </w:p>
    <w:p>
      <w:pPr>
        <w:spacing w:after="0" w:line="239" w:lineRule="exact"/>
        <w:rPr>
          <w:sz w:val="20"/>
          <w:szCs w:val="20"/>
          <w:color w:val="auto"/>
        </w:rPr>
      </w:pPr>
    </w:p>
    <w:p>
      <w:pPr>
        <w:jc w:val="both"/>
        <w:ind w:firstLine="551"/>
        <w:spacing w:after="0" w:line="268" w:lineRule="auto"/>
        <w:rPr>
          <w:sz w:val="20"/>
          <w:szCs w:val="20"/>
          <w:color w:val="auto"/>
        </w:rPr>
      </w:pPr>
      <w:r>
        <w:rPr>
          <w:rFonts w:ascii="Arial" w:cs="Arial" w:eastAsia="Arial" w:hAnsi="Arial"/>
          <w:sz w:val="16"/>
          <w:szCs w:val="16"/>
          <w:color w:val="auto"/>
        </w:rPr>
        <w:t>The dialogue transcripts of the text-based chats, email interactions and other interactions between our customers and their users may include information, such as personal contact and demographic information. Although we employ and continually 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Because the techniques employed by hackers to obtain unauthorized access or to sabotage systems change frequently and are becoming more sophisticated in circumventing security measures and avoiding detection, we may be unable to anticipate all techniques or to implement adequate preventative measures. Any security breach could result in disclosure of our trade secrets or disclosure of confidential customer, supplier or employee data. If third parties were able to penetrate our network security or otherwise misappropriate personal data relating to our customers’ users or the text of customer service inquiries, our competitive position may be harmed and we could be subject to liability. In the event of a security incident, we could be required to comply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United States federal and state laws, international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While we currently maintain insurance coverage that may cover certain cyber security risks, such insurance coverage is subject to certain exclusions and exceptions and may be insufficient to cover all losses.</w:t>
      </w:r>
    </w:p>
    <w:p>
      <w:pPr>
        <w:spacing w:after="0" w:line="196" w:lineRule="exact"/>
        <w:rPr>
          <w:sz w:val="20"/>
          <w:szCs w:val="20"/>
          <w:color w:val="auto"/>
        </w:rPr>
      </w:pPr>
    </w:p>
    <w:p>
      <w:pPr>
        <w:jc w:val="both"/>
        <w:ind w:firstLine="551"/>
        <w:spacing w:after="0" w:line="274" w:lineRule="auto"/>
        <w:rPr>
          <w:sz w:val="20"/>
          <w:szCs w:val="20"/>
          <w:color w:val="auto"/>
        </w:rPr>
      </w:pPr>
      <w:r>
        <w:rPr>
          <w:rFonts w:ascii="Arial" w:cs="Arial" w:eastAsia="Arial" w:hAnsi="Arial"/>
          <w:sz w:val="16"/>
          <w:szCs w:val="16"/>
          <w:color w:val="auto"/>
        </w:rPr>
        <w:t>Furthermore, certain software and services that we use to operate our business are hosted and/or operated by third parties or integrated with our systems. If these services were to be interrupted or their security breached, our business operations could be similarly disrupted and we could be exposed to liability and costly investigations or litigation. The need to properly secure, and securely transmit and store, confidential information online has historically been a significant barrier to e-commerce and online communications, and will become increasingly highlighted as a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w:t>
      </w:r>
    </w:p>
    <w:p>
      <w:pPr>
        <w:spacing w:after="0" w:line="190"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We provide service level commitments to certain customers. If we do not meet these contractual commitments, we could be obligated to provide credits or refunds or face contract terminations, which could adversely affect our revenue and harm our reputation.</w:t>
      </w:r>
    </w:p>
    <w:p>
      <w:pPr>
        <w:spacing w:after="0" w:line="174" w:lineRule="exact"/>
        <w:rPr>
          <w:sz w:val="20"/>
          <w:szCs w:val="20"/>
          <w:color w:val="auto"/>
        </w:rPr>
      </w:pPr>
    </w:p>
    <w:p>
      <w:pPr>
        <w:jc w:val="both"/>
        <w:ind w:firstLine="551"/>
        <w:spacing w:after="0" w:line="300" w:lineRule="auto"/>
        <w:rPr>
          <w:sz w:val="20"/>
          <w:szCs w:val="20"/>
          <w:color w:val="auto"/>
        </w:rPr>
      </w:pPr>
      <w:r>
        <w:rPr>
          <w:rFonts w:ascii="Arial" w:cs="Arial" w:eastAsia="Arial" w:hAnsi="Arial"/>
          <w:sz w:val="16"/>
          <w:szCs w:val="16"/>
          <w:color w:val="auto"/>
        </w:rPr>
        <w:t>As is common for many cloud service providers, we offer service level commitments in certain of our customer contracts, primarily related to uptime of our service. If we are unable to meet the stated service level commitments or suffer periods of downtime that exceed the periods allowed under our customer contracts, whether due to downtime caused by us or our third-party service providers, which has occurred on several occasions in the past and could occur in the future, we may be contractually obligated to provide these customers with service credits and/or pay financial penalties, which could significantly impact our revenue. In addition, even if our contracts provide otherwise, these customers may attempt to terminate or reduce their contracts, which has occurred from time to time, and/or pursue other legal remedies. Recurring or extended service outages could also cause damage to our reputation and result in substantial customer dissatisfaction or loss, which could adversely affect our current and future revenue and operating results.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are dependent on technology systems and third-party content that are beyond our control.</w:t>
      </w:r>
    </w:p>
    <w:p>
      <w:pPr>
        <w:spacing w:after="0" w:line="239"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7"/>
          <w:szCs w:val="17"/>
          <w:color w:val="auto"/>
        </w:rPr>
        <w:t>The success of our services depends in part on our customers’ online services as well as the Internet and mobile connectivity of consumers, both of which are outside of our control. As a result, it may be difficult to identify the source of problems if they occur. In the past, we have experienced problems related to connectivity, which has resulted in slower than normal response times to user messaging requests and interruptions in service. Our services rely both on the Internet and on our connectivity vendors for data transmission. Therefore, even when connectivity problems are not caused by our services, our customers or their consumers may attribute the problem to us. This could diminish our brand and harm our business, divert the attention of our technical personnel from our product development efforts or cause significant customer relations problems.</w:t>
      </w:r>
    </w:p>
    <w:p>
      <w:pPr>
        <w:spacing w:after="0" w:line="202"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In addition, we rely in part on third party service providers and other third parties for various services, including, but not limited to, Internet connectivity, network infrastructure hosting, security and maintenance, and software and hardware from a variety of vendors. These providers may experience problems that result in slower than normal response times and/or interruptions in service. If we are unable to continue utilizing the third party services that support our web hosting and infrastructure or if our services experience interruptions or delays due to existing third party service providers or transition to new third party service providers, our reputation and business could be harmed, and we may be exposed to legal and reputational risk, and significant remediation costs.</w:t>
      </w:r>
    </w:p>
    <w:p>
      <w:pPr>
        <w:spacing w:after="0" w:line="216" w:lineRule="exact"/>
        <w:rPr>
          <w:sz w:val="20"/>
          <w:szCs w:val="20"/>
          <w:color w:val="auto"/>
        </w:rPr>
      </w:pPr>
    </w:p>
    <w:p>
      <w:pPr>
        <w:jc w:val="both"/>
        <w:ind w:firstLine="551"/>
        <w:spacing w:after="0" w:line="238" w:lineRule="auto"/>
        <w:rPr>
          <w:sz w:val="20"/>
          <w:szCs w:val="20"/>
          <w:color w:val="auto"/>
        </w:rPr>
      </w:pPr>
      <w:r>
        <w:rPr>
          <w:rFonts w:ascii="Arial" w:cs="Arial" w:eastAsia="Arial" w:hAnsi="Arial"/>
          <w:sz w:val="18"/>
          <w:szCs w:val="18"/>
          <w:color w:val="auto"/>
        </w:rPr>
        <w:t>We also rely on the security of our third party service providers to protect our proprietary information and information of our customers. Information technology system failures, including a breach of our or our third party service providers’ data security, could disrupt our ability to function in the normal course of business by potentially causing, among other things, an unintentional disclosure of customer information or loss of information. Additionally, despite our security procedures or those of our third party service providers, information systems may be vulnerable to threats such as computer hacking, cyber-terrorism or 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spacing w:after="0" w:line="221"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We also depend on third parties for hardware and software, and our consumer services depend on third parties for content. Such products and content could contain defects or inaccurate information. Problems arising from our use of such hardware or software or third party content could require us to incur significant costs or divert the attention of our technical or other personnel from our product development efforts or to manage issues related to content. To the extent any such problems require us to replace such hardware or software we may not be able to do so on acceptable terms, if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continued viability of the infrastructure of the Internet.</w:t>
      </w:r>
    </w:p>
    <w:p>
      <w:pPr>
        <w:spacing w:after="0" w:line="239"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6"/>
          <w:szCs w:val="16"/>
          <w:color w:val="auto"/>
        </w:rPr>
        <w:t>To the extent that the Internet continues to experience growth in the number of users and frequency of use by consumers resulting in increased bandwidth demands, we cannot assure you that the infrastructure for the Internet will be able to support the demands placed upon it. The Internet has experienced outages and delays as a result of damage to portions of its infrastructure. Outages or delays could adversely affect online sites, email and the level of traffic on the Internet. The Internet is also subject to continued and ongoing cyber-attacks and related conduct, which affect all online businesses. We also depend on Internet service providers that provide our customers and Internet users with access to the LivePerson services. In the past, users have experienced difficulties due to system failures unrelated to our service. In addition, the Internet could lose its viability due to delays in the adoption of new standards and protocols required to handle increased levels of Internet activity. Insufficient availability of telecommunications services to support the Internet also could result in slower response times and negatively impact use of the Internet generally, and our customers’ sites (including their use of the Conversational Cloud) in particular. If the infrastructure of the Internet does not effectively support the growth of the Internet, we may not maintain profitability and our business, results of operations and financial condition will suffer.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or other defects could disrupt or negatively impact our services, which could harm our business and reputation.</w:t>
      </w:r>
    </w:p>
    <w:p>
      <w:pPr>
        <w:spacing w:after="0" w:line="239"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We face risks related to the technological capabilities of our services. We expect the number of interactions between our customers’ operators and consumers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32" w:name="page33"/>
    <w:bookmarkEnd w:id="32"/>
    <w:p>
      <w:pPr>
        <w:jc w:val="both"/>
        <w:spacing w:after="0" w:line="284" w:lineRule="auto"/>
        <w:rPr>
          <w:sz w:val="20"/>
          <w:szCs w:val="20"/>
          <w:color w:val="auto"/>
        </w:rPr>
      </w:pPr>
      <w:r>
        <w:rPr>
          <w:rFonts w:ascii="Arial" w:cs="Arial" w:eastAsia="Arial" w:hAnsi="Arial"/>
          <w:sz w:val="16"/>
          <w:szCs w:val="16"/>
          <w:color w:val="auto"/>
        </w:rPr>
        <w:t>our software contain undetected errors, our business could be harmed. If third-party content is flawed,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These problems, if not remedied, could harm our business.</w:t>
      </w:r>
    </w:p>
    <w:p>
      <w:pPr>
        <w:spacing w:after="0" w:line="182" w:lineRule="exact"/>
        <w:rPr>
          <w:sz w:val="20"/>
          <w:szCs w:val="20"/>
          <w:color w:val="auto"/>
        </w:rPr>
      </w:pPr>
    </w:p>
    <w:p>
      <w:pPr>
        <w:jc w:val="both"/>
        <w:ind w:firstLine="551"/>
        <w:spacing w:after="0" w:line="245" w:lineRule="auto"/>
        <w:rPr>
          <w:sz w:val="20"/>
          <w:szCs w:val="20"/>
          <w:color w:val="auto"/>
        </w:rPr>
      </w:pPr>
      <w:r>
        <w:rPr>
          <w:rFonts w:ascii="Arial" w:cs="Arial" w:eastAsia="Arial" w:hAnsi="Arial"/>
          <w:sz w:val="18"/>
          <w:szCs w:val="18"/>
          <w:color w:val="auto"/>
        </w:rPr>
        <w:t>Our services also depend on complex software which may contain defects, particularly when we introduce new versions onto our servers. We may not discover software defects that affect our new or current services or enhancements until after they are deployed. It is possible that, despite testing by us, defects may occur in the software. These defects could result in:</w:t>
      </w:r>
    </w:p>
    <w:p>
      <w:pPr>
        <w:spacing w:after="0" w:line="1" w:lineRule="exact"/>
        <w:rPr>
          <w:sz w:val="20"/>
          <w:szCs w:val="20"/>
          <w:color w:val="auto"/>
        </w:rPr>
      </w:pPr>
    </w:p>
    <w:p>
      <w:pPr>
        <w:ind w:left="900" w:hanging="122"/>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35" w:lineRule="exact"/>
        <w:rPr>
          <w:rFonts w:ascii="Arial" w:cs="Arial" w:eastAsia="Arial" w:hAnsi="Arial"/>
          <w:sz w:val="18"/>
          <w:szCs w:val="18"/>
          <w:color w:val="auto"/>
        </w:rPr>
      </w:pPr>
    </w:p>
    <w:p>
      <w:pPr>
        <w:ind w:left="900" w:hanging="122"/>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lost sales;</w:t>
      </w:r>
    </w:p>
    <w:p>
      <w:pPr>
        <w:spacing w:after="0" w:line="36" w:lineRule="exact"/>
        <w:rPr>
          <w:rFonts w:ascii="Arial" w:cs="Arial" w:eastAsia="Arial" w:hAnsi="Arial"/>
          <w:sz w:val="18"/>
          <w:szCs w:val="18"/>
          <w:color w:val="auto"/>
        </w:rPr>
      </w:pPr>
    </w:p>
    <w:p>
      <w:pPr>
        <w:ind w:left="900" w:hanging="122"/>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 terminations;</w:t>
      </w:r>
    </w:p>
    <w:p>
      <w:pPr>
        <w:spacing w:after="0" w:line="36" w:lineRule="exact"/>
        <w:rPr>
          <w:rFonts w:ascii="Arial" w:cs="Arial" w:eastAsia="Arial" w:hAnsi="Arial"/>
          <w:sz w:val="18"/>
          <w:szCs w:val="18"/>
          <w:color w:val="auto"/>
        </w:rPr>
      </w:pPr>
    </w:p>
    <w:p>
      <w:pPr>
        <w:ind w:left="900" w:hanging="122"/>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market share;</w:t>
      </w:r>
    </w:p>
    <w:p>
      <w:pPr>
        <w:spacing w:after="0" w:line="36" w:lineRule="exact"/>
        <w:rPr>
          <w:rFonts w:ascii="Arial" w:cs="Arial" w:eastAsia="Arial" w:hAnsi="Arial"/>
          <w:sz w:val="18"/>
          <w:szCs w:val="18"/>
          <w:color w:val="auto"/>
        </w:rPr>
      </w:pPr>
    </w:p>
    <w:p>
      <w:pPr>
        <w:ind w:left="900" w:hanging="122"/>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or loss of market acceptance of our products; and</w:t>
      </w:r>
    </w:p>
    <w:p>
      <w:pPr>
        <w:spacing w:after="0" w:line="36" w:lineRule="exact"/>
        <w:rPr>
          <w:rFonts w:ascii="Arial" w:cs="Arial" w:eastAsia="Arial" w:hAnsi="Arial"/>
          <w:sz w:val="18"/>
          <w:szCs w:val="18"/>
          <w:color w:val="auto"/>
        </w:rPr>
      </w:pPr>
    </w:p>
    <w:p>
      <w:pPr>
        <w:ind w:left="900" w:hanging="122"/>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expenses and diversion of resources to remedy errors.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complex, and errors, failures or “bugs” may be difficult to correct.</w:t>
      </w:r>
    </w:p>
    <w:p>
      <w:pPr>
        <w:spacing w:after="0" w:line="239"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7"/>
          <w:szCs w:val="17"/>
          <w:color w:val="auto"/>
        </w:rPr>
        <w:t>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expenses associated with such events.</w:t>
      </w:r>
    </w:p>
    <w:p>
      <w:pPr>
        <w:spacing w:after="0" w:line="20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Failure to license necessary third party software for use in our products and services, or failure to successfully integrate third party software, could cause delays or reductions in our sales, or errors or failures of our service.</w:t>
      </w:r>
    </w:p>
    <w:p>
      <w:pPr>
        <w:spacing w:after="0" w:line="198"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7"/>
          <w:szCs w:val="17"/>
          <w:color w:val="auto"/>
        </w:rPr>
        <w:t>We license third party software that we plan to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products and services until we identify, license and integrate or develop equivalent software, and new licenses could require us to pay higher royalties. If we are unable to successfully license and integrate third party technology, we could experience a reduction in functionality and/or errors or failures of our products, which may reduce demand for our products and services.</w:t>
      </w:r>
    </w:p>
    <w:p>
      <w:pPr>
        <w:spacing w:after="0" w:line="202"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Third-party licenses may expose us to increased risks, including risks associated with the integration of new technology, the impact of new technology integration on our existing technology, open source software disclosure requirements, the diversion of resources from the development of our own proprietary technology, and our inability to generate revenue from new technology sufficient to offset associated acquisition and maintenance costs.</w:t>
      </w:r>
    </w:p>
    <w:p>
      <w:pPr>
        <w:spacing w:after="0" w:line="1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1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systems and operations are vulnerable to damage or interruption from earthquakes, fires, floods, hurricanes, other acts of nature, power losses, telecommunications failures, terrorist attacks, acts of war, human errors, break-ins,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headquarters are located in New York City and we have a significant employee presence located in Israel, each of which regions has experienced acts of terrorism in the past. Our servers may also be vulnerable to computer viruses, break-ins, cyber-attacks, such as coordinated denial-of-service attacks or ransomware, or other failures, and similar disruptions from unauthorized tampering with our computer systems, which could lead to interruptions, delays, loss of critical data or the unauthorized disclosure of confidential customer data. Although we have implemented security measures and disaster recovery capabilities, there can be no assurance that we will not suffer from business interruption, or unavailability or loss of data, as a result of any such events. As we rely heavily on our servers, computer and communications systems and the internet to conduct our business and provide high quality service to our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248" w:lineRule="auto"/>
        <w:rPr>
          <w:sz w:val="20"/>
          <w:szCs w:val="20"/>
          <w:color w:val="auto"/>
        </w:rPr>
      </w:pPr>
      <w:r>
        <w:rPr>
          <w:rFonts w:ascii="Arial" w:cs="Arial" w:eastAsia="Arial" w:hAnsi="Arial"/>
          <w:sz w:val="18"/>
          <w:szCs w:val="18"/>
          <w:color w:val="auto"/>
        </w:rPr>
        <w:t>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w:t>
      </w:r>
    </w:p>
    <w:p>
      <w:pPr>
        <w:spacing w:after="0" w:line="20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Risks Related to Regulatory and Data Privacy Issues</w:t>
      </w:r>
    </w:p>
    <w:p>
      <w:pPr>
        <w:spacing w:after="0" w:line="24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w:t>
      </w:r>
    </w:p>
    <w:p>
      <w:pPr>
        <w:spacing w:after="0" w:line="209" w:lineRule="exact"/>
        <w:rPr>
          <w:sz w:val="20"/>
          <w:szCs w:val="20"/>
          <w:color w:val="auto"/>
        </w:rPr>
      </w:pPr>
    </w:p>
    <w:p>
      <w:pPr>
        <w:jc w:val="both"/>
        <w:ind w:firstLine="551"/>
        <w:spacing w:after="0" w:line="254" w:lineRule="auto"/>
        <w:rPr>
          <w:sz w:val="20"/>
          <w:szCs w:val="20"/>
          <w:color w:val="auto"/>
        </w:rPr>
      </w:pPr>
      <w:r>
        <w:rPr>
          <w:rFonts w:ascii="Arial" w:cs="Arial" w:eastAsia="Arial" w:hAnsi="Arial"/>
          <w:sz w:val="17"/>
          <w:szCs w:val="17"/>
          <w:color w:val="auto"/>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data protection, personal information, security, data collection, storage, use and transfer, and the use of cookies and similar tracking technologies. To the extent that additional legislation regarding user privacy is enacted, such as legislation governing the collection and use of information regarding Internet or mobile users through the use of cookies or similar technologies, the effectiveness of our services could be impaired by restricting us from collecting or using information that may be valuable to our customers and/or exposing us to lawsuits or regulatory investigations. The foregoing could have a material adverse effect our business, results of operations and financial condition.</w:t>
      </w:r>
    </w:p>
    <w:p>
      <w:pPr>
        <w:spacing w:after="0" w:line="208" w:lineRule="exact"/>
        <w:rPr>
          <w:sz w:val="20"/>
          <w:szCs w:val="20"/>
          <w:color w:val="auto"/>
        </w:rPr>
      </w:pPr>
    </w:p>
    <w:p>
      <w:pPr>
        <w:jc w:val="both"/>
        <w:ind w:firstLine="551"/>
        <w:spacing w:after="0" w:line="274" w:lineRule="auto"/>
        <w:rPr>
          <w:sz w:val="20"/>
          <w:szCs w:val="20"/>
          <w:color w:val="auto"/>
        </w:rPr>
      </w:pPr>
      <w:r>
        <w:rPr>
          <w:rFonts w:ascii="Arial" w:cs="Arial" w:eastAsia="Arial" w:hAnsi="Arial"/>
          <w:sz w:val="16"/>
          <w:szCs w:val="16"/>
          <w:color w:val="auto"/>
        </w:rPr>
        <w:t>The scope of U.S. and international privacy laws and regulations is evolving and changing,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and data protection,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and legislative proposals and enactments could harm our reputation or otherwise impact the growth of our business.</w:t>
      </w:r>
    </w:p>
    <w:p>
      <w:pPr>
        <w:spacing w:after="0" w:line="190" w:lineRule="exact"/>
        <w:rPr>
          <w:sz w:val="20"/>
          <w:szCs w:val="20"/>
          <w:color w:val="auto"/>
        </w:rPr>
      </w:pPr>
    </w:p>
    <w:p>
      <w:pPr>
        <w:jc w:val="both"/>
        <w:ind w:firstLine="551"/>
        <w:spacing w:after="0" w:line="268" w:lineRule="auto"/>
        <w:rPr>
          <w:sz w:val="20"/>
          <w:szCs w:val="20"/>
          <w:color w:val="auto"/>
        </w:rPr>
      </w:pPr>
      <w:r>
        <w:rPr>
          <w:rFonts w:ascii="Arial" w:cs="Arial" w:eastAsia="Arial" w:hAnsi="Arial"/>
          <w:sz w:val="16"/>
          <w:szCs w:val="16"/>
          <w:color w:val="auto"/>
        </w:rPr>
        <w:t>Laws and practices regarding handling and use of personal and other information by companies have come under increased public scrutiny, and governmental entities, consumer agencies and consumer advocacy groups have called for, and in many instances, enacted increased regulation and changes in industry practices. For example, the European Union (“E.U.”) General Data Protection Regulation (“GDPR”), which became effective in May 2018, replacing the E.U. Data Protection Directive, imposes significantly greater compliance burdens on companies that control or process personal data of users primarily located in the E.U. and, for noncompliance, provides for considerable fines up to the higher of 20 million Euros or 4% of global annual revenue. European regulators have issued numerous fines pursuant to the GDPR. One material change is that data processors (as that term is defined by applicable E.U. data protection law) have direct obligations, including implementing technical and organizational measures, and are subject to enhanced notification rules. The GDPR also imposes certain technological requirements that may, from time to time, require us to make changes to our services to enable LivePerson and/or our customers to meet legal requirements and may impact how data protection is addressed in our customer and vendor agreements. Ensuring compliance with the GDPR is an ongoing commitment that involves substantial costs, and it is possible that despite our efforts, governmental authorities or third parties will assert that our services or business practices fail to comply. We also must require vendors that process personal data to take on additional privacy and security obligations, and some may refuse, causing us to incur potential disruption and expense related to our business processes. If our policies and practices, or those of our vendors, are, or are perceived to be, insufficient, we could be subject to enforcement actions or investigations by Data Protection Authorities (including in the EU) or lawsuits by private parties, and our business could be negatively impacted.</w:t>
      </w:r>
    </w:p>
    <w:p>
      <w:pPr>
        <w:spacing w:after="0" w:line="202" w:lineRule="exact"/>
        <w:rPr>
          <w:sz w:val="20"/>
          <w:szCs w:val="20"/>
          <w:color w:val="auto"/>
        </w:rPr>
      </w:pPr>
    </w:p>
    <w:p>
      <w:pPr>
        <w:jc w:val="both"/>
        <w:ind w:firstLine="551"/>
        <w:spacing w:after="0" w:line="276" w:lineRule="auto"/>
        <w:rPr>
          <w:sz w:val="20"/>
          <w:szCs w:val="20"/>
          <w:color w:val="auto"/>
        </w:rPr>
      </w:pPr>
      <w:r>
        <w:rPr>
          <w:rFonts w:ascii="Arial" w:cs="Arial" w:eastAsia="Arial" w:hAnsi="Arial"/>
          <w:sz w:val="16"/>
          <w:szCs w:val="16"/>
          <w:color w:val="auto"/>
        </w:rPr>
        <w:t>The E.U. has also released a proposed Regulation on Privacy and Electronic Communications (e-Privacy Regulation) to replace the E.U.’s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litigation, regulatory investigation and/or governmental orders requiring us to change our data practices, which could damage our reputation and harm our business.</w:t>
      </w:r>
    </w:p>
    <w:p>
      <w:pPr>
        <w:spacing w:after="0" w:line="188"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Additionally, as web and mobile commerce continues to evolve, regulation by federal, state and foreign governments or agencies in the areas of data privacy and data security is likely to increase. For instance, recent legal developments in Europe have created complexity and regulatory compliance uncertainty regarding certain transfers of personal information from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7"/>
          <w:szCs w:val="17"/>
          <w:color w:val="auto"/>
        </w:rPr>
        <w:t>European Economic Area (the “EEA”) to the United States and certain other third countries. For example, on July 16, 2020, the Court of Justice of the European Union (“CJEU”) invalidated the E.U.-U.S. Privacy Shield Framework (the “E.U.-U.S. Privacy Shield”) under which personal information could be transferred from the EEA to U.S. entities who had self-certified under the Privacy Shield program. While the CJEU upheld the adequacy of E.U.-specified standard contractual clauses as an adequate personal information transfer mechanism, it made clear that reliance on them alone may not necessarily be sufficient in all circumstances and that their use must be assessed on a case-by-case basis taking into account the surveillance laws in and the right of individuals afforded by, the destination country. The CJEU went on to state that, if the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unless the data exporter has already done so itself. Similarly, on September 8, 2020, the Swiss Data Protection Authority announced in a position statement that it no longer considers the Swiss-U.S. Privacy Shield adequate for the purpose of transferring personal data from Switzerland to the United States.</w:t>
      </w:r>
    </w:p>
    <w:p>
      <w:pPr>
        <w:spacing w:after="0" w:line="207" w:lineRule="exact"/>
        <w:rPr>
          <w:sz w:val="20"/>
          <w:szCs w:val="20"/>
          <w:color w:val="auto"/>
        </w:rPr>
      </w:pPr>
    </w:p>
    <w:p>
      <w:pPr>
        <w:jc w:val="both"/>
        <w:ind w:firstLine="551"/>
        <w:spacing w:after="0" w:line="282" w:lineRule="auto"/>
        <w:rPr>
          <w:sz w:val="20"/>
          <w:szCs w:val="20"/>
          <w:color w:val="auto"/>
        </w:rPr>
      </w:pPr>
      <w:r>
        <w:rPr>
          <w:rFonts w:ascii="Arial" w:cs="Arial" w:eastAsia="Arial" w:hAnsi="Arial"/>
          <w:sz w:val="16"/>
          <w:szCs w:val="16"/>
          <w:color w:val="auto"/>
        </w:rPr>
        <w:t>We rely on a mixture of mechanisms to govern the transfer of personal data from our E.U. business to the U.S. and are continuing to evaluate what additional mechanisms may be required to establish adequate safeguards for the cross-border transfer of personal data. In November 2020, the European</w:t>
      </w:r>
    </w:p>
    <w:p>
      <w:pPr>
        <w:jc w:val="both"/>
        <w:spacing w:after="0" w:line="243" w:lineRule="auto"/>
        <w:rPr>
          <w:sz w:val="20"/>
          <w:szCs w:val="20"/>
          <w:color w:val="auto"/>
        </w:rPr>
      </w:pPr>
      <w:r>
        <w:rPr>
          <w:rFonts w:ascii="Arial" w:cs="Arial" w:eastAsia="Arial" w:hAnsi="Arial"/>
          <w:sz w:val="18"/>
          <w:szCs w:val="18"/>
          <w:color w:val="auto"/>
        </w:rPr>
        <w:t>Commission released a draft set of new standard contractual clauses. It is unclear when the new contractual standards may be approved and what additional changes will be made, however we will ultimately need to be prepared to adopt and comply with them in order to legitimize data transfers between E.U. and the U.S. As supervisory authorities issue further guidance on personal data export mechanisms, including circumstances where the standard contractual clauses cannot be used and/or start taking enforcement action, we could incur increased costs, lower revenue, reduced efficiency, and greater difficulty in competing with foreign-based firms. Failure to comply with existing or new rules may result in significant penalties or orders to stop the alleged noncompliant activity.</w:t>
      </w:r>
    </w:p>
    <w:p>
      <w:pPr>
        <w:spacing w:after="0" w:line="213"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Moreover, if we are otherwise unable to transfer personal data or information between and among countries and regions in which we operate, it could affect how we provide our services and could adversely impact our financial results.</w:t>
      </w:r>
    </w:p>
    <w:p>
      <w:pPr>
        <w:spacing w:after="0" w:line="198" w:lineRule="exact"/>
        <w:rPr>
          <w:sz w:val="20"/>
          <w:szCs w:val="20"/>
          <w:color w:val="auto"/>
        </w:rPr>
      </w:pPr>
    </w:p>
    <w:p>
      <w:pPr>
        <w:jc w:val="both"/>
        <w:ind w:firstLine="551"/>
        <w:spacing w:after="0" w:line="252" w:lineRule="auto"/>
        <w:rPr>
          <w:sz w:val="20"/>
          <w:szCs w:val="20"/>
          <w:color w:val="auto"/>
        </w:rPr>
      </w:pPr>
      <w:r>
        <w:rPr>
          <w:rFonts w:ascii="Arial" w:cs="Arial" w:eastAsia="Arial" w:hAnsi="Arial"/>
          <w:sz w:val="17"/>
          <w:szCs w:val="17"/>
          <w:color w:val="auto"/>
        </w:rPr>
        <w:t>On January 31, 2020, the United Kingdom (“U.K.”) withdrew its membership from the European Union (“E.U.”), which is commonly referred to as “Brexit.” In the U.K., Brexit has created uncertainty with regard to the regulation of data protection. In particular, while the Data Protection Act of 2018, which implements and complements the GDPR achieved Royal Assent on May 23, 2018 and is now effective in the United Kingdom, it is still unclear whether transfer of personal data from the EEA to the United Kingdom will remain lawful under the GDPR after Brexit. In December 2020, the Brexit Trade and Cooperation Agreement (“TCA”) established a four- to six-month grace period during which transfers of personal data from the E.U. to the U.K. can continue without additional safeguards, provided that the U.K. maintains its pre-TCA data protection laws. On February 19, 2021, the European Commission released a draft adequacy decision for review by the European Data Protection Board. If adopted, that decision would permit the continued flow of personal data between the U.K. and the E.U. However, it is unclear how data transfers to and from the U.K. will be regulated after the grace period expires and whether or not the U.K. will receive a final adequacy decision from the European Commission permitting cross-border data transfer from the E.U. to the U.K. In addition, we cannot fully predict how the Data Protection Act and other U.K. data protection laws or regulations may develop in the medium to longer term.</w:t>
      </w:r>
    </w:p>
    <w:p>
      <w:pPr>
        <w:spacing w:after="0" w:line="213"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7"/>
          <w:szCs w:val="17"/>
          <w:color w:val="auto"/>
        </w:rPr>
        <w:t>In addition to the changing regulatory landscape in the E.U. and the U.K., in June 2018, the State of California legislature passed the California Consumer Privacy Act of 2018 (“CCPA”), which came into effect in January of 2020. The CCPA gives California residents new data privacy rights, allows consumers to opt out of certain data sharing with third parties, and provides a new private cause of action for data breaches. Moreover, a new privacy law, the California Privacy Rights Act (“CPRA”), was approved by voters in California in a ballot proposition in the November 3, 2020 election. The CPRA will significantly modify the CCPA, and will impose additional data protection obligations on companies doing business in California, potentially resulting in further complexity and requiring us to incur additional costs and expenses in an effort to comply. We also may be subject to additional compliance obligations as other states consider and adopt similar legislation.</w:t>
      </w:r>
    </w:p>
    <w:p>
      <w:pPr>
        <w:spacing w:after="0" w:line="207"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7"/>
          <w:szCs w:val="17"/>
          <w:color w:val="auto"/>
        </w:rPr>
        <w:t>In addition to government activity, privacy advocacy and other industry groups have established and may continue to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consumers to avoid online sites that collect various forms of data or to resist providing the data necessary to allow our customers to use our services effectively. Even the perception of data security and data privacy concerns, whether or not valid, could inhibit sales and market acceptance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right="140"/>
        <w:spacing w:after="0" w:line="261" w:lineRule="auto"/>
        <w:rPr>
          <w:sz w:val="20"/>
          <w:szCs w:val="20"/>
          <w:color w:val="auto"/>
        </w:rPr>
      </w:pPr>
      <w:r>
        <w:rPr>
          <w:rFonts w:ascii="Arial" w:cs="Arial" w:eastAsia="Arial" w:hAnsi="Arial"/>
          <w:sz w:val="18"/>
          <w:szCs w:val="18"/>
          <w:b w:val="1"/>
          <w:bCs w:val="1"/>
          <w:i w:val="1"/>
          <w:iCs w:val="1"/>
          <w:color w:val="auto"/>
        </w:rPr>
        <w:t>Our business is subject to a variety of U.S. and foreign laws, and existing, new and developing regulatory or other legal requirements could subject us to claims or materially impact our business.</w:t>
      </w:r>
    </w:p>
    <w:p>
      <w:pPr>
        <w:spacing w:after="0" w:line="198"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6"/>
          <w:szCs w:val="16"/>
          <w:color w:val="auto"/>
        </w:rPr>
        <w:t>We and our customers are subject to a number of laws and regulations in the United States and abroad, including laws related to conducting business on the Internet or mobile devices, such as laws regarding data privacy, data protection, information security, cybersecurity, restrictions or technological requirements regarding the collection, use, storage, protection,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 not have a local entity, employees or infrastructure. Foreign data protection, privacy, and other laws and regulations may often be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198"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7"/>
          <w:szCs w:val="17"/>
          <w:color w:val="auto"/>
        </w:rPr>
        <w:t>Businesses using our products and services may collect data from their users. Various federal, state and foreign government bodies and agencies impose laws regarding collection, use, storage, retention, disposal, transfer or other processing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privacy and data security could significantly increase the cost to us and our customers of regulatory compliance and could negatively impact our business.</w:t>
      </w:r>
    </w:p>
    <w:p>
      <w:pPr>
        <w:spacing w:after="0" w:line="201"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7"/>
          <w:szCs w:val="17"/>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207"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7"/>
          <w:szCs w:val="17"/>
          <w:color w:val="auto"/>
        </w:rPr>
        <w:t>Further, various federal, state and foreign government bodies and agencies are highly focused on consumer protection initiatives, particularly in light of the increase in new technologies and services that incorporate or use bots, artificial intelligence and/or machine learning. For example, the California B.O.T. Act came into effect in July 2019 and requires that companies using bots on platforms with more than 10 million unique monthly visitors from the U.S. use clear and conspicuous disclosure to inform consumers that they are not speaking to a human. Similar bills entitled the “Bot Disclosure and Accountability Act of 2019” were introduced to the U.S. House and Senate in July 2019. Regulation in this area could impact how businesses use our products and services to interact with consumers and how we provide our services to our customers. AI tools can also present unique technological and legal challenges, such as the possibility of insufficient data sets, or data sets that contain biased information, which can negatively impact the decisions, predictions or analyses that AI applications produce. Deficiencies such as these could cause us reputational harm and subject us to legal liability, including claims of product liability, breach of warranty or negligence.</w:t>
      </w:r>
    </w:p>
    <w:p>
      <w:pPr>
        <w:spacing w:after="0" w:line="211" w:lineRule="exact"/>
        <w:rPr>
          <w:sz w:val="20"/>
          <w:szCs w:val="20"/>
          <w:color w:val="auto"/>
        </w:rPr>
      </w:pPr>
    </w:p>
    <w:p>
      <w:pPr>
        <w:jc w:val="both"/>
        <w:ind w:firstLine="551"/>
        <w:spacing w:after="0" w:line="271" w:lineRule="auto"/>
        <w:rPr>
          <w:sz w:val="20"/>
          <w:szCs w:val="20"/>
          <w:color w:val="auto"/>
        </w:rPr>
      </w:pPr>
      <w:r>
        <w:rPr>
          <w:rFonts w:ascii="Arial" w:cs="Arial" w:eastAsia="Arial" w:hAnsi="Arial"/>
          <w:sz w:val="16"/>
          <w:szCs w:val="16"/>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in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196"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may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spacing w:after="0" w:line="262" w:lineRule="auto"/>
        <w:rPr>
          <w:sz w:val="20"/>
          <w:szCs w:val="20"/>
          <w:color w:val="auto"/>
        </w:rPr>
      </w:pPr>
      <w:r>
        <w:rPr>
          <w:rFonts w:ascii="Arial" w:cs="Arial" w:eastAsia="Arial" w:hAnsi="Arial"/>
          <w:sz w:val="17"/>
          <w:szCs w:val="17"/>
          <w:color w:val="auto"/>
        </w:rPr>
        <w:t>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199"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We monitor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w:t>
      </w:r>
    </w:p>
    <w:p>
      <w:pPr>
        <w:spacing w:after="0" w:line="174"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6"/>
          <w:szCs w:val="16"/>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The CCPA, California’s new consumer privacy legislation, came into effect in January 2020. Outside the E.U.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proposed “Do Not Track” regulations, regulations aimed at restricting certain targeted advertising practices and collection and use of data from mobile devices, new and existing tools that allow consumers to block online advertising and other content,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194" w:lineRule="exact"/>
        <w:rPr>
          <w:sz w:val="20"/>
          <w:szCs w:val="20"/>
          <w:color w:val="auto"/>
        </w:rPr>
      </w:pPr>
    </w:p>
    <w:p>
      <w:pPr>
        <w:jc w:val="both"/>
        <w:ind w:firstLine="551"/>
        <w:spacing w:after="0" w:line="238" w:lineRule="auto"/>
        <w:rPr>
          <w:sz w:val="20"/>
          <w:szCs w:val="20"/>
          <w:color w:val="auto"/>
        </w:rPr>
      </w:pPr>
      <w:r>
        <w:rPr>
          <w:rFonts w:ascii="Arial" w:cs="Arial" w:eastAsia="Arial" w:hAnsi="Arial"/>
          <w:sz w:val="18"/>
          <w:szCs w:val="18"/>
          <w:color w:val="auto"/>
        </w:rPr>
        <w:t>The Federal Trade Commission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221"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Various governmental bodies and many customers and businesses are increasingly focused on environmental, social and governance issues, which has in the past resulted, and may in the future continue to result, in the adoption of new laws and regulations and changing buying practices. If we fail to keep pace with these developments, our reputation and results of operations could be adversely impacted.</w:t>
      </w:r>
    </w:p>
    <w:p>
      <w:pPr>
        <w:spacing w:after="0" w:line="209"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We might unintentionally violate such laws now or in the future; such laws or their interpretation or application may be modified; and new laws may be enacted in the future. Any such developments could subject us to legal liability exposure, and harm our business, operating results and financial condition.</w:t>
      </w:r>
    </w:p>
    <w:p>
      <w:pPr>
        <w:spacing w:after="0" w:line="209" w:lineRule="exact"/>
        <w:rPr>
          <w:sz w:val="20"/>
          <w:szCs w:val="20"/>
          <w:color w:val="auto"/>
        </w:rPr>
      </w:pPr>
    </w:p>
    <w:p>
      <w:pPr>
        <w:ind w:right="560"/>
        <w:spacing w:after="0" w:line="324" w:lineRule="auto"/>
        <w:rPr>
          <w:sz w:val="20"/>
          <w:szCs w:val="20"/>
          <w:color w:val="auto"/>
        </w:rPr>
      </w:pPr>
      <w:r>
        <w:rPr>
          <w:rFonts w:ascii="Arial" w:cs="Arial" w:eastAsia="Arial" w:hAnsi="Arial"/>
          <w:sz w:val="16"/>
          <w:szCs w:val="16"/>
          <w:b w:val="1"/>
          <w:bCs w:val="1"/>
          <w:i w:val="1"/>
          <w:iCs w:val="1"/>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51"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6"/>
          <w:szCs w:val="16"/>
          <w:color w:val="auto"/>
        </w:rPr>
        <w:t>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 enforcement or scope of existing regulations, or change in the countries, governments, persons or technologies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6"/>
          <w:szCs w:val="16"/>
          <w:color w:val="auto"/>
        </w:rPr>
        <w:t>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 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Industry-specific regulation is evolving and unfavorable industry-specific laws, regulations or interpretive positions could harm our business.</w:t>
      </w:r>
    </w:p>
    <w:p>
      <w:pPr>
        <w:spacing w:after="0" w:line="262" w:lineRule="exact"/>
        <w:rPr>
          <w:sz w:val="20"/>
          <w:szCs w:val="20"/>
          <w:color w:val="auto"/>
        </w:rPr>
      </w:pPr>
    </w:p>
    <w:p>
      <w:pPr>
        <w:jc w:val="both"/>
        <w:ind w:firstLine="551"/>
        <w:spacing w:after="0" w:line="252" w:lineRule="auto"/>
        <w:rPr>
          <w:sz w:val="20"/>
          <w:szCs w:val="20"/>
          <w:color w:val="auto"/>
        </w:rPr>
      </w:pPr>
      <w:r>
        <w:rPr>
          <w:rFonts w:ascii="Arial" w:cs="Arial" w:eastAsia="Arial" w:hAnsi="Arial"/>
          <w:sz w:val="17"/>
          <w:szCs w:val="17"/>
          <w:color w:val="auto"/>
        </w:rPr>
        <w:t>Our customers and potential customers do business in a variety of industries, including financial services, the public sector, healthcare and telecommunications. Regulators of various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and we may be unable to conduct business with customers in such industries. In addition, an inability to satisfy the standards of certain third-party certification bodies that our customers may expect, such as the Payment Card Industry (PCI) Data Security Standards, may have an adverse impact on our business. If we are unable in the future to achieve or maintain these industry-specific certifications or comply with other similar requirements or standards that are relevant to our customers, our business and our revenue may be adversely impacted.</w:t>
      </w:r>
    </w:p>
    <w:p>
      <w:pPr>
        <w:spacing w:after="0" w:line="213" w:lineRule="exact"/>
        <w:rPr>
          <w:sz w:val="20"/>
          <w:szCs w:val="20"/>
          <w:color w:val="auto"/>
        </w:rPr>
      </w:pPr>
    </w:p>
    <w:p>
      <w:pPr>
        <w:jc w:val="both"/>
        <w:ind w:firstLine="551"/>
        <w:spacing w:after="0" w:line="291" w:lineRule="auto"/>
        <w:rPr>
          <w:sz w:val="20"/>
          <w:szCs w:val="20"/>
          <w:color w:val="auto"/>
        </w:rPr>
      </w:pPr>
      <w:r>
        <w:rPr>
          <w:rFonts w:ascii="Arial" w:cs="Arial" w:eastAsia="Arial" w:hAnsi="Arial"/>
          <w:sz w:val="17"/>
          <w:szCs w:val="17"/>
          <w:color w:val="auto"/>
        </w:rPr>
        <w:t>In some cases, industry-specific laws, regulations or interpretive positions may also apply directly to us as a service provider. Any failure or perceived failure by us to comply with such requirements could have a material adverse impact on our business and results of operations.</w:t>
      </w:r>
    </w:p>
    <w:p>
      <w:pPr>
        <w:spacing w:after="0" w:line="174"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In addition, we may become subject to additional regulatory and compliance burdens as we expand our product offerings into new conversational businesses. For example, we recently launched a new conversational banking initiative. While we are relying on the banking license of a third party and certain of their compliance programs for this initiative, if we or our partner fail to comply with applicable laws, rules and regulations, fail to successfully manage our regulatory or compliance obligations, or fail to obtain and maintain required licenses, we could be subject to fines and/or proceedings by governmental agencies, regulatory bodies, and/or private litigation, which could materially and adversely affect our business, financial condition and results of operations.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Future regulation of the Internet or mobile devices may slow our growth, resulting in decreased demand for our services and increased costs of doing business.</w:t>
      </w:r>
    </w:p>
    <w:p>
      <w:pPr>
        <w:spacing w:after="0" w:line="198" w:lineRule="exact"/>
        <w:rPr>
          <w:sz w:val="20"/>
          <w:szCs w:val="20"/>
          <w:color w:val="auto"/>
        </w:rPr>
      </w:pPr>
    </w:p>
    <w:p>
      <w:pPr>
        <w:jc w:val="both"/>
        <w:ind w:firstLine="551"/>
        <w:spacing w:after="0" w:line="271" w:lineRule="auto"/>
        <w:rPr>
          <w:sz w:val="20"/>
          <w:szCs w:val="20"/>
          <w:color w:val="auto"/>
        </w:rPr>
      </w:pPr>
      <w:r>
        <w:rPr>
          <w:rFonts w:ascii="Arial" w:cs="Arial" w:eastAsia="Arial" w:hAnsi="Arial"/>
          <w:sz w:val="16"/>
          <w:szCs w:val="16"/>
          <w:color w:val="auto"/>
        </w:rPr>
        <w:t>State, federal and foreign regulators could adopt laws and regulations that impose additional burdens on companies that conduct business online or that adversely affect the growth or use of the Internet or mobile commerce. For example, these laws and regulations could discourage communication by e-mail or other web-based communications, particularly targeted e-mail of the type facilitated by our services, which could reduce demand for our services. Laws or regulations that affect the use of the Internet or mobile devices, including but not limited to laws affecting net neutrality could also decrease demand for our services and increase our costs. Some jurisdictions have adopted regulations prohibiting certain forms of discrimination by Internet access providers; however, substantial uncertainty exists in the United States and elsewhere. For example, in the United States, the Federal Communications Commission repealed net neutrality rules effective June 11, 2018, which could lead internet access providers to restrict, block, degrade or charge for access to our products and services. Further, regulatory focus on data privacy, data security and consumer protection continues to expand on a worldwide basis and is becoming more complex, which will increase the risks to our business on reputational, operational, and compliance bases.</w:t>
      </w:r>
    </w:p>
    <w:p>
      <w:pPr>
        <w:spacing w:after="0" w:line="196"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The continued growth and development of the market for online services may prompt calls for more stringent consumer protection laws or laws that will inhibit the use of Internet-based or mobile-based communications or the information contained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both"/>
        <w:spacing w:after="0" w:line="253" w:lineRule="auto"/>
        <w:rPr>
          <w:sz w:val="20"/>
          <w:szCs w:val="20"/>
          <w:color w:val="auto"/>
        </w:rPr>
      </w:pPr>
      <w:r>
        <w:rPr>
          <w:rFonts w:ascii="Arial" w:cs="Arial" w:eastAsia="Arial" w:hAnsi="Arial"/>
          <w:sz w:val="17"/>
          <w:szCs w:val="17"/>
          <w:color w:val="auto"/>
        </w:rPr>
        <w:t>in these 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 other requirements; and the Children’s Online Privacy Protection Act regulates the ability of certain online services to collect or use certain categories of information from children under age 13 absent parental consent. The adoption of any additional laws or regulations, or changes to existing laws or regulations, may decrease the expansion of the Internet or smartphone usage. A decline in the growth of the Internet or smartphone usage, particularly as it relates to online communication, could decrease demand for our services and increase our costs of doing business, or otherwise harm our business. Any new legislation or regulations, application of laws and regulations from jurisdictions whose laws do not currently apply to our business, or application of existing laws and regulations to the Internet, mobile and other online services could increase our costs and harm our growth.</w:t>
      </w:r>
    </w:p>
    <w:p>
      <w:pPr>
        <w:spacing w:after="0" w:line="20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4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Our products and services may infringe upon intellectual property rights of third parties and any infringement could require us to incur substantial costs and may distract our management.</w:t>
      </w:r>
    </w:p>
    <w:p>
      <w:pPr>
        <w:spacing w:after="0" w:line="198" w:lineRule="exact"/>
        <w:rPr>
          <w:sz w:val="20"/>
          <w:szCs w:val="20"/>
          <w:color w:val="auto"/>
        </w:rPr>
      </w:pPr>
    </w:p>
    <w:p>
      <w:pPr>
        <w:jc w:val="both"/>
        <w:ind w:firstLine="551"/>
        <w:spacing w:after="0" w:line="251" w:lineRule="auto"/>
        <w:rPr>
          <w:sz w:val="20"/>
          <w:szCs w:val="20"/>
          <w:color w:val="auto"/>
        </w:rPr>
      </w:pPr>
      <w:r>
        <w:rPr>
          <w:rFonts w:ascii="Arial" w:cs="Arial" w:eastAsia="Arial" w:hAnsi="Arial"/>
          <w:sz w:val="17"/>
          <w:szCs w:val="17"/>
          <w:color w:val="auto"/>
        </w:rPr>
        <w:t>We have had patent and other infringement lawsuits filed against us claiming that certain of our products and services infringe third party intellectual property rights, and we are subject to the future risk of additional third party claims alleging infringement against us or against our customers for use of our products and services. Many of our customer and partner contracts, including certain suppliers, contain indemnification obligations requiring us to indemnify our customers from certain claims against them or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and may in the future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would suffer if we are unable to protect and enforce our intellectual property rights.</w:t>
      </w:r>
    </w:p>
    <w:p>
      <w:pPr>
        <w:spacing w:after="0" w:line="239" w:lineRule="exact"/>
        <w:rPr>
          <w:sz w:val="20"/>
          <w:szCs w:val="20"/>
          <w:color w:val="auto"/>
        </w:rPr>
      </w:pPr>
    </w:p>
    <w:p>
      <w:pPr>
        <w:jc w:val="both"/>
        <w:ind w:firstLine="551"/>
        <w:spacing w:after="0" w:line="251" w:lineRule="auto"/>
        <w:rPr>
          <w:sz w:val="20"/>
          <w:szCs w:val="20"/>
          <w:color w:val="auto"/>
        </w:rPr>
      </w:pPr>
      <w:r>
        <w:rPr>
          <w:rFonts w:ascii="Arial" w:cs="Arial" w:eastAsia="Arial" w:hAnsi="Arial"/>
          <w:sz w:val="17"/>
          <w:szCs w:val="17"/>
          <w:color w:val="auto"/>
        </w:rPr>
        <w:t>Our success and ability to compete depend, in part, upon the protection of our intellectual property rights relating to the technology underlying our services. 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and/or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spacing w:after="0" w:line="261" w:lineRule="auto"/>
        <w:rPr>
          <w:sz w:val="20"/>
          <w:szCs w:val="20"/>
          <w:color w:val="auto"/>
        </w:rPr>
      </w:pPr>
      <w:r>
        <w:rPr>
          <w:rFonts w:ascii="Arial" w:cs="Arial" w:eastAsia="Arial" w:hAnsi="Arial"/>
          <w:sz w:val="18"/>
          <w:szCs w:val="18"/>
          <w:color w:val="auto"/>
        </w:rPr>
        <w:t>sold or used, where the laws may not protect proprietary rights as fully as do the laws of the United States or where enforcement of laws protecting proprietary rights is not common or effective.</w:t>
      </w:r>
    </w:p>
    <w:p>
      <w:pPr>
        <w:spacing w:after="0" w:line="198"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7"/>
          <w:szCs w:val="17"/>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 is possible that:</w:t>
      </w:r>
    </w:p>
    <w:p>
      <w:pPr>
        <w:spacing w:after="0" w:line="7" w:lineRule="exact"/>
        <w:rPr>
          <w:sz w:val="20"/>
          <w:szCs w:val="20"/>
          <w:color w:val="auto"/>
        </w:rPr>
      </w:pPr>
    </w:p>
    <w:p>
      <w:pPr>
        <w:ind w:left="760" w:hanging="10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issued patent or patents issued in the future may not be broad enough to protect our intellectual property rights;</w:t>
      </w:r>
    </w:p>
    <w:p>
      <w:pPr>
        <w:ind w:left="660" w:right="20" w:hanging="4"/>
        <w:spacing w:after="0" w:line="234" w:lineRule="auto"/>
        <w:tabs>
          <w:tab w:leader="none" w:pos="7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issued patent or any patents issued in the future could be successfully challenged by one or more third parties, which could result in our loss of the right to prevent others from exploiting the inventions claimed in the patents;</w:t>
      </w:r>
    </w:p>
    <w:p>
      <w:pPr>
        <w:spacing w:after="0" w:line="1" w:lineRule="exact"/>
        <w:rPr>
          <w:rFonts w:ascii="Arial" w:cs="Arial" w:eastAsia="Arial" w:hAnsi="Arial"/>
          <w:sz w:val="18"/>
          <w:szCs w:val="18"/>
          <w:color w:val="auto"/>
        </w:rPr>
      </w:pPr>
    </w:p>
    <w:p>
      <w:pPr>
        <w:ind w:left="660" w:hanging="4"/>
        <w:spacing w:after="0" w:line="234" w:lineRule="auto"/>
        <w:tabs>
          <w:tab w:leader="none" w:pos="7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and future competitors may independently develop similar technologies, duplicate our services or design around any patents we may have; and</w:t>
      </w:r>
    </w:p>
    <w:p>
      <w:pPr>
        <w:spacing w:after="0" w:line="1" w:lineRule="exact"/>
        <w:rPr>
          <w:rFonts w:ascii="Arial" w:cs="Arial" w:eastAsia="Arial" w:hAnsi="Arial"/>
          <w:sz w:val="18"/>
          <w:szCs w:val="18"/>
          <w:color w:val="auto"/>
        </w:rPr>
      </w:pPr>
    </w:p>
    <w:p>
      <w:pPr>
        <w:jc w:val="both"/>
        <w:ind w:left="660" w:hanging="4"/>
        <w:spacing w:after="0" w:line="239" w:lineRule="auto"/>
        <w:tabs>
          <w:tab w:leader="none" w:pos="7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w:t>
      </w:r>
    </w:p>
    <w:p>
      <w:pPr>
        <w:spacing w:after="0" w:line="216" w:lineRule="exact"/>
        <w:rPr>
          <w:sz w:val="20"/>
          <w:szCs w:val="20"/>
          <w:color w:val="auto"/>
        </w:rPr>
      </w:pPr>
    </w:p>
    <w:p>
      <w:pPr>
        <w:jc w:val="both"/>
        <w:ind w:firstLine="551"/>
        <w:spacing w:after="0" w:line="251" w:lineRule="auto"/>
        <w:rPr>
          <w:sz w:val="20"/>
          <w:szCs w:val="20"/>
          <w:color w:val="auto"/>
        </w:rPr>
      </w:pPr>
      <w:r>
        <w:rPr>
          <w:rFonts w:ascii="Arial" w:cs="Arial" w:eastAsia="Arial" w:hAnsi="Arial"/>
          <w:sz w:val="17"/>
          <w:szCs w:val="17"/>
          <w:color w:val="auto"/>
        </w:rPr>
        <w:t>Further, to the extent that the invention described in any United States patent was made public prior to the filing of the patent application, we may not be able to obtain patent protection in certain countries. We also rely upon copyright, trade secret, trademark and other common law in the United States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United States and our failure to monitor foreign registrations or mark usage may impact out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 The unauthorized reproduction or other misappropriation of our intellectual property rights could enable third parties to benefit from our 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Issues in the use of AI in our product offerings may result in reputational harm or liability.</w:t>
      </w:r>
    </w:p>
    <w:p>
      <w:pPr>
        <w:spacing w:after="0" w:line="239" w:lineRule="exact"/>
        <w:rPr>
          <w:sz w:val="20"/>
          <w:szCs w:val="20"/>
          <w:color w:val="auto"/>
        </w:rPr>
      </w:pPr>
    </w:p>
    <w:p>
      <w:pPr>
        <w:jc w:val="both"/>
        <w:ind w:firstLine="551"/>
        <w:spacing w:after="0" w:line="238" w:lineRule="auto"/>
        <w:rPr>
          <w:sz w:val="20"/>
          <w:szCs w:val="20"/>
          <w:color w:val="auto"/>
        </w:rPr>
      </w:pPr>
      <w:r>
        <w:rPr>
          <w:rFonts w:ascii="Arial" w:cs="Arial" w:eastAsia="Arial" w:hAnsi="Arial"/>
          <w:sz w:val="18"/>
          <w:szCs w:val="18"/>
          <w:color w:val="auto"/>
        </w:rPr>
        <w:t>We have built, and will continue to build, AI into many of our product offerings and we expect this element of our business to grow. We envision a future in which AI operating in our devices, applications and the cloud helps our customers be more productive in their business activities and interactions with consumers. As with many disruptive innovations, AI presents risks and challenges that could affect its adoption, and therefore our business. AI algorithms may be flawed. Datasets may be insufficient or contain biased information. Inappropriate or controversial data practices by us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a material adverse effect on our business, results of operations and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legal liability and/or negative publicity for the services provided to consumers via our technology platforms.</w:t>
      </w:r>
    </w:p>
    <w:p>
      <w:pPr>
        <w:spacing w:after="0" w:line="239"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Our technology platforms enable representatives of our customers as well as individual service providers to communicate with consumers and other persons seeking information or advice on the web or via mobile devices. The law relating to the liability of online platform providers such as us for the activities of users of their online platforms is often challenged in the United States and internationally. We may be unable to prevent users of our technology platforms from providing negligent, unlawful or inappropriate advice, information or content via our technology platforms, or from behaving in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both"/>
        <w:ind w:right="20"/>
        <w:spacing w:after="0" w:line="261" w:lineRule="auto"/>
        <w:rPr>
          <w:sz w:val="20"/>
          <w:szCs w:val="20"/>
          <w:color w:val="auto"/>
        </w:rPr>
      </w:pPr>
      <w:r>
        <w:rPr>
          <w:rFonts w:ascii="Arial" w:cs="Arial" w:eastAsia="Arial" w:hAnsi="Arial"/>
          <w:sz w:val="18"/>
          <w:szCs w:val="18"/>
          <w:color w:val="auto"/>
        </w:rPr>
        <w:t>an unlawful manner, and we may be subject to allegations of civil or criminal liability for negligent, fraudulent, unlawful or inappropriate activities carried out by users of our technology platforms.</w:t>
      </w:r>
    </w:p>
    <w:p>
      <w:pPr>
        <w:spacing w:after="0" w:line="198"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Claims could be made against online services companies under both United States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w:t>
      </w:r>
    </w:p>
    <w:p>
      <w:pPr>
        <w:spacing w:after="0" w:line="216" w:lineRule="exact"/>
        <w:rPr>
          <w:sz w:val="20"/>
          <w:szCs w:val="20"/>
          <w:color w:val="auto"/>
        </w:rPr>
      </w:pPr>
    </w:p>
    <w:p>
      <w:pPr>
        <w:jc w:val="both"/>
        <w:ind w:firstLine="551"/>
        <w:spacing w:after="0" w:line="272" w:lineRule="auto"/>
        <w:rPr>
          <w:sz w:val="20"/>
          <w:szCs w:val="20"/>
          <w:color w:val="auto"/>
        </w:rPr>
      </w:pPr>
      <w:r>
        <w:rPr>
          <w:rFonts w:ascii="Arial" w:cs="Arial" w:eastAsia="Arial" w:hAnsi="Arial"/>
          <w:sz w:val="16"/>
          <w:szCs w:val="16"/>
          <w:color w:val="auto"/>
        </w:rPr>
        <w:t>The Digital Millennium Copyright Act, or DMCA, is intended, among other things, to reduce the liability of online service providers for transmitting or storing materials that infringe copyrights of others or referring, listing or linking to third party web properties that include materials that infringe copyrights of others. Additionally, Section 230 of the Communications Decency Act, or CDA, is intended to provide statutory protections to online service providers who host or distribute third party content. A safe harbor for copyright infringement is also available under the DMCA to certain online service providers that provide specific services, if the providers take certain affirmative steps as set forth in the DMCA. There are various Congressional efforts to restrict the scope of the protections from liability for service providers in certain circumstances. Important questions regarding the safe harbor under the DMCA and the CDA have yet to be litigated, and we cannot guarantee that we will meet the safe harbor requirements of the DMCA or of the CDA. If we are not covered by a safe harbor, for any reason, we could be exposed to claims, which could be costly and time-consuming to defend.</w:t>
      </w:r>
    </w:p>
    <w:p>
      <w:pPr>
        <w:spacing w:after="0" w:line="195" w:lineRule="exact"/>
        <w:rPr>
          <w:sz w:val="20"/>
          <w:szCs w:val="20"/>
          <w:color w:val="auto"/>
        </w:rPr>
      </w:pPr>
    </w:p>
    <w:p>
      <w:pPr>
        <w:jc w:val="both"/>
        <w:ind w:right="20" w:firstLine="551"/>
        <w:spacing w:after="0" w:line="248" w:lineRule="auto"/>
        <w:rPr>
          <w:sz w:val="20"/>
          <w:szCs w:val="20"/>
          <w:color w:val="auto"/>
        </w:rPr>
      </w:pPr>
      <w:r>
        <w:rPr>
          <w:rFonts w:ascii="Arial" w:cs="Arial" w:eastAsia="Arial" w:hAnsi="Arial"/>
          <w:sz w:val="18"/>
          <w:szCs w:val="18"/>
          <w:color w:val="auto"/>
        </w:rPr>
        <w:t>Our consumer service allows consumers to provide feedback regarding service providers. Although all such feedback is generated by users and not by us, claims of defamation or other injury could be made against us for content posted on our websites. Our liability for such claims may be higher in jurisdictions outside the United States where laws governing Internet or mobile transactions are unsettled.</w:t>
      </w:r>
    </w:p>
    <w:p>
      <w:pPr>
        <w:spacing w:after="0" w:line="209"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the growth of our business. Any costs incurred as a result of this potential liability could harm our business.</w:t>
      </w:r>
    </w:p>
    <w:p>
      <w:pPr>
        <w:spacing w:after="0" w:line="215" w:lineRule="exact"/>
        <w:rPr>
          <w:sz w:val="20"/>
          <w:szCs w:val="20"/>
          <w:color w:val="auto"/>
        </w:rPr>
      </w:pPr>
    </w:p>
    <w:p>
      <w:pPr>
        <w:jc w:val="both"/>
        <w:ind w:right="20" w:firstLine="551"/>
        <w:spacing w:after="0" w:line="291" w:lineRule="auto"/>
        <w:rPr>
          <w:sz w:val="20"/>
          <w:szCs w:val="20"/>
          <w:color w:val="auto"/>
        </w:rPr>
      </w:pPr>
      <w:r>
        <w:rPr>
          <w:rFonts w:ascii="Arial" w:cs="Arial" w:eastAsia="Arial" w:hAnsi="Arial"/>
          <w:sz w:val="17"/>
          <w:szCs w:val="17"/>
          <w:color w:val="auto"/>
        </w:rPr>
        <w:t>In addition, negative publicity and user sentiment generated as a result of fraudulent or deceptive conduct by users of our technology platforms could damage our reputation, reduce our ability to attract new users or retain our current users, and diminish the value of our brand.</w:t>
      </w:r>
    </w:p>
    <w:p>
      <w:pPr>
        <w:spacing w:after="0" w:line="174"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7"/>
          <w:szCs w:val="17"/>
          <w:color w:val="auto"/>
        </w:rPr>
        <w:t>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 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mobile devices, software sales or export and/or the cloud or Software-as-a-Service industry, and/or the application of existing laws and regulations to the Internet, mobile devices, software sales or export and/or the cloud or Software-as-a-Service industry, could create new legal or regulatory burdens on our business that could have a material adverse effect on our business, results of operations and financial condition. Additionally, as we operate outside the United States, the international regulatory environment relating to the Internet, mobile devices, software sales or export, and/or the Software-as-a-Service industry could have a material adverse effect on our business, results of operations and financial condition.</w:t>
      </w:r>
    </w:p>
    <w:p>
      <w:pPr>
        <w:spacing w:after="0" w:line="200" w:lineRule="exact"/>
        <w:rPr>
          <w:sz w:val="20"/>
          <w:szCs w:val="20"/>
          <w:color w:val="auto"/>
        </w:rPr>
      </w:pPr>
    </w:p>
    <w:p>
      <w:pPr>
        <w:spacing w:after="0" w:line="246"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Risks Related to our International Operations and Tax Issues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impacted due to our exposure to foreign currency exchange rate fluctuations.</w:t>
      </w:r>
    </w:p>
    <w:p>
      <w:pPr>
        <w:spacing w:after="0" w:line="239"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7"/>
          <w:szCs w:val="17"/>
          <w:color w:val="auto"/>
        </w:rPr>
        <w:t>We conduct business in currencies other than the U.S. dollar in Europe, Australia, Japan and Israel. As we continue to expand our international operations we become more exposed to the effects of fluctuations in currency exchange rates. As a result of the expanding size and scope of our international operations, our currency rate fluctuation risk associated with the exchange rate movement of the U.S. dollar has increased.</w:t>
      </w:r>
    </w:p>
    <w:p>
      <w:pPr>
        <w:spacing w:after="0" w:line="191" w:lineRule="exact"/>
        <w:rPr>
          <w:sz w:val="20"/>
          <w:szCs w:val="20"/>
          <w:color w:val="auto"/>
        </w:rPr>
      </w:pPr>
    </w:p>
    <w:p>
      <w:pPr>
        <w:jc w:val="both"/>
        <w:ind w:right="20" w:firstLine="551"/>
        <w:spacing w:after="0" w:line="261" w:lineRule="auto"/>
        <w:rPr>
          <w:sz w:val="20"/>
          <w:szCs w:val="20"/>
          <w:color w:val="auto"/>
        </w:rPr>
      </w:pPr>
      <w:r>
        <w:rPr>
          <w:rFonts w:ascii="Arial" w:cs="Arial" w:eastAsia="Arial" w:hAnsi="Arial"/>
          <w:sz w:val="18"/>
          <w:szCs w:val="18"/>
          <w:color w:val="auto"/>
        </w:rPr>
        <w:t>Since we conduct business in currencies other than the U.S. dollar but report our financial results in U.S. dollars, fluctuations in currency exchange rates could adversely affect our results of operations. For example, during the year ended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17"/>
          <w:szCs w:val="17"/>
          <w:color w:val="auto"/>
        </w:rPr>
        <w:t>December 31, 2020, we experienced a foreign currency exchange impact of approximately 0.6% percent, or approximately $2.2 million if held in constant currency, to our revenue. Fluctuations in the value of the U.S. dollar relative to other foreign currencies could materially affect our revenue, cost of revenue and operating expenses, and result in foreign currency transaction gains and losses. In January 2015, we began hedging a portion of our foreign currency exchange rate exposure; however, significant fluctuations in exchange rates between the U.S. dollar and foreign currencies may nonetheless adversely affect our net income (loss). As of December 31, 2019, we are no longer party to any foreign currency hedging transactions. We may seek to enter into additional hedging transactions in the future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in the future. To the extent the international component of our revenues grows, our results of operations will become more sensitive to foreign exchange rate fluctuations.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conditions and regulatory changes caused by the United Kingdom’s exit from the European Union could negatively impact our business.</w:t>
      </w:r>
    </w:p>
    <w:p>
      <w:pPr>
        <w:spacing w:after="0" w:line="262" w:lineRule="exact"/>
        <w:rPr>
          <w:sz w:val="20"/>
          <w:szCs w:val="20"/>
          <w:color w:val="auto"/>
        </w:rPr>
      </w:pPr>
    </w:p>
    <w:p>
      <w:pPr>
        <w:jc w:val="both"/>
        <w:ind w:firstLine="551"/>
        <w:spacing w:after="0" w:line="239" w:lineRule="auto"/>
        <w:rPr>
          <w:sz w:val="20"/>
          <w:szCs w:val="20"/>
          <w:color w:val="auto"/>
        </w:rPr>
      </w:pPr>
      <w:r>
        <w:rPr>
          <w:rFonts w:ascii="Arial" w:cs="Arial" w:eastAsia="Arial" w:hAnsi="Arial"/>
          <w:sz w:val="18"/>
          <w:szCs w:val="18"/>
          <w:color w:val="auto"/>
        </w:rPr>
        <w:t>On January 31, 2020, the United Kingdom (“U.K.”) withdrew its membership from the European Union (“E.U.”), which is commonly referred to as “Brexit.” Pursuant to the withdrawal arrangements entered into between the U.K. and the E.U. in connection with Brexit, the U.K. was no longer a part of the E.U. at the end of the transition period on December 31, 2020. While the U.K. has for the most part chosen to retain existing E.U. law and on December 24, 2020 the U.K. and E.U. agreed to a trade and cooperation agreement which took provisional effect from January 1, 2020, the longer term economic, legal, political and social implications for the U.K. and the E.U. remain unclear and may lead to ongoing political, regulatory and economic uncertainty and periods of exacerbated volatility in both the U.K. and in wider European markets for some time. Such uncertainty may have a material adverse effect on our ability to operate in the U.K. and the E.U.</w:t>
      </w:r>
    </w:p>
    <w:p>
      <w:pPr>
        <w:spacing w:after="0" w:line="218"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Brexit has resulted in significant volatility in global stock market and currency exchange rate fluctuations that resulted in strengthening of the U.S. dollar relative to other foreign currencies in which we conduct business and global economic uncertainty. The continuing uncertainty may cause our customers to closely monitor their costs and reduce their spending budgets. This could negatively impact our business, including affecting our relationships with our existing and future customers, suppliers and employees.</w:t>
      </w:r>
    </w:p>
    <w:p>
      <w:pPr>
        <w:spacing w:after="0" w:line="215"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Further volatility in exchange rates resulting from Brexit is expected to continue in the short term as a result of Brexit. We translate sales and other results denominated in foreign currency into U.S. dollars for our financial statements. During periods of a strengthening dollar, our reported international sales and earnings could be reduced because foreign currencies may translate into fewer U.S. dollars.</w:t>
      </w:r>
    </w:p>
    <w:p>
      <w:pPr>
        <w:spacing w:after="0" w:line="209"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The longer term economic, legal, political and social implications of Brexit could potentially disrupt the markets we serve and the tax jurisdictions in which we operate and adversely change tax benefits or liabilities in these or other jurisdictions. They may also impact how we deliver our products and services to customers in the U.K. and in the E.U., which may cause us to lose customers, suppliers and/or employees and could result in increased operating expenses. In addition, Brexit could lead to further legal uncertainty and potentially divergent laws and regulations, as well as other adverse effects that we are unable to anticipate. Any of these effects of Brexit, among others, could negatively impact our business, results of operations, financial condition, cash flows and prospects.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spacing w:after="0" w:line="174"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In addition to our operations in the United States, we have operations in Australia, Bulgaria, Canada, France, Germany, Israel, Italy, Japan, Latin America, Netherlands, Singapore, Spain and the United Kingdom. We have also continued to invest in global messaging initiatives and in acquisitions. Our ability to continue to expand into international markets and in the online consumer market involves various risks, including the possibility that returns on such investments will not be achieved in the near future, or ever, and the difficulty of competing in markets with which we are unfamiliar.</w:t>
      </w:r>
    </w:p>
    <w:p>
      <w:pPr>
        <w:spacing w:after="0" w:line="182" w:lineRule="exact"/>
        <w:rPr>
          <w:sz w:val="20"/>
          <w:szCs w:val="20"/>
          <w:color w:val="auto"/>
        </w:rPr>
      </w:pPr>
    </w:p>
    <w:p>
      <w:pPr>
        <w:jc w:val="both"/>
        <w:ind w:right="20" w:firstLine="551"/>
        <w:spacing w:after="0" w:line="244" w:lineRule="auto"/>
        <w:rPr>
          <w:sz w:val="20"/>
          <w:szCs w:val="20"/>
          <w:color w:val="auto"/>
        </w:rPr>
      </w:pPr>
      <w:r>
        <w:rPr>
          <w:rFonts w:ascii="Arial" w:cs="Arial" w:eastAsia="Arial" w:hAnsi="Arial"/>
          <w:sz w:val="18"/>
          <w:szCs w:val="18"/>
          <w:color w:val="auto"/>
        </w:rPr>
        <w:t>Our international operations and direct-to-consumer services may also fail due to other risks inherent in foreign and/or online consumer operations, including:</w:t>
      </w:r>
    </w:p>
    <w:p>
      <w:pPr>
        <w:ind w:left="660" w:right="20" w:hanging="4"/>
        <w:spacing w:after="0" w:line="234" w:lineRule="auto"/>
        <w:tabs>
          <w:tab w:leader="none" w:pos="7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varied, unfamiliar, unclear and changing legal and regulatory restrictions, including different legal and regulatory standards applicable to Internet or mobile services, communications, privacy, and data protection;</w:t>
      </w:r>
    </w:p>
    <w:p>
      <w:pPr>
        <w:spacing w:after="0" w:line="1" w:lineRule="exact"/>
        <w:rPr>
          <w:rFonts w:ascii="Arial" w:cs="Arial" w:eastAsia="Arial" w:hAnsi="Arial"/>
          <w:sz w:val="18"/>
          <w:szCs w:val="18"/>
          <w:color w:val="auto"/>
        </w:rPr>
      </w:pPr>
    </w:p>
    <w:p>
      <w:pPr>
        <w:ind w:left="760" w:hanging="104"/>
        <w:spacing w:after="0" w:line="234"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ind w:left="760" w:hanging="104"/>
        <w:spacing w:after="0" w:line="234"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intellectual property laws that may not provide sufficient protection for our intellectual property;</w:t>
      </w:r>
    </w:p>
    <w:p>
      <w:pPr>
        <w:ind w:left="760" w:hanging="10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tax consequences or additional tax liabilities;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left="760" w:hanging="10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addressing country-specific business requirements and regulations, for instance, data privacy laws;</w:t>
      </w:r>
    </w:p>
    <w:p>
      <w:pPr>
        <w:spacing w:after="0" w:line="11" w:lineRule="exact"/>
        <w:rPr>
          <w:rFonts w:ascii="Arial" w:cs="Arial" w:eastAsia="Arial" w:hAnsi="Arial"/>
          <w:sz w:val="18"/>
          <w:szCs w:val="18"/>
          <w:color w:val="auto"/>
        </w:rPr>
      </w:pPr>
    </w:p>
    <w:p>
      <w:pPr>
        <w:ind w:left="760" w:hanging="104"/>
        <w:spacing w:after="0" w:line="234"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ind w:left="760" w:hanging="104"/>
        <w:spacing w:after="0" w:line="234"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strains on financial and other systems to properly administer VAT and other taxes;</w:t>
      </w:r>
    </w:p>
    <w:p>
      <w:pPr>
        <w:ind w:left="760" w:hanging="104"/>
        <w:spacing w:after="0" w:line="234"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consumer preferences and requirements in specific international markets; and</w:t>
      </w:r>
    </w:p>
    <w:p>
      <w:pPr>
        <w:jc w:val="both"/>
        <w:ind w:left="660" w:hanging="4"/>
        <w:spacing w:after="0" w:line="239" w:lineRule="auto"/>
        <w:tabs>
          <w:tab w:leader="none" w:pos="7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international legal, compliance, political, regulatory or systemic restrictions, or other international governmental scrutiny, applicable to United States companies with sales and operations in foreign countries, including, but not limited to, possible compliance issues involving the U.S. Foreign Corrupt Practices Act, the U.K. Bribery Act, and similar laws in other jurisdictions.</w:t>
      </w:r>
    </w:p>
    <w:p>
      <w:pPr>
        <w:spacing w:after="0" w:line="216"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Our current and any future international expansion plans will require management attention and resources and may be unsuccessful. We may find it impossible or prohibitively expensive to continue expand internationally or we may be unsuccessful in our attempt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w:t>
      </w:r>
    </w:p>
    <w:p>
      <w:pPr>
        <w:spacing w:after="0" w:line="21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Our operations may expose us to greater than anticipated income, non-income and transactional tax liabilities, which could harm our financial condition and results of operations.</w:t>
      </w:r>
    </w:p>
    <w:p>
      <w:pPr>
        <w:spacing w:after="0" w:line="198" w:lineRule="exact"/>
        <w:rPr>
          <w:sz w:val="20"/>
          <w:szCs w:val="20"/>
          <w:color w:val="auto"/>
        </w:rPr>
      </w:pPr>
    </w:p>
    <w:p>
      <w:pPr>
        <w:jc w:val="both"/>
        <w:ind w:firstLine="551"/>
        <w:spacing w:after="0" w:line="251" w:lineRule="auto"/>
        <w:rPr>
          <w:sz w:val="20"/>
          <w:szCs w:val="20"/>
          <w:color w:val="auto"/>
        </w:rPr>
      </w:pPr>
      <w:r>
        <w:rPr>
          <w:rFonts w:ascii="Arial" w:cs="Arial" w:eastAsia="Arial" w:hAnsi="Arial"/>
          <w:sz w:val="17"/>
          <w:szCs w:val="17"/>
          <w:color w:val="auto"/>
        </w:rPr>
        <w:t>There is heightened scrutiny by fiscal authorities in many jurisdictions on the potential taxation of e-commerce businesses. The Organization for Economic Co-operation and Development (OECD) has issued guidelines, referred to as the Base Erosion and Profit Shifting project (BEPS),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e-commerce business,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At this point, there is a lack of consensus among the key members, particularly the United States, with the latest OECD proposal. The United States has expressed that it would generally support a solution along the lines proposed by the OECD only if the solution was in the form of a “safe-harbor” rather than a mandatory requirement. A failure to reach full consensus on an executable plan within the tight timeframe under which the OECD is operating could result in individual jurisdictions legislating digital tax provisions in an uncoordinated and unilateral manner, and further result in greater or even double taxation that companies may not have sufficient means to remedy. For example, a number of jurisdictions, including the U.K., France and Italy, have already adopted or have formally proposed legislation to effect the taxation of certain e-commerce business based on differing criteria and metrics. Efforts to alleviate this increased tax burden will increase the cost of structuring and compliance as well as the cost of doing business internationally. Any changes to the taxation of our international activities may increase our worldwide effective tax rate and adversely impact our financial position and results of operations.</w:t>
      </w:r>
    </w:p>
    <w:p>
      <w:pPr>
        <w:spacing w:after="0" w:line="214" w:lineRule="exact"/>
        <w:rPr>
          <w:sz w:val="20"/>
          <w:szCs w:val="20"/>
          <w:color w:val="auto"/>
        </w:rPr>
      </w:pPr>
    </w:p>
    <w:p>
      <w:pPr>
        <w:jc w:val="both"/>
        <w:ind w:firstLine="551"/>
        <w:spacing w:after="0" w:line="238" w:lineRule="auto"/>
        <w:rPr>
          <w:sz w:val="20"/>
          <w:szCs w:val="20"/>
          <w:color w:val="auto"/>
        </w:rPr>
      </w:pPr>
      <w:r>
        <w:rPr>
          <w:rFonts w:ascii="Arial" w:cs="Arial" w:eastAsia="Arial" w:hAnsi="Arial"/>
          <w:sz w:val="18"/>
          <w:szCs w:val="18"/>
          <w:color w:val="auto"/>
        </w:rPr>
        <w:t>Further, the prospective taxation by multiple jurisdictions of e-commerce businesses could subject us to exposure to withholding, sales, VAT and/or other transaction taxes on our past and future transactions in such jurisdictions where we currently or in the future may be required to report taxable transactions. A successful assertion by any jurisdiction that we failed to pay such withholding, sales, VAT or other transaction taxes, or the imposition of new laws requiring the registration for, collection of, and payment of such taxes, could result in substantial tax liabilities related to past, current and future sales,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these taxes. Changes in our exposure to withholding, sales, VAT and/or other transaction taxes could have an adverse impact on our financial condition in the future.</w:t>
      </w:r>
    </w:p>
    <w:p>
      <w:pPr>
        <w:spacing w:after="0" w:line="221"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6"/>
          <w:szCs w:val="16"/>
          <w:color w:val="auto"/>
        </w:rPr>
        <w:t>In addition, an increasing number of states have considered or adopted laws that attempt to impose tax collection obligations on out-of-state companies. In June 2018, the Supreme Court of the United States issued its decision in the matter of South Dakota v. Wayfair, Inc. This decision effectively reversed the 25-year-old “physical presence doctrine” previously established by the Supreme Court in Quill Corp. v. North Dakota, which required a minimum level of physical presence within a state before the state could impose an obligation to register and remit sales tax on revenue derived within that state. This decision may significantly increase the effort, resources and costs associated with the sales tax collection and compliance burden. Since the decision, a number of states have enacted sales tax enabling legislation which has had the effect of significantly expanding the liability of e-commerce companies to register, collect and remit state sales taxes from customers.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39" w:lineRule="exact"/>
        <w:rPr>
          <w:sz w:val="20"/>
          <w:szCs w:val="20"/>
          <w:color w:val="auto"/>
        </w:rPr>
      </w:pPr>
    </w:p>
    <w:p>
      <w:pPr>
        <w:jc w:val="both"/>
        <w:ind w:firstLine="551"/>
        <w:spacing w:after="0" w:line="251" w:lineRule="auto"/>
        <w:rPr>
          <w:sz w:val="20"/>
          <w:szCs w:val="20"/>
          <w:color w:val="auto"/>
        </w:rPr>
      </w:pPr>
      <w:r>
        <w:rPr>
          <w:rFonts w:ascii="Arial" w:cs="Arial" w:eastAsia="Arial" w:hAnsi="Arial"/>
          <w:sz w:val="17"/>
          <w:szCs w:val="17"/>
          <w:color w:val="auto"/>
        </w:rPr>
        <w:t>As of December 31, 2020, we had federal net operating loss carryforwards (“NOLs”) of approximately $310.7 million which are available to offset future federal taxable income.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Under Section 382 of the Code, our existing NOLs may be subject to limitations arising from previous ownership changes, and if we undergo an ownership change in the future, our ability to utilize NOLs could be further limited by Section 382 of the Code, or as a result of a corresponding provision of state law. Future changes in our stock ownership, some of which may be outside of our control, could result in an ownership change under Section 382 of the Code. Federal NOLs generated in taxable years ending on or before December 31, 2017, are eligible to be carried forward for up to 20 tax years (and carried back up to two tax years) following their incurrence. Federal NOLs generated in taxable years ending after December 31, 2017, are eligible to be carried forward indefinitely, but generally may only offset up to 80% of federal taxable income earned in a taxable year. As of December 31, 2020, approximately $41.2 million of our approximately $310.7 million of federal NOLs were generated in taxable years ending on or before December 31, 2017. If our ability to utilize federal NOLs were limited by Section 382 of the Code, it could result in NOLs generated on or before December 31, 2017, expiring unused. Our ability to utilize our NOLs is conditioned upon our maintaining profitability in the future and generating U.S. federal taxable income. Since we do not know whether or when we will generate the U.S. federal taxable income necessary to utilize our remaining NOLs, our NOLs generated on or prior to December 31, 2017 could expire unused.</w:t>
      </w:r>
    </w:p>
    <w:p>
      <w:pPr>
        <w:spacing w:after="0" w:line="214"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On March 27, 2020, the Coronavirus Aid, Relief, and Economic Security (CARES) Act was signed into law making several changes to the Code including, but not limited to, allowing companies to carryback certain NOLs and increasing the amount of NOL carryforwards that corporations can use to offset taxable income in the 2018 through 2020 taxable years. As a result of the CARES Act, we amended returns for net operating loss carrybacks available from 2013 to 2018 and for foreign tax, and research and development credit carrybacks from 2012 to 2013, resulting in refund claims of approximately $580,000.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 military conditions in Israel could negatively impact our Israeli operations.</w:t>
      </w:r>
    </w:p>
    <w:p>
      <w:pPr>
        <w:spacing w:after="0" w:line="239"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A substantial portion of our product development staff, help desk and online sales support operations are located in Israel. As of December 31, 2020, we had 325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Hamas (an Islamist militia and political group that controls the Gaza Strip), Hezbollah (an Islamist militia and political group based in Lebanon) and other armed groups. Furthermore, Iran has threatened to attack Israel and may be developing nuclear weapons.</w:t>
      </w:r>
    </w:p>
    <w:p>
      <w:pPr>
        <w:spacing w:after="0" w:line="216"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7"/>
          <w:szCs w:val="17"/>
          <w:color w:val="auto"/>
        </w:rPr>
        <w:t>In addition, the State of Israel and Israeli companies have been subject to economic boycotts. Several countries still restrict business with the State of Israel and with Israeli companies. These restrictive laws and policies may have an adverse impact on our results of operations, financial condition or the expansion of our business. A campaign of boycotts, divestment, and sanctions has been undertaken against Israel, which could also adversely affect our business. Actual or perceived political instability in Israel or any negative changes in the political environment, may individually or in the aggregate adversely affect the Israeli economy and, in turn, our business, financial condition and results of operations.</w:t>
      </w:r>
    </w:p>
    <w:p>
      <w:pPr>
        <w:spacing w:after="0" w:line="201"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215"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Further, shifting economic and political conditions in the United States and in other countries may result in changes in how the United States and other countries conduct business and other relations with Israel, which may have an adverse impact on our Israeli operations and a material adverse impact on our business.</w:t>
      </w:r>
    </w:p>
    <w:p>
      <w:pPr>
        <w:spacing w:after="0" w:line="209"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w:t>
      </w:r>
    </w:p>
    <w:p>
      <w:pPr>
        <w:spacing w:after="0" w:line="209"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securities.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4" w:name="page45"/>
    <w:bookmarkEnd w:id="44"/>
    <w:p>
      <w:pPr>
        <w:jc w:val="both"/>
        <w:spacing w:after="0" w:line="248" w:lineRule="auto"/>
        <w:rPr>
          <w:sz w:val="20"/>
          <w:szCs w:val="20"/>
          <w:color w:val="auto"/>
        </w:rPr>
      </w:pPr>
      <w:r>
        <w:rPr>
          <w:rFonts w:ascii="Arial" w:cs="Arial" w:eastAsia="Arial" w:hAnsi="Arial"/>
          <w:sz w:val="18"/>
          <w:szCs w:val="18"/>
          <w:color w:val="auto"/>
        </w:rPr>
        <w:t>addition, escalation of tensions or violence might require more widespread military reserve service by some of our Israeli employees and might result in a significant downturn in the economic or financial condition of Israel, either of which could have a material adverse effect on our operations in Israel and our business.</w:t>
      </w:r>
    </w:p>
    <w:p>
      <w:pPr>
        <w:spacing w:after="0" w:line="200" w:lineRule="exact"/>
        <w:rPr>
          <w:sz w:val="20"/>
          <w:szCs w:val="20"/>
          <w:color w:val="auto"/>
        </w:rPr>
      </w:pPr>
    </w:p>
    <w:p>
      <w:pPr>
        <w:spacing w:after="0" w:line="24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Risks Related to our Outstanding Convertible Notes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may require a significant amount of cash, and we may not have sufficient cash flow from our business to pay our indebtedness.</w:t>
      </w:r>
    </w:p>
    <w:p>
      <w:pPr>
        <w:spacing w:after="0" w:line="262"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212529"/>
        </w:rPr>
        <w:t xml:space="preserve">In March 2019, we issued </w:t>
      </w:r>
      <w:r>
        <w:rPr>
          <w:rFonts w:ascii="Arial" w:cs="Arial" w:eastAsia="Arial" w:hAnsi="Arial"/>
          <w:sz w:val="17"/>
          <w:szCs w:val="17"/>
          <w:color w:val="000000"/>
        </w:rPr>
        <w:t>$230.0 million</w:t>
      </w:r>
      <w:r>
        <w:rPr>
          <w:rFonts w:ascii="Arial" w:cs="Arial" w:eastAsia="Arial" w:hAnsi="Arial"/>
          <w:sz w:val="17"/>
          <w:szCs w:val="17"/>
          <w:color w:val="212529"/>
        </w:rPr>
        <w:t xml:space="preserve"> in aggregate principal amount of 0.75% Convertible Senior Notes due 2024 in a private placement (the “2024 Notes”). The interest rate on the 2024 Notes is fixed at 0.75% per annum and is payable semi-annually in arrears on March 1 and September 1 of each year. In December 2020, we issued </w:t>
      </w:r>
      <w:r>
        <w:rPr>
          <w:rFonts w:ascii="Arial" w:cs="Arial" w:eastAsia="Arial" w:hAnsi="Arial"/>
          <w:sz w:val="17"/>
          <w:szCs w:val="17"/>
          <w:color w:val="000000"/>
        </w:rPr>
        <w:t>$517.5 million</w:t>
      </w:r>
      <w:r>
        <w:rPr>
          <w:rFonts w:ascii="Arial" w:cs="Arial" w:eastAsia="Arial" w:hAnsi="Arial"/>
          <w:sz w:val="17"/>
          <w:szCs w:val="17"/>
          <w:color w:val="212529"/>
        </w:rPr>
        <w:t xml:space="preserve"> in aggregate principal amount of 0% Convertible Senior Notes due 2026 in a private placement (the “2026 Notes,” and together with the 2024 Notes, the “Notes”). The 2026 Notes do not bear any regular interest payments.</w:t>
      </w:r>
    </w:p>
    <w:p>
      <w:pPr>
        <w:spacing w:after="0" w:line="199"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7"/>
          <w:szCs w:val="17"/>
          <w:color w:val="212529"/>
        </w:rPr>
        <w:t>Our ability to make scheduled payments of the principal of, to pay interest on or to refinance our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any future debt may contain limitations on our ability to pay cash upon conversion or repurchase of the Notes.</w:t>
      </w:r>
    </w:p>
    <w:p>
      <w:pPr>
        <w:spacing w:after="0" w:line="174" w:lineRule="exact"/>
        <w:rPr>
          <w:sz w:val="20"/>
          <w:szCs w:val="20"/>
          <w:color w:val="auto"/>
        </w:rPr>
      </w:pPr>
    </w:p>
    <w:p>
      <w:pPr>
        <w:jc w:val="both"/>
        <w:ind w:firstLine="551"/>
        <w:spacing w:after="0" w:line="252" w:lineRule="auto"/>
        <w:rPr>
          <w:sz w:val="20"/>
          <w:szCs w:val="20"/>
          <w:color w:val="auto"/>
        </w:rPr>
      </w:pPr>
      <w:r>
        <w:rPr>
          <w:rFonts w:ascii="Arial" w:cs="Arial" w:eastAsia="Arial" w:hAnsi="Arial"/>
          <w:sz w:val="17"/>
          <w:szCs w:val="17"/>
          <w:color w:val="212529"/>
        </w:rPr>
        <w:t>Holders of the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are required to make cash payments in respect of the Notes being converted. However, we may not have enough available cash or be able to obtain financing at the time we are required to make repurchases of Notes surrendered therefor or pay cash with respect to Notes being converted. In addition, our ability to repurchase Notes or to pay cash upon conversions of Notes may be limited by law, regulatory authority, or any agreements governing our future indebtedness. Our failure to repurchase Notes at a time when the repurchase is required by the indenture or to pay any cash upon conversions of Notes as required by the indenture would constitute a default under the indenture. A default under the indenture or the fundamental change itself could also lead to a default under agreements governing any future indebtedness. If the payment of the related indebtedness were to be accelerated after any applicable notice or grace periods, we may not have sufficient funds to repay the indebtedness and repurchase the Notes or to pay cash upon conversions of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the indentures for the Notes may deter or prevent a business combination that may be favorable to you.</w:t>
      </w:r>
    </w:p>
    <w:p>
      <w:pPr>
        <w:spacing w:after="0" w:line="239"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If a fundamental change occurs prior to the maturity date of the Notes, the holders of the Notes will have the right, at their option, to require us to repurchase all or a portion of their Notes. In addition, if a make-whole fundamental change occurs prior the maturity date of the Notes, we will in some cases be required to increase the conversion rate for a holder that elects to convert its Notes in connection with such make-whole fundamental change. Furthermore, the indentures for the Notes prohibit us from engaging in certain mergers or acquisitions unless, among other things, the surviving entity assumes our obligations under the Notes. These and other provisions in the indentures governing the Notes could deter or prevent a third party from acquiring us even when the acquisition may be favorable to you.</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239"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 xml:space="preserve">In the event the conditional conversion feature of the Notes is triggered, holders of the Notes will </w:t>
      </w:r>
      <w:r>
        <w:rPr>
          <w:rFonts w:ascii="Arial" w:cs="Arial" w:eastAsia="Arial" w:hAnsi="Arial"/>
          <w:sz w:val="18"/>
          <w:szCs w:val="18"/>
          <w:color w:val="212529"/>
        </w:rPr>
        <w:t>be entitled to convert their Notes at any time</w:t>
      </w:r>
      <w:r>
        <w:rPr>
          <w:rFonts w:ascii="Arial" w:cs="Arial" w:eastAsia="Arial" w:hAnsi="Arial"/>
          <w:sz w:val="18"/>
          <w:szCs w:val="18"/>
          <w:color w:val="auto"/>
        </w:rPr>
        <w:t xml:space="preserve"> </w:t>
      </w:r>
      <w:r>
        <w:rPr>
          <w:rFonts w:ascii="Arial" w:cs="Arial" w:eastAsia="Arial" w:hAnsi="Arial"/>
          <w:sz w:val="18"/>
          <w:szCs w:val="18"/>
          <w:color w:val="212529"/>
        </w:rPr>
        <w:t>during specified periods at their option. If one or more holders elect to convert their Notes, unless we elect to satisfy our conversion obligation by delivering solely shares of our common stock (other than paying cash in lieu of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spacing w:after="0" w:line="243" w:lineRule="auto"/>
        <w:rPr>
          <w:sz w:val="20"/>
          <w:szCs w:val="20"/>
          <w:color w:val="auto"/>
        </w:rPr>
      </w:pPr>
      <w:r>
        <w:rPr>
          <w:rFonts w:ascii="Arial" w:cs="Arial" w:eastAsia="Arial" w:hAnsi="Arial"/>
          <w:sz w:val="18"/>
          <w:szCs w:val="18"/>
          <w:color w:val="212529"/>
        </w:rPr>
        <w:t>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98"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7"/>
          <w:szCs w:val="17"/>
          <w:color w:val="auto"/>
        </w:rPr>
        <w:t xml:space="preserve">Under </w:t>
      </w:r>
      <w:r>
        <w:rPr>
          <w:rFonts w:ascii="Arial" w:cs="Arial" w:eastAsia="Arial" w:hAnsi="Arial"/>
          <w:sz w:val="17"/>
          <w:szCs w:val="17"/>
          <w:color w:val="212529"/>
        </w:rPr>
        <w:t>Accounting Standards Codification 470-20,</w:t>
      </w:r>
      <w:r>
        <w:rPr>
          <w:rFonts w:ascii="Arial" w:cs="Arial" w:eastAsia="Arial" w:hAnsi="Arial"/>
          <w:sz w:val="17"/>
          <w:szCs w:val="17"/>
          <w:color w:val="auto"/>
        </w:rPr>
        <w:t xml:space="preserve"> </w:t>
      </w:r>
      <w:r>
        <w:rPr>
          <w:rFonts w:ascii="Arial" w:cs="Arial" w:eastAsia="Arial" w:hAnsi="Arial"/>
          <w:sz w:val="17"/>
          <w:szCs w:val="17"/>
          <w:i w:val="1"/>
          <w:iCs w:val="1"/>
          <w:color w:val="212529"/>
        </w:rPr>
        <w:t>Debt with Conversion and Other Options</w:t>
      </w:r>
      <w:r>
        <w:rPr>
          <w:rFonts w:ascii="Arial" w:cs="Arial" w:eastAsia="Arial" w:hAnsi="Arial"/>
          <w:sz w:val="17"/>
          <w:szCs w:val="17"/>
          <w:color w:val="212529"/>
        </w:rPr>
        <w:t>, or ASC 470-20, an entity must separately account for</w:t>
      </w:r>
      <w:r>
        <w:rPr>
          <w:rFonts w:ascii="Arial" w:cs="Arial" w:eastAsia="Arial" w:hAnsi="Arial"/>
          <w:sz w:val="17"/>
          <w:szCs w:val="17"/>
          <w:color w:val="auto"/>
        </w:rPr>
        <w:t xml:space="preserve"> </w:t>
      </w:r>
      <w:r>
        <w:rPr>
          <w:rFonts w:ascii="Arial" w:cs="Arial" w:eastAsia="Arial" w:hAnsi="Arial"/>
          <w:sz w:val="17"/>
          <w:szCs w:val="17"/>
          <w:color w:val="212529"/>
        </w:rPr>
        <w:t>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net of issuance costs, is required to be included in the additional paid-in capital section of stockholders’ equity on our condensed consolidated balance sheet at the issuance date and the value of the equity component is treated as original issue discount for purposes of accounting for the liability component of the Notes. As a result, we are required to record a greater amount of non-cash interest expense in current periods presented as a result of the amortization of the discounted carrying value of the Notes to their face amount over the term of the Notes. We will report larger net losses (or lower net income) in our financial results because ASC 470-20 requires interest to include both the current period’s amortization of the debt discount and the instrument’s non-convertible coupon interest rate, which could adversely affect our reported or future financial results, the trading price of our common stock and the trading price of the Notes.</w:t>
      </w:r>
    </w:p>
    <w:p>
      <w:pPr>
        <w:spacing w:after="0" w:line="207"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212529"/>
        </w:rPr>
        <w:t>addition, under certain circumstances, convertible debt instruments (such as the Notes) that may be settled entirely or partly in cash may be</w:t>
      </w:r>
      <w:r>
        <w:rPr>
          <w:rFonts w:ascii="Arial" w:cs="Arial" w:eastAsia="Arial" w:hAnsi="Arial"/>
          <w:sz w:val="17"/>
          <w:szCs w:val="17"/>
          <w:color w:val="auto"/>
        </w:rPr>
        <w:t xml:space="preserve"> </w:t>
      </w:r>
      <w:r>
        <w:rPr>
          <w:rFonts w:ascii="Arial" w:cs="Arial" w:eastAsia="Arial" w:hAnsi="Arial"/>
          <w:sz w:val="17"/>
          <w:szCs w:val="17"/>
          <w:color w:val="212529"/>
        </w:rPr>
        <w:t>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Notes, then our diluted earnings per share would be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common stock.</w:t>
      </w:r>
    </w:p>
    <w:p>
      <w:pPr>
        <w:spacing w:after="0" w:line="239"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212529"/>
        </w:rPr>
        <w:t>In connection with the transaction in which we issued the Notes, we entered into capped call transactions with certain option counterparties. The capped call transactions are expected generally to reduce the potential dilution to our common stock upon any conversion of Notes and/or offset any cash payments we are required to make in excess of the principal amount of the converted Notes, as the case may be, upon any conversion of Notes, with such reduction and/or offset subject to a cap.</w:t>
      </w:r>
    </w:p>
    <w:p>
      <w:pPr>
        <w:spacing w:after="0" w:line="215" w:lineRule="exact"/>
        <w:rPr>
          <w:sz w:val="20"/>
          <w:szCs w:val="20"/>
          <w:color w:val="auto"/>
        </w:rPr>
      </w:pPr>
    </w:p>
    <w:p>
      <w:pPr>
        <w:jc w:val="both"/>
        <w:ind w:firstLine="551"/>
        <w:spacing w:after="0" w:line="239" w:lineRule="auto"/>
        <w:rPr>
          <w:sz w:val="20"/>
          <w:szCs w:val="20"/>
          <w:color w:val="auto"/>
        </w:rPr>
      </w:pPr>
      <w:r>
        <w:rPr>
          <w:rFonts w:ascii="Arial" w:cs="Arial" w:eastAsia="Arial" w:hAnsi="Arial"/>
          <w:sz w:val="18"/>
          <w:szCs w:val="18"/>
          <w:color w:val="212529"/>
        </w:rPr>
        <w:t>The option counterparties or their respective affiliates are expected to modify their hedge positions by entering into or unwinding various derivatives with respect to our common stock and/or purchasing or selling our common stock, the Notes or other of our securities or instruments (if any), in secondary market transactions prior to the maturity of the Notes (and are likely to do so during any observation period related to a conversion of Notes or following any earlier conversion or any repurchase of Notes by us on any fundamental change repurchase date or otherwise). This activity could also cause or avoid an increase or a decrease in the market price of our common stock or the Notes, which could affect a holder’s ability to convert the Notes and, to the extent the activity occurs during any observation period related to a conversion of Notes, it could affect the amount and value of the consideration that a holder will receive upon conversion of such Notes.</w:t>
      </w:r>
    </w:p>
    <w:p>
      <w:pPr>
        <w:spacing w:after="0" w:line="218"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212529"/>
        </w:rPr>
        <w:t>The potential effect, if any, of these transactions and activities on the market price of our common stock or the Notes will depend in part on market conditions and cannot be ascertained at this time. Any of these activities could adversely affect the value of our common stock and the value of the Notes (and as a result, the amount and value of the consideration that a holder would receive upon the conversion of any Notes) and, under certain circumstances, a holder’s ability to convert his or her Notes.</w:t>
      </w:r>
    </w:p>
    <w:p>
      <w:pPr>
        <w:spacing w:after="0" w:line="215"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7"/>
          <w:szCs w:val="17"/>
          <w:color w:val="212529"/>
        </w:rPr>
        <w:t>We do not make any representation or prediction as to the direction or magnitude of any potential effect that the transactions described above may have on the price of our common stock or the Notes. In addition, we do not make any representation that the option counterparties or their respective affiliates will engage in these transactions or that these transactions, once commenced, will not be discontinued without notice.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39" w:lineRule="exact"/>
        <w:rPr>
          <w:sz w:val="20"/>
          <w:szCs w:val="20"/>
          <w:color w:val="auto"/>
        </w:rPr>
      </w:pPr>
    </w:p>
    <w:p>
      <w:pPr>
        <w:jc w:val="both"/>
        <w:ind w:firstLine="557"/>
        <w:spacing w:after="0" w:line="261" w:lineRule="auto"/>
        <w:rPr>
          <w:sz w:val="20"/>
          <w:szCs w:val="20"/>
          <w:color w:val="auto"/>
        </w:rPr>
      </w:pPr>
      <w:r>
        <w:rPr>
          <w:rFonts w:ascii="Arial" w:cs="Arial" w:eastAsia="Arial" w:hAnsi="Arial"/>
          <w:sz w:val="18"/>
          <w:szCs w:val="18"/>
          <w:color w:val="212529"/>
        </w:rPr>
        <w:t>The option counterparties to the capped call transactions are financial institutions, and we are subject to the risk that any or all of them may default under the capped calls. Our exposure to the credit risk of the option counterparties is not secured by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7"/>
          <w:szCs w:val="17"/>
          <w:color w:val="212529"/>
        </w:rPr>
        <w:t>any collateral. Global economic conditions have in the recent past resulted in, and may again result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depends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has been, and may continue to be, highly volatile, which could reduce the value of your investment and subject us to litigation.</w:t>
      </w:r>
    </w:p>
    <w:p>
      <w:pPr>
        <w:spacing w:after="0" w:line="262"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The price of our common stock has fluctuated significantly in the past and may continue to be highly volatile, with extreme price and volume fluctuations. Our trading price could fluctuate substantially in the future, including in response to the following factors, some of which are beyond our control:</w:t>
      </w:r>
    </w:p>
    <w:p>
      <w:pPr>
        <w:ind w:left="880" w:hanging="102"/>
        <w:spacing w:after="0" w:line="23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operating results or those of our competitors;</w:t>
      </w:r>
    </w:p>
    <w:p>
      <w:pPr>
        <w:ind w:left="880" w:hanging="102"/>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announcements that are not in line with analyst expectations;</w:t>
      </w:r>
    </w:p>
    <w:p>
      <w:pPr>
        <w:ind w:left="880" w:hanging="102"/>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recommendations or financial estimates by securities analysts;</w:t>
      </w:r>
    </w:p>
    <w:p>
      <w:pPr>
        <w:ind w:left="880" w:hanging="102"/>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or rumors about mergers or strategic acquisitions by us or by our competitors;</w:t>
      </w:r>
    </w:p>
    <w:p>
      <w:pPr>
        <w:ind w:left="880" w:hanging="102"/>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about customer additions and cancellations or failure to complete significant sales;</w:t>
      </w:r>
    </w:p>
    <w:p>
      <w:pPr>
        <w:ind w:left="880" w:hanging="102"/>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market valuations of companies that investors believe are comparable to us;</w:t>
      </w:r>
    </w:p>
    <w:p>
      <w:pPr>
        <w:ind w:left="880" w:hanging="102"/>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ind w:left="880" w:hanging="102"/>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consequences of unexpected geopolitical events, natural disasters, acts of war or climate change;</w:t>
      </w:r>
    </w:p>
    <w:p>
      <w:pPr>
        <w:ind w:left="880" w:hanging="102"/>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pandemics, epidemics or similar widespread public health concerns; and</w:t>
      </w:r>
    </w:p>
    <w:p>
      <w:pPr>
        <w:ind w:firstLine="778"/>
        <w:spacing w:after="0" w:line="243" w:lineRule="auto"/>
        <w:tabs>
          <w:tab w:leader="none" w:pos="8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political and market conditions, such as recessions, political unrest or terrorist attacks, or in the specific locations where we operate, such as the United States, Israel and the United Kingdom.</w:t>
      </w:r>
    </w:p>
    <w:p>
      <w:pPr>
        <w:spacing w:after="0" w:line="213"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In addition, extreme price and volume fluctuations in the stock markets generally, and in the markets for technology companies in particular, could cause the market price for our common stock to decline. In the past, companies that have experienced volatility in the market price of their stock have been the subject of securities class action litigation. We may in the future be the target of similar litigation, which could result in substantial costs and distract management’s attention and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traded on more than one market and this may result in price variations.</w:t>
      </w:r>
    </w:p>
    <w:p>
      <w:pPr>
        <w:spacing w:after="0" w:line="239" w:lineRule="exact"/>
        <w:rPr>
          <w:sz w:val="20"/>
          <w:szCs w:val="20"/>
          <w:color w:val="auto"/>
        </w:rPr>
      </w:pPr>
    </w:p>
    <w:p>
      <w:pPr>
        <w:jc w:val="both"/>
        <w:ind w:firstLine="551"/>
        <w:spacing w:after="0" w:line="279" w:lineRule="auto"/>
        <w:rPr>
          <w:sz w:val="20"/>
          <w:szCs w:val="20"/>
          <w:color w:val="auto"/>
        </w:rPr>
      </w:pPr>
      <w:r>
        <w:rPr>
          <w:rFonts w:ascii="Arial" w:cs="Arial" w:eastAsia="Arial" w:hAnsi="Arial"/>
          <w:sz w:val="16"/>
          <w:szCs w:val="16"/>
          <w:color w:val="auto"/>
        </w:rPr>
        <w:t>Our common stock is currently traded on the Nasdaq Global Select Market and the Tel Aviv Stock Exchange (“TASE”). Trading in our common stock on these markets takes place in different currencies (U.S. dollars on the Nasdaq and New Israeli Shekels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our officers, directors and largest stockholders choose to act together, they may be able to significantly influence our management and operations, acting in their own best interest and not necessarily those of our other stockholders.</w:t>
      </w:r>
    </w:p>
    <w:p>
      <w:pPr>
        <w:spacing w:after="0" w:line="198"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As of December 31, 2020, our executive officers, directors and holders of 5% or more of our outstanding common stock and their affiliates in the aggregate beneficially owned approximately 44.2% of our outstanding common stock. As a result, these stockholders, acting together, have the ability to significantly influence all matters requiring approval by our stockholders, including the election of directors and approval of significant corporate transactions. Our executive officers, directors and principal stockholders could also delay or prevent a change in control. The interests of this group of stockholders may not always coincide with LivePerson’s interests or the interests of other stockholders, and they may act in a manner that advances their best interests and not necessarily those of our other stockholders.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substantial amounts of our common stock may negatively affect our stock price.</w:t>
      </w:r>
    </w:p>
    <w:p>
      <w:pPr>
        <w:spacing w:after="0" w:line="239"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If we or our stockholders sell substantial amounts of our common stock, including shares issuable upon the exercise of outstanding options and warrants, or upon the conversion of the Notes, in the public market, or if the market perceives that these sales might occur, the market price of our common stock could fall. These sales also might make it more difficult for us to sell equity securities in the future at a time and price that we deem appropriate. No prediction can be made as to the effect, if any, that market sales of our common stock will have on the market price of our common stock.</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could discourage, delay or prevent a takeover that stockholders may consider favorable.</w:t>
      </w:r>
    </w:p>
    <w:p>
      <w:pPr>
        <w:spacing w:after="0" w:line="262" w:lineRule="exact"/>
        <w:rPr>
          <w:sz w:val="20"/>
          <w:szCs w:val="20"/>
          <w:color w:val="auto"/>
        </w:rPr>
      </w:pPr>
    </w:p>
    <w:p>
      <w:pPr>
        <w:ind w:firstLine="551"/>
        <w:spacing w:after="0" w:line="324"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w:t>
      </w:r>
    </w:p>
    <w:p>
      <w:pPr>
        <w:spacing w:after="0" w:line="151" w:lineRule="exact"/>
        <w:rPr>
          <w:sz w:val="20"/>
          <w:szCs w:val="20"/>
          <w:color w:val="auto"/>
        </w:rPr>
      </w:pPr>
    </w:p>
    <w:p>
      <w:pPr>
        <w:ind w:left="660" w:hanging="4"/>
        <w:spacing w:after="0" w:line="244" w:lineRule="auto"/>
        <w:tabs>
          <w:tab w:leader="none" w:pos="7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three-year staggered terms, which prevents stockholders from electing an entirely new board of directors at any annual meeting.</w:t>
      </w:r>
    </w:p>
    <w:p>
      <w:pPr>
        <w:ind w:left="760" w:hanging="104"/>
        <w:spacing w:after="0" w:line="234"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Vacancies on our board of directors may only be filled by a vote of a majority of directors then in office, even if less than a quorum.</w:t>
      </w:r>
    </w:p>
    <w:p>
      <w:pPr>
        <w:ind w:left="660" w:hanging="4"/>
        <w:spacing w:after="0" w:line="234" w:lineRule="auto"/>
        <w:tabs>
          <w:tab w:leader="none" w:pos="7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or any other matters. This limits the ability of minority stockholders to elect director candidates.</w:t>
      </w:r>
    </w:p>
    <w:p>
      <w:pPr>
        <w:spacing w:after="0" w:line="1" w:lineRule="exact"/>
        <w:rPr>
          <w:rFonts w:ascii="Arial" w:cs="Arial" w:eastAsia="Arial" w:hAnsi="Arial"/>
          <w:sz w:val="18"/>
          <w:szCs w:val="18"/>
          <w:color w:val="auto"/>
        </w:rPr>
      </w:pPr>
    </w:p>
    <w:p>
      <w:pPr>
        <w:ind w:left="760" w:hanging="104"/>
        <w:spacing w:after="0" w:line="234"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stockholders may only act at a duly called annual or special meeting and may not act by written consent.</w:t>
      </w:r>
    </w:p>
    <w:p>
      <w:pPr>
        <w:ind w:left="660" w:right="20" w:hanging="4"/>
        <w:spacing w:after="0" w:line="234" w:lineRule="auto"/>
        <w:tabs>
          <w:tab w:leader="none" w:pos="7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must provide advance notice to nominate individuals for election to our board of directors or to propose other matters that can be acted upon at a stockholders’ meeting.</w:t>
      </w:r>
    </w:p>
    <w:p>
      <w:pPr>
        <w:spacing w:after="0" w:line="1" w:lineRule="exact"/>
        <w:rPr>
          <w:rFonts w:ascii="Arial" w:cs="Arial" w:eastAsia="Arial" w:hAnsi="Arial"/>
          <w:sz w:val="18"/>
          <w:szCs w:val="18"/>
          <w:color w:val="auto"/>
        </w:rPr>
      </w:pPr>
    </w:p>
    <w:p>
      <w:pPr>
        <w:ind w:left="660" w:hanging="4"/>
        <w:spacing w:after="0" w:line="234" w:lineRule="auto"/>
        <w:tabs>
          <w:tab w:leader="none" w:pos="7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require super-majority voting by stockholders to amend certain provisions in our amended and restated certificate of incorporation and to amend our amended and restated bylaws.</w:t>
      </w:r>
    </w:p>
    <w:p>
      <w:pPr>
        <w:spacing w:after="0" w:line="1" w:lineRule="exact"/>
        <w:rPr>
          <w:rFonts w:ascii="Arial" w:cs="Arial" w:eastAsia="Arial" w:hAnsi="Arial"/>
          <w:sz w:val="18"/>
          <w:szCs w:val="18"/>
          <w:color w:val="auto"/>
        </w:rPr>
      </w:pPr>
    </w:p>
    <w:p>
      <w:pPr>
        <w:ind w:left="760" w:hanging="104"/>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amended and restated bylaws expressly authorize a super-majority of the board of directors to amend our amended and restated bylaws.</w:t>
      </w:r>
    </w:p>
    <w:p>
      <w:pPr>
        <w:spacing w:after="0" w:line="246"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This anti-takeover provision defenses could discourage, delay or prevent a change in control of our company, whether or not it is desired by or beneficial to our stockholders, which in turn could have a material adverse effect on the market price of our common stock.</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cannot assure our stockholders that any stock repurchase programs will be fully consummated or will enhance long-term stockholder value, and stock repurchases could increase the volatility of the price of our common stock and will diminish our cash reserves.</w:t>
      </w:r>
    </w:p>
    <w:p>
      <w:pPr>
        <w:spacing w:after="0" w:line="174"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7"/>
          <w:szCs w:val="17"/>
          <w:color w:val="auto"/>
        </w:rPr>
        <w:t>From 2012 through 2018, we had a stock repurchase program in place, pursuant to which we were authorized to repurchase shares of our common stock, in the open market or privately negotiated transactions, at times and prices considered appropriate by the Board of Directors depending upon prevailing market conditions and other corporate considerations. The timing and actual number of shares repurchased depended on a variety of factors including the timing of open trading windows, price, corporate and regulatory requirements, and other market conditions. The program was discontinued at the end of 2018. We may or may not enter into a new stock repurchase program in the future.</w:t>
      </w:r>
    </w:p>
    <w:p>
      <w:pPr>
        <w:spacing w:after="0" w:line="201"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Repurchases pursuant to our stock repurchase program could affect our stock price and increase its volatility. The existence of a stock repurchase program could also cause our stock price to be higher than it would be in the absence of such a program and could potentially reduce the market liquidity for our stock. Additionally, repurchases under a stock repurchase program would diminish our cash reserves, which could impact our ability to pursue possible future strategic opportunities and acquisitions and could result in lower overall returns on our cash balances. There can be no assurance that any stock repurchases will enhance stockholder value because the market price of our common stock may decline below the levels at which we repurchased shares of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LivePerson is headquartered in New York City, and we maintain a globally distributed, remote workforce. In 2020, due to health concerns related to the global novel coronavirus disease ("COVID-19") pandemic, the Company vacated its physical offices around the world, and began transitioning to an "employee-centric" workforce model, leveraging its expertise in AI and asynchronous communication to support operations, culture and productivity in this new environment.</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we have data centers in the United States, Europe and Australia pursuant to various lease agreements. We believe that our current facilities properties are in good condition and are adequate to meet our current needs. If required, we believe that we will be able to obtain suitable additional space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199"/>
        <w:spacing w:after="0" w:line="290" w:lineRule="auto"/>
        <w:rPr>
          <w:sz w:val="20"/>
          <w:szCs w:val="20"/>
          <w:color w:val="auto"/>
        </w:rPr>
      </w:pPr>
      <w:r>
        <w:rPr>
          <w:rFonts w:ascii="Arial" w:cs="Arial" w:eastAsia="Arial" w:hAnsi="Arial"/>
          <w:sz w:val="16"/>
          <w:szCs w:val="16"/>
          <w:color w:val="auto"/>
        </w:rPr>
        <w:t>We previously filed an intellectual property suit against [24]7 Customer, Inc. ("[24]/7")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our favor have invalidated the majority of [24]7 patents that were asserted in the patent cases. Trial for our intellectual property and other claims asserted against [24]7 is set for May 24, 2021. Trial for [24]7's patent infringement claims has been vacated, to be reset after the trial on our claims. We believe the claims filed by [24]7 are entirely without merit and intend to defend them vigorously.</w:t>
      </w:r>
    </w:p>
    <w:p>
      <w:pPr>
        <w:spacing w:after="0" w:line="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7"/>
          <w:szCs w:val="17"/>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0"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78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9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right="20" w:firstLine="648"/>
        <w:spacing w:after="0" w:line="277" w:lineRule="auto"/>
        <w:rPr>
          <w:sz w:val="20"/>
          <w:szCs w:val="20"/>
          <w:color w:val="auto"/>
        </w:rPr>
      </w:pPr>
      <w:r>
        <w:rPr>
          <w:rFonts w:ascii="Arial" w:cs="Arial" w:eastAsia="Arial" w:hAnsi="Arial"/>
          <w:sz w:val="18"/>
          <w:szCs w:val="18"/>
          <w:color w:val="auto"/>
        </w:rPr>
        <w:t>The principal United States market on which our common stock is traded is The NASDAQ Global Select Market under the symbol LPSN. Our shares of common stock are also traded on the Tel Aviv Stock Exchange under the symbol LPSN TA.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26, 2021, there were approximately 120 holders of record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earnings, if any, to finance the operation and expansion of our business and do not anticipate paying any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repurchases of the Company's equity securities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50" w:name="page51"/>
    <w:bookmarkEnd w:id="50"/>
    <w:p>
      <w:pPr>
        <w:jc w:val="center"/>
        <w:ind w:right="-32"/>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33" w:right="20" w:firstLine="648"/>
        <w:spacing w:after="0" w:line="277" w:lineRule="auto"/>
        <w:rPr>
          <w:sz w:val="20"/>
          <w:szCs w:val="20"/>
          <w:color w:val="auto"/>
        </w:rPr>
      </w:pPr>
      <w:r>
        <w:rPr>
          <w:rFonts w:ascii="Arial" w:cs="Arial" w:eastAsia="Arial" w:hAnsi="Arial"/>
          <w:sz w:val="18"/>
          <w:szCs w:val="18"/>
          <w:color w:val="auto"/>
        </w:rPr>
        <w:t>The graph depicted below compares the annual percentage changes in LivePerson’s cumulative total stockholder return with the cumulative total return of the Standard &amp; Poor’s SmallCap 600 Index and the Standard &amp; Poor’s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48895</wp:posOffset>
            </wp:positionV>
            <wp:extent cx="5254625" cy="4114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13" w:hanging="313"/>
        <w:spacing w:after="0"/>
        <w:tabs>
          <w:tab w:leader="none" w:pos="3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graph covers the period from December 31, 2015 to December 31, 2020.</w:t>
      </w:r>
    </w:p>
    <w:p>
      <w:pPr>
        <w:spacing w:after="0" w:line="117" w:lineRule="exact"/>
        <w:rPr>
          <w:rFonts w:ascii="Arial" w:cs="Arial" w:eastAsia="Arial" w:hAnsi="Arial"/>
          <w:sz w:val="18"/>
          <w:szCs w:val="18"/>
          <w:color w:val="auto"/>
        </w:rPr>
      </w:pPr>
    </w:p>
    <w:p>
      <w:pPr>
        <w:jc w:val="both"/>
        <w:ind w:left="333" w:hanging="333"/>
        <w:spacing w:after="0" w:line="263" w:lineRule="auto"/>
        <w:tabs>
          <w:tab w:leader="none" w:pos="3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graph assumes that $100 was invested at the market close on December 31, 2015 in LivePerson’s Common Stock, in the Standard &amp; Poor’s SmallCap 600 Index and in the Standard &amp; Poor’s Information Technology Index, and that all dividends were reinvested. No cash dividends have been declared on LivePerson’s Common Stock.</w:t>
      </w:r>
    </w:p>
    <w:p>
      <w:pPr>
        <w:spacing w:after="0" w:line="75" w:lineRule="exact"/>
        <w:rPr>
          <w:rFonts w:ascii="Arial" w:cs="Arial" w:eastAsia="Arial" w:hAnsi="Arial"/>
          <w:sz w:val="18"/>
          <w:szCs w:val="18"/>
          <w:color w:val="auto"/>
        </w:rPr>
      </w:pPr>
    </w:p>
    <w:p>
      <w:pPr>
        <w:ind w:left="313" w:hanging="313"/>
        <w:spacing w:after="0"/>
        <w:tabs>
          <w:tab w:leader="none" w:pos="3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17" w:lineRule="exact"/>
        <w:rPr>
          <w:sz w:val="20"/>
          <w:szCs w:val="20"/>
          <w:color w:val="auto"/>
        </w:rPr>
      </w:pPr>
    </w:p>
    <w:p>
      <w:pPr>
        <w:jc w:val="both"/>
        <w:ind w:left="33" w:firstLine="648"/>
        <w:spacing w:after="0" w:line="255"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Securities and Exchange Commission,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 that such information be treated as soliciting material, in each case under those statutes.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73"/>
          </w:cols>
          <w:pgMar w:left="287" w:top="124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selected consolidated financial data with respect to our consolidated balance sheets as of December 31, 2020 and 2019 and the related consolidated statements of operations for the years ended December 31, 2020, 2019 and 2018 have been derived from our audited consolidated financial statements which are included herein. The selected financial data with respect to our balance sheets as of December 31, 2018, 2017 and 2016 and the related statements of operations for the years ended December 31, 2017 and 2016 have been derived from our audited financial statements which are not included herein. Due to our acquisitions of AdvantageTec, Conversable, and Bot Central in 2018, we believe that comparisons of our operating results with each other, or with those of prior periods, may not be meaningful. The following selected consolidated financial data should be read in conjunction with the consolidated financial statements and the notes thereto and the information contained in Item 7, “Management’s Discussion and Analysis of Financial Condition and Results of Operations.”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731"/>
              <w:spacing w:after="0"/>
              <w:rPr>
                <w:sz w:val="20"/>
                <w:szCs w:val="20"/>
                <w:color w:val="auto"/>
              </w:rPr>
            </w:pPr>
            <w:r>
              <w:rPr>
                <w:rFonts w:ascii="Arial" w:cs="Arial" w:eastAsia="Arial" w:hAnsi="Arial"/>
                <w:sz w:val="16"/>
                <w:szCs w:val="16"/>
                <w:b w:val="1"/>
                <w:bCs w:val="1"/>
                <w:color w:val="auto"/>
                <w:w w:val="91"/>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2016</w:t>
            </w:r>
          </w:p>
        </w:tc>
      </w:tr>
      <w:tr>
        <w:trPr>
          <w:trHeight w:val="210"/>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1"/>
              </w:rPr>
              <w:t>(In Thousands, Except Share and per Share Data)</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46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r>
      <w:tr>
        <w:trPr>
          <w:trHeight w:val="230"/>
        </w:trPr>
        <w:tc>
          <w:tcPr>
            <w:tcW w:w="460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366,620</w:t>
            </w:r>
          </w:p>
        </w:tc>
        <w:tc>
          <w:tcPr>
            <w:tcW w:w="1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291,609</w:t>
            </w: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249,838</w:t>
            </w:r>
          </w:p>
        </w:tc>
        <w:tc>
          <w:tcPr>
            <w:tcW w:w="1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218,876</w:t>
            </w: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222,779</w:t>
            </w:r>
          </w:p>
        </w:tc>
      </w:tr>
      <w:tr>
        <w:trPr>
          <w:trHeight w:val="209"/>
        </w:trPr>
        <w:tc>
          <w:tcPr>
            <w:tcW w:w="4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78,878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63,161</w:t>
            </w:r>
          </w:p>
        </w:tc>
      </w:tr>
      <w:tr>
        <w:trPr>
          <w:trHeight w:val="230"/>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149,773</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156,814</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103,344</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90,905</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89,529</w:t>
            </w: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43,046</w:t>
            </w:r>
          </w:p>
        </w:tc>
      </w:tr>
      <w:tr>
        <w:trPr>
          <w:trHeight w:val="229"/>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Product development</w:t>
            </w:r>
          </w:p>
        </w:tc>
        <w:tc>
          <w:tcPr>
            <w:tcW w:w="22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108,414</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82,145</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55,707</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40,034</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40,198</w:t>
            </w: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2,369</w:t>
            </w:r>
          </w:p>
        </w:tc>
      </w:tr>
      <w:tr>
        <w:trPr>
          <w:trHeight w:val="229"/>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1,840</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3,885</w:t>
            </w:r>
          </w:p>
        </w:tc>
      </w:tr>
      <w:tr>
        <w:trPr>
          <w:trHeight w:val="223"/>
        </w:trPr>
        <w:tc>
          <w:tcPr>
            <w:tcW w:w="460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456,071</w:t>
            </w:r>
          </w:p>
        </w:tc>
        <w:tc>
          <w:tcPr>
            <w:tcW w:w="1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378,641</w:t>
            </w: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273,541</w:t>
            </w:r>
          </w:p>
        </w:tc>
        <w:tc>
          <w:tcPr>
            <w:tcW w:w="1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236,702</w:t>
            </w: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242,188</w:t>
            </w:r>
          </w:p>
        </w:tc>
      </w:tr>
      <w:tr>
        <w:trPr>
          <w:trHeight w:val="223"/>
        </w:trPr>
        <w:tc>
          <w:tcPr>
            <w:tcW w:w="4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(89,451)</w:t>
            </w:r>
          </w:p>
        </w:tc>
        <w:tc>
          <w:tcPr>
            <w:tcW w:w="1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(87,032)</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(23,703)</w:t>
            </w:r>
          </w:p>
        </w:tc>
        <w:tc>
          <w:tcPr>
            <w:tcW w:w="10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(17,826)</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(19,409)</w:t>
            </w:r>
          </w:p>
        </w:tc>
      </w:tr>
      <w:tr>
        <w:trPr>
          <w:trHeight w:val="210"/>
        </w:trPr>
        <w:tc>
          <w:tcPr>
            <w:tcW w:w="46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 income</w:t>
            </w:r>
          </w:p>
        </w:tc>
        <w:tc>
          <w:tcPr>
            <w:tcW w:w="22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(7,407)</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60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23"/>
        </w:trPr>
        <w:tc>
          <w:tcPr>
            <w:tcW w:w="4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(15,677)</w:t>
            </w:r>
          </w:p>
        </w:tc>
        <w:tc>
          <w:tcPr>
            <w:tcW w:w="1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(6,194)</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(530)</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(19,939)</w:t>
            </w:r>
          </w:p>
        </w:tc>
      </w:tr>
      <w:tr>
        <w:trPr>
          <w:trHeight w:val="230"/>
        </w:trPr>
        <w:tc>
          <w:tcPr>
            <w:tcW w:w="4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2,845</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5,934</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(25,873)</w:t>
            </w:r>
          </w:p>
        </w:tc>
      </w:tr>
      <w:tr>
        <w:trPr>
          <w:trHeight w:val="20"/>
        </w:trPr>
        <w:tc>
          <w:tcPr>
            <w:tcW w:w="4600" w:type="dxa"/>
            <w:vAlign w:val="bottom"/>
            <w:tcBorders>
              <w:bottom w:val="single" w:sz="8" w:color="CCFFC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Net loss per share of common stock:</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5"/>
        </w:trPr>
        <w:tc>
          <w:tcPr>
            <w:tcW w:w="46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46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9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0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000" w:type="dxa"/>
            <w:vAlign w:val="bottom"/>
            <w:tcBorders>
              <w:top w:val="single" w:sz="8" w:color="CCFFCC"/>
              <w:bottom w:val="single" w:sz="8" w:color="auto"/>
            </w:tcBorders>
          </w:tcPr>
          <w:p>
            <w:pPr>
              <w:spacing w:after="0" w:line="20" w:lineRule="exact"/>
              <w:rPr>
                <w:sz w:val="1"/>
                <w:szCs w:val="1"/>
                <w:color w:val="auto"/>
              </w:rPr>
            </w:pPr>
          </w:p>
        </w:tc>
      </w:tr>
      <w:tr>
        <w:trPr>
          <w:trHeight w:val="203"/>
        </w:trPr>
        <w:tc>
          <w:tcPr>
            <w:tcW w:w="460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w:t>
            </w:r>
          </w:p>
        </w:tc>
      </w:tr>
      <w:tr>
        <w:trPr>
          <w:trHeight w:val="20"/>
        </w:trPr>
        <w:tc>
          <w:tcPr>
            <w:tcW w:w="4600" w:type="dxa"/>
            <w:vAlign w:val="bottom"/>
            <w:tcBorders>
              <w:bottom w:val="single" w:sz="8" w:color="CCFFC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w w:val="91"/>
              </w:rPr>
              <w:t>Weighted-average shares used to compute net loss per share: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4"/>
        </w:trPr>
        <w:tc>
          <w:tcPr>
            <w:tcW w:w="46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65,888,450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62,593,026</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59,203,400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56,358,017</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56,063,777</w:t>
            </w:r>
          </w:p>
        </w:tc>
      </w:tr>
      <w:tr>
        <w:trPr>
          <w:trHeight w:val="20"/>
        </w:trPr>
        <w:tc>
          <w:tcPr>
            <w:tcW w:w="46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9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0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000" w:type="dxa"/>
            <w:vAlign w:val="bottom"/>
            <w:tcBorders>
              <w:top w:val="single" w:sz="8" w:color="CCFFCC"/>
              <w:bottom w:val="single" w:sz="8" w:color="auto"/>
            </w:tcBorders>
          </w:tcPr>
          <w:p>
            <w:pPr>
              <w:spacing w:after="0" w:line="20" w:lineRule="exact"/>
              <w:rPr>
                <w:sz w:val="1"/>
                <w:szCs w:val="1"/>
                <w:color w:val="auto"/>
              </w:rPr>
            </w:pPr>
          </w:p>
        </w:tc>
      </w:tr>
      <w:tr>
        <w:trPr>
          <w:trHeight w:val="204"/>
        </w:trPr>
        <w:tc>
          <w:tcPr>
            <w:tcW w:w="460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65,888,450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62,593,026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59,203,400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56,358,017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56,063,777</w:t>
            </w:r>
          </w:p>
        </w:tc>
      </w:tr>
      <w:tr>
        <w:trPr>
          <w:trHeight w:val="20"/>
        </w:trPr>
        <w:tc>
          <w:tcPr>
            <w:tcW w:w="4600" w:type="dxa"/>
            <w:vAlign w:val="bottom"/>
            <w:tcBorders>
              <w:bottom w:val="single" w:sz="8" w:color="CCFFC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4600" w:type="dxa"/>
            <w:vAlign w:val="bottom"/>
            <w:shd w:val="clear" w:color="auto" w:fill="CCFFCC"/>
          </w:tcPr>
          <w:p>
            <w:pPr>
              <w:ind w:left="20"/>
              <w:spacing w:after="0" w:line="196" w:lineRule="exact"/>
              <w:rPr>
                <w:sz w:val="20"/>
                <w:szCs w:val="20"/>
                <w:color w:val="auto"/>
              </w:rPr>
            </w:pPr>
            <w:r>
              <w:rPr>
                <w:rFonts w:ascii="Arial" w:cs="Arial" w:eastAsia="Arial" w:hAnsi="Arial"/>
                <w:sz w:val="18"/>
                <w:szCs w:val="18"/>
                <w:b w:val="1"/>
                <w:bCs w:val="1"/>
                <w:color w:val="auto"/>
              </w:rPr>
              <w:t>Other Financial and Operational Data:</w:t>
            </w:r>
          </w:p>
        </w:tc>
        <w:tc>
          <w:tcPr>
            <w:tcW w:w="220" w:type="dxa"/>
            <w:vAlign w:val="bottom"/>
            <w:tcBorders>
              <w:bottom w:val="single" w:sz="8" w:color="auto"/>
            </w:tcBorders>
            <w:shd w:val="clear" w:color="auto" w:fill="CCFFCC"/>
          </w:tcPr>
          <w:p>
            <w:pPr>
              <w:spacing w:after="0"/>
              <w:rPr>
                <w:sz w:val="17"/>
                <w:szCs w:val="17"/>
                <w:color w:val="auto"/>
              </w:rPr>
            </w:pPr>
          </w:p>
        </w:tc>
        <w:tc>
          <w:tcPr>
            <w:tcW w:w="980" w:type="dxa"/>
            <w:vAlign w:val="bottom"/>
            <w:tcBorders>
              <w:bottom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spacing w:after="0"/>
              <w:rPr>
                <w:sz w:val="17"/>
                <w:szCs w:val="17"/>
                <w:color w:val="auto"/>
              </w:rPr>
            </w:pPr>
          </w:p>
        </w:tc>
        <w:tc>
          <w:tcPr>
            <w:tcW w:w="1040" w:type="dxa"/>
            <w:vAlign w:val="bottom"/>
            <w:tcBorders>
              <w:bottom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4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rPr>
                <w:sz w:val="17"/>
                <w:szCs w:val="17"/>
                <w:color w:val="auto"/>
              </w:rPr>
            </w:pPr>
          </w:p>
        </w:tc>
        <w:tc>
          <w:tcPr>
            <w:tcW w:w="960" w:type="dxa"/>
            <w:vAlign w:val="bottom"/>
            <w:tcBorders>
              <w:bottom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4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spacing w:after="0"/>
              <w:rPr>
                <w:sz w:val="17"/>
                <w:szCs w:val="17"/>
                <w:color w:val="auto"/>
              </w:rPr>
            </w:pPr>
          </w:p>
        </w:tc>
      </w:tr>
      <w:tr>
        <w:trPr>
          <w:trHeight w:val="223"/>
        </w:trPr>
        <w:tc>
          <w:tcPr>
            <w:tcW w:w="46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19,198</w:t>
            </w:r>
          </w:p>
        </w:tc>
      </w:tr>
      <w:tr>
        <w:trPr>
          <w:trHeight w:val="20"/>
        </w:trPr>
        <w:tc>
          <w:tcPr>
            <w:tcW w:w="4600" w:type="dxa"/>
            <w:vAlign w:val="bottom"/>
            <w:tcBorders>
              <w:bottom w:val="single" w:sz="8" w:color="CCFFC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9"/>
        </w:trPr>
        <w:tc>
          <w:tcPr>
            <w:tcW w:w="4600" w:type="dxa"/>
            <w:vAlign w:val="bottom"/>
            <w:tcBorders>
              <w:bottom w:val="single" w:sz="8" w:color="CCFFCC"/>
            </w:tcBorders>
            <w:shd w:val="clear" w:color="auto" w:fill="CCFFCC"/>
          </w:tcPr>
          <w:p>
            <w:pPr>
              <w:ind w:left="20"/>
              <w:spacing w:after="0" w:line="223" w:lineRule="exact"/>
              <w:rPr>
                <w:sz w:val="20"/>
                <w:szCs w:val="20"/>
                <w:color w:val="auto"/>
              </w:rPr>
            </w:pPr>
            <w:r>
              <w:rPr>
                <w:rFonts w:ascii="Arial" w:cs="Arial" w:eastAsia="Arial" w:hAnsi="Arial"/>
                <w:sz w:val="18"/>
                <w:szCs w:val="18"/>
                <w:color w:val="auto"/>
              </w:rPr>
              <w:t xml:space="preserve">Adjusted operating income (loss) </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(29,978)</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7,503</w:t>
            </w:r>
          </w:p>
        </w:tc>
      </w:tr>
      <w:tr>
        <w:trPr>
          <w:trHeight w:val="20"/>
        </w:trPr>
        <w:tc>
          <w:tcPr>
            <w:tcW w:w="46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9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0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000" w:type="dxa"/>
            <w:vAlign w:val="bottom"/>
            <w:tcBorders>
              <w:top w:val="single" w:sz="8" w:color="CCFFCC"/>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8"/>
        <w:spacing w:after="0" w:line="257" w:lineRule="auto"/>
        <w:tabs>
          <w:tab w:leader="none" w:pos="149" w:val="left"/>
        </w:tabs>
        <w:numPr>
          <w:ilvl w:val="0"/>
          <w:numId w:val="33"/>
        </w:numPr>
        <w:rPr>
          <w:rFonts w:ascii="Arial" w:cs="Arial" w:eastAsia="Arial" w:hAnsi="Arial"/>
          <w:sz w:val="9"/>
          <w:szCs w:val="9"/>
          <w:color w:val="auto"/>
        </w:rPr>
      </w:pPr>
      <w:r>
        <w:rPr>
          <w:rFonts w:ascii="Arial" w:cs="Arial" w:eastAsia="Arial" w:hAnsi="Arial"/>
          <w:sz w:val="14"/>
          <w:szCs w:val="14"/>
          <w:color w:val="auto"/>
        </w:rPr>
        <w:t>We define adjusted EBITDA as net loss before provision for (benefit from) income taxes, other (expense) income, net, depreciation and amortization, stock-based compensation, restructuring costs, acquisition costs and other charges. Please see “Adjusted EBITDA” below for more information and for a reconciliation of adjusted EBITDA to net (loss) income, the most directly comparable financial measure calculated and presented in accordance with U.S. generally accepted accounting principles, or (“GAAP”).</w:t>
      </w:r>
    </w:p>
    <w:p>
      <w:pPr>
        <w:spacing w:after="0" w:line="22" w:lineRule="exact"/>
        <w:rPr>
          <w:rFonts w:ascii="Arial" w:cs="Arial" w:eastAsia="Arial" w:hAnsi="Arial"/>
          <w:sz w:val="9"/>
          <w:szCs w:val="9"/>
          <w:color w:val="auto"/>
        </w:rPr>
      </w:pPr>
    </w:p>
    <w:p>
      <w:pPr>
        <w:jc w:val="both"/>
        <w:ind w:firstLine="8"/>
        <w:spacing w:after="0" w:line="252" w:lineRule="auto"/>
        <w:tabs>
          <w:tab w:leader="none" w:pos="154" w:val="left"/>
        </w:tabs>
        <w:numPr>
          <w:ilvl w:val="0"/>
          <w:numId w:val="33"/>
        </w:numPr>
        <w:rPr>
          <w:rFonts w:ascii="Arial" w:cs="Arial" w:eastAsia="Arial" w:hAnsi="Arial"/>
          <w:sz w:val="9"/>
          <w:szCs w:val="9"/>
          <w:color w:val="auto"/>
        </w:rPr>
      </w:pPr>
      <w:r>
        <w:rPr>
          <w:rFonts w:ascii="Arial" w:cs="Arial" w:eastAsia="Arial" w:hAnsi="Arial"/>
          <w:sz w:val="14"/>
          <w:szCs w:val="14"/>
          <w:color w:val="auto"/>
        </w:rPr>
        <w:t>We define adjusted operating income as income (loss) before provision for income taxes excluding amortization, stock-based compensation, restructuring costs, acquisition costs, contingent earn-out adjustments, other charges and other (expense) income. Please see “Adjusted Operating Income” below for more information and for a reconciliation of adjusted operating income to income (loss) before provision for income taxes, the most directly comparable financial measure calculated and presented in accordance with U.S. generally accepted accounting principles or GAAP.</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Stock-based compensation included in the statements of operations above was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120" w:type="dxa"/>
            <w:vAlign w:val="bottom"/>
            <w:tcBorders>
              <w:bottom w:val="single" w:sz="8" w:color="CCFFC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6,511</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CFFC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15,772</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12,216</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4,921</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3,304</w:t>
            </w:r>
          </w:p>
        </w:tc>
        <w:tc>
          <w:tcPr>
            <w:tcW w:w="20" w:type="dxa"/>
            <w:vAlign w:val="bottom"/>
            <w:shd w:val="clear" w:color="auto" w:fill="CCFFCC"/>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12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Product development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27,557</w:t>
            </w:r>
          </w:p>
        </w:tc>
        <w:tc>
          <w:tcPr>
            <w:tcW w:w="12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17,661</w:t>
            </w:r>
          </w:p>
        </w:tc>
        <w:tc>
          <w:tcPr>
            <w:tcW w:w="10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20" w:type="dxa"/>
            <w:vAlign w:val="bottom"/>
            <w:tcBorders>
              <w:bottom w:val="single" w:sz="8" w:color="CCFF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51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Total stock-based compensation</w:t>
            </w:r>
          </w:p>
        </w:tc>
        <w:tc>
          <w:tcPr>
            <w:tcW w:w="280" w:type="dxa"/>
            <w:vAlign w:val="bottom"/>
            <w:tcBorders>
              <w:bottom w:val="single" w:sz="8" w:color="auto"/>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65,946</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44,105</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14,841</w:t>
            </w: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9,736</w:t>
            </w:r>
          </w:p>
        </w:tc>
        <w:tc>
          <w:tcPr>
            <w:tcW w:w="20" w:type="dxa"/>
            <w:vAlign w:val="bottom"/>
            <w:tcBorders>
              <w:bottom w:val="single" w:sz="8" w:color="auto"/>
            </w:tcBorders>
            <w:shd w:val="clear" w:color="auto" w:fill="CCFFCC"/>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bottom w:val="single" w:sz="8" w:color="auto"/>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8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8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CCFFCC"/>
              <w:bottom w:val="single" w:sz="8" w:color="auto"/>
            </w:tcBorders>
            <w:gridSpan w:val="2"/>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bottom w:val="single" w:sz="8" w:color="auto"/>
            </w:tcBorders>
          </w:tcPr>
          <w:p>
            <w:pPr>
              <w:spacing w:after="0" w:line="20" w:lineRule="exact"/>
              <w:rPr>
                <w:sz w:val="1"/>
                <w:szCs w:val="1"/>
                <w:color w:val="auto"/>
              </w:rPr>
            </w:pPr>
          </w:p>
        </w:tc>
        <w:tc>
          <w:tcPr>
            <w:tcW w:w="8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860" w:type="dxa"/>
            <w:vAlign w:val="bottom"/>
            <w:tcBorders>
              <w:top w:val="single" w:sz="8" w:color="CCFFCC"/>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auto"/>
            </w:tcBorders>
          </w:tcPr>
          <w:p>
            <w:pPr>
              <w:spacing w:after="0" w:line="20" w:lineRule="exact"/>
              <w:rPr>
                <w:sz w:val="1"/>
                <w:szCs w:val="1"/>
                <w:color w:val="auto"/>
              </w:rPr>
            </w:pPr>
          </w:p>
        </w:tc>
      </w:tr>
      <w:tr>
        <w:trPr>
          <w:trHeight w:val="416"/>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6"/>
                <w:szCs w:val="16"/>
                <w:b w:val="1"/>
                <w:bCs w:val="1"/>
                <w:color w:val="auto"/>
                <w:w w:val="90"/>
              </w:rPr>
              <w:t>As of December 31,</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r>
      <w:tr>
        <w:trPr>
          <w:trHeight w:val="209"/>
        </w:trPr>
        <w:tc>
          <w:tcPr>
            <w:tcW w:w="40" w:type="dxa"/>
            <w:vAlign w:val="bottom"/>
            <w:tcBorders>
              <w:bottom w:val="single" w:sz="8" w:color="CCFFCC"/>
            </w:tcBorders>
          </w:tcPr>
          <w:p>
            <w:pPr>
              <w:spacing w:after="0"/>
              <w:rPr>
                <w:sz w:val="18"/>
                <w:szCs w:val="18"/>
                <w:color w:val="auto"/>
              </w:rPr>
            </w:pPr>
          </w:p>
        </w:tc>
        <w:tc>
          <w:tcPr>
            <w:tcW w:w="51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2"/>
              </w:rPr>
              <w:t>(In Thousands)</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1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654,152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176,523</w:t>
            </w:r>
          </w:p>
        </w:tc>
        <w:tc>
          <w:tcPr>
            <w:tcW w:w="36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66,449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56,115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50,889</w:t>
            </w:r>
          </w:p>
        </w:tc>
        <w:tc>
          <w:tcPr>
            <w:tcW w:w="20" w:type="dxa"/>
            <w:vAlign w:val="bottom"/>
          </w:tcPr>
          <w:p>
            <w:pPr>
              <w:spacing w:after="0"/>
              <w:rPr>
                <w:sz w:val="19"/>
                <w:szCs w:val="19"/>
                <w:color w:val="auto"/>
              </w:rPr>
            </w:pPr>
          </w:p>
        </w:tc>
      </w:tr>
      <w:tr>
        <w:trPr>
          <w:trHeight w:val="229"/>
        </w:trPr>
        <w:tc>
          <w:tcPr>
            <w:tcW w:w="51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Working capital</w:t>
            </w: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540,260</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107,674</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7,873</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13,789</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17,548</w:t>
            </w:r>
          </w:p>
        </w:tc>
        <w:tc>
          <w:tcPr>
            <w:tcW w:w="20" w:type="dxa"/>
            <w:vAlign w:val="bottom"/>
          </w:tcPr>
          <w:p>
            <w:pPr>
              <w:spacing w:after="0"/>
              <w:rPr>
                <w:sz w:val="19"/>
                <w:szCs w:val="19"/>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1,006,432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512,710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290,103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219,638</w:t>
            </w:r>
          </w:p>
        </w:tc>
        <w:tc>
          <w:tcPr>
            <w:tcW w:w="20" w:type="dxa"/>
            <w:vAlign w:val="bottom"/>
          </w:tcPr>
          <w:p>
            <w:pPr>
              <w:spacing w:after="0"/>
              <w:rPr>
                <w:sz w:val="19"/>
                <w:szCs w:val="19"/>
                <w:color w:val="auto"/>
              </w:rPr>
            </w:pPr>
          </w:p>
        </w:tc>
      </w:tr>
      <w:tr>
        <w:trPr>
          <w:trHeight w:val="230"/>
        </w:trPr>
        <w:tc>
          <w:tcPr>
            <w:tcW w:w="51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243,934</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148,535</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170,729</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140,063</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138,476</w:t>
            </w:r>
          </w:p>
        </w:tc>
        <w:tc>
          <w:tcPr>
            <w:tcW w:w="20" w:type="dxa"/>
            <w:vAlign w:val="bottom"/>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Operating Income</w:t>
      </w:r>
    </w:p>
    <w:p>
      <w:pPr>
        <w:spacing w:after="0" w:line="121" w:lineRule="exact"/>
        <w:rPr>
          <w:sz w:val="20"/>
          <w:szCs w:val="20"/>
          <w:color w:val="auto"/>
        </w:rPr>
      </w:pPr>
    </w:p>
    <w:p>
      <w:pPr>
        <w:jc w:val="both"/>
        <w:ind w:firstLine="238"/>
        <w:spacing w:after="0" w:line="263"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76" w:lineRule="exact"/>
        <w:rPr>
          <w:sz w:val="20"/>
          <w:szCs w:val="20"/>
          <w:color w:val="auto"/>
        </w:rPr>
      </w:pPr>
    </w:p>
    <w:p>
      <w:pPr>
        <w:jc w:val="both"/>
        <w:ind w:firstLine="221"/>
        <w:spacing w:after="0" w:line="272" w:lineRule="auto"/>
        <w:rPr>
          <w:sz w:val="20"/>
          <w:szCs w:val="20"/>
          <w:color w:val="auto"/>
        </w:rPr>
      </w:pPr>
      <w:r>
        <w:rPr>
          <w:rFonts w:ascii="Arial" w:cs="Arial" w:eastAsia="Arial" w:hAnsi="Arial"/>
          <w:sz w:val="17"/>
          <w:szCs w:val="17"/>
          <w:color w:val="auto"/>
        </w:rPr>
        <w:t>We have included adjusted EBITDA and adjusted operating income in this Annual Report on Form 10-K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69" w:lineRule="exact"/>
        <w:rPr>
          <w:sz w:val="20"/>
          <w:szCs w:val="20"/>
          <w:color w:val="auto"/>
        </w:rPr>
      </w:pPr>
    </w:p>
    <w:p>
      <w:pPr>
        <w:jc w:val="both"/>
        <w:ind w:firstLine="196"/>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35" w:lineRule="exact"/>
        <w:rPr>
          <w:sz w:val="20"/>
          <w:szCs w:val="20"/>
          <w:color w:val="auto"/>
        </w:rPr>
      </w:pPr>
    </w:p>
    <w:p>
      <w:pPr>
        <w:jc w:val="both"/>
        <w:ind w:left="1300" w:hanging="320"/>
        <w:spacing w:after="0" w:line="263"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35"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costs;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0"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53" w:name="page54"/>
    <w:bookmarkEnd w:id="53"/>
    <w:p>
      <w:pPr>
        <w:jc w:val="both"/>
        <w:ind w:firstLine="219"/>
        <w:spacing w:after="0" w:line="263"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pre-tax GAAP loss and our other GAAP results. The following table presents a reconciliation of adjusted EBITDA for each of the periods indicated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w w:val="95"/>
              </w:rPr>
              <w:t>Year Ended December 31,</w:t>
            </w: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87"/>
        </w:trPr>
        <w:tc>
          <w:tcPr>
            <w:tcW w:w="444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r>
      <w:tr>
        <w:trPr>
          <w:trHeight w:val="170"/>
        </w:trPr>
        <w:tc>
          <w:tcPr>
            <w:tcW w:w="4440" w:type="dxa"/>
            <w:vAlign w:val="bottom"/>
            <w:shd w:val="clear" w:color="auto" w:fill="CCFFCC"/>
          </w:tcPr>
          <w:p>
            <w:pPr>
              <w:ind w:left="20"/>
              <w:spacing w:after="0"/>
              <w:rPr>
                <w:sz w:val="20"/>
                <w:szCs w:val="20"/>
                <w:color w:val="auto"/>
              </w:rPr>
            </w:pPr>
            <w:r>
              <w:rPr>
                <w:rFonts w:ascii="Arial" w:cs="Arial" w:eastAsia="Arial" w:hAnsi="Arial"/>
                <w:sz w:val="14"/>
                <w:szCs w:val="14"/>
                <w:b w:val="1"/>
                <w:bCs w:val="1"/>
                <w:color w:val="auto"/>
              </w:rPr>
              <w:t>Reconciliation of Adjusted EBITDA:</w:t>
            </w: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GAAP Net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(107,594)</w:t>
            </w:r>
          </w:p>
        </w:tc>
        <w:tc>
          <w:tcPr>
            <w:tcW w:w="5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(96,071)</w:t>
            </w: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(25,032)</w:t>
            </w:r>
          </w:p>
        </w:tc>
        <w:tc>
          <w:tcPr>
            <w:tcW w:w="5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(18,191)</w:t>
            </w:r>
          </w:p>
        </w:tc>
        <w:tc>
          <w:tcPr>
            <w:tcW w:w="5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(25,873)</w:t>
            </w:r>
          </w:p>
        </w:tc>
        <w:tc>
          <w:tcPr>
            <w:tcW w:w="340" w:type="dxa"/>
            <w:vAlign w:val="bottom"/>
          </w:tcPr>
          <w:p>
            <w:pPr>
              <w:spacing w:after="0"/>
              <w:rPr>
                <w:sz w:val="16"/>
                <w:szCs w:val="16"/>
                <w:color w:val="auto"/>
              </w:rPr>
            </w:pPr>
          </w:p>
        </w:tc>
      </w:tr>
      <w:tr>
        <w:trPr>
          <w:trHeight w:val="192"/>
        </w:trPr>
        <w:tc>
          <w:tcPr>
            <w:tcW w:w="4440" w:type="dxa"/>
            <w:vAlign w:val="bottom"/>
            <w:shd w:val="clear" w:color="auto" w:fill="CCFFCC"/>
          </w:tcPr>
          <w:p>
            <w:pPr>
              <w:ind w:left="220"/>
              <w:spacing w:after="0"/>
              <w:rPr>
                <w:sz w:val="20"/>
                <w:szCs w:val="20"/>
                <w:color w:val="auto"/>
              </w:rPr>
            </w:pPr>
            <w:r>
              <w:rPr>
                <w:rFonts w:ascii="Arial" w:cs="Arial" w:eastAsia="Arial" w:hAnsi="Arial"/>
                <w:sz w:val="14"/>
                <w:szCs w:val="14"/>
                <w:color w:val="auto"/>
              </w:rPr>
              <w:t>Amortization of purchased intangibles and finance leases</w:t>
            </w:r>
          </w:p>
        </w:tc>
        <w:tc>
          <w:tcPr>
            <w:tcW w:w="24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3,552</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2,932</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2,813</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4,682</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6,673</w:t>
            </w:r>
          </w:p>
        </w:tc>
        <w:tc>
          <w:tcPr>
            <w:tcW w:w="340" w:type="dxa"/>
            <w:vAlign w:val="bottom"/>
            <w:shd w:val="clear" w:color="auto" w:fill="CCFFCC"/>
          </w:tcPr>
          <w:p>
            <w:pPr>
              <w:spacing w:after="0"/>
              <w:rPr>
                <w:sz w:val="16"/>
                <w:szCs w:val="16"/>
                <w:color w:val="auto"/>
              </w:rPr>
            </w:pPr>
          </w:p>
        </w:tc>
      </w:tr>
      <w:tr>
        <w:trPr>
          <w:trHeight w:val="186"/>
        </w:trPr>
        <w:tc>
          <w:tcPr>
            <w:tcW w:w="44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65,946</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44,105</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14,841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8,944</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9,736</w:t>
            </w:r>
          </w:p>
        </w:tc>
        <w:tc>
          <w:tcPr>
            <w:tcW w:w="340" w:type="dxa"/>
            <w:vAlign w:val="bottom"/>
          </w:tcPr>
          <w:p>
            <w:pPr>
              <w:spacing w:after="0"/>
              <w:rPr>
                <w:sz w:val="16"/>
                <w:szCs w:val="16"/>
                <w:color w:val="auto"/>
              </w:rPr>
            </w:pPr>
          </w:p>
        </w:tc>
      </w:tr>
      <w:tr>
        <w:trPr>
          <w:trHeight w:val="192"/>
        </w:trPr>
        <w:tc>
          <w:tcPr>
            <w:tcW w:w="4440" w:type="dxa"/>
            <w:vAlign w:val="bottom"/>
            <w:shd w:val="clear" w:color="auto" w:fill="CCFFCC"/>
          </w:tcPr>
          <w:p>
            <w:pPr>
              <w:ind w:left="220"/>
              <w:spacing w:after="0"/>
              <w:rPr>
                <w:sz w:val="20"/>
                <w:szCs w:val="20"/>
                <w:color w:val="auto"/>
              </w:rPr>
            </w:pPr>
            <w:r>
              <w:rPr>
                <w:rFonts w:ascii="Arial" w:cs="Arial" w:eastAsia="Arial" w:hAnsi="Arial"/>
                <w:sz w:val="14"/>
                <w:szCs w:val="14"/>
                <w:color w:val="auto"/>
              </w:rPr>
              <w:t>Contingent earn-out adjustments</w:t>
            </w:r>
          </w:p>
        </w:tc>
        <w:tc>
          <w:tcPr>
            <w:tcW w:w="24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263</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6"/>
                <w:szCs w:val="16"/>
                <w:color w:val="auto"/>
              </w:rPr>
            </w:pPr>
          </w:p>
        </w:tc>
      </w:tr>
      <w:tr>
        <w:trPr>
          <w:trHeight w:val="186"/>
        </w:trPr>
        <w:tc>
          <w:tcPr>
            <w:tcW w:w="4440" w:type="dxa"/>
            <w:vAlign w:val="bottom"/>
          </w:tcPr>
          <w:p>
            <w:pPr>
              <w:ind w:left="220"/>
              <w:spacing w:after="0"/>
              <w:rPr>
                <w:sz w:val="20"/>
                <w:szCs w:val="20"/>
                <w:color w:val="auto"/>
              </w:rPr>
            </w:pPr>
            <w:r>
              <w:rPr>
                <w:rFonts w:ascii="Arial" w:cs="Arial" w:eastAsia="Arial" w:hAnsi="Arial"/>
                <w:sz w:val="14"/>
                <w:szCs w:val="14"/>
                <w:color w:val="auto"/>
              </w:rPr>
              <w:t>Restructuring costs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29,420</w:t>
            </w:r>
          </w:p>
        </w:tc>
        <w:tc>
          <w:tcPr>
            <w:tcW w:w="340" w:type="dxa"/>
            <w:vAlign w:val="bottom"/>
          </w:tcPr>
          <w:p>
            <w:pPr>
              <w:jc w:val="right"/>
              <w:ind w:right="165"/>
              <w:spacing w:after="0"/>
              <w:rPr>
                <w:sz w:val="20"/>
                <w:szCs w:val="20"/>
                <w:color w:val="auto"/>
              </w:rPr>
            </w:pPr>
            <w:r>
              <w:rPr>
                <w:rFonts w:ascii="Arial" w:cs="Arial" w:eastAsia="Arial" w:hAnsi="Arial"/>
                <w:sz w:val="9"/>
                <w:szCs w:val="9"/>
                <w:color w:val="auto"/>
                <w:w w:val="90"/>
              </w:rPr>
              <w:t>(1)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2,043</w:t>
            </w:r>
          </w:p>
        </w:tc>
        <w:tc>
          <w:tcPr>
            <w:tcW w:w="340" w:type="dxa"/>
            <w:vAlign w:val="bottom"/>
          </w:tcPr>
          <w:p>
            <w:pPr>
              <w:jc w:val="right"/>
              <w:ind w:right="141"/>
              <w:spacing w:after="0"/>
              <w:rPr>
                <w:sz w:val="20"/>
                <w:szCs w:val="20"/>
                <w:color w:val="auto"/>
              </w:rPr>
            </w:pPr>
            <w:r>
              <w:rPr>
                <w:rFonts w:ascii="Arial" w:cs="Arial" w:eastAsia="Arial" w:hAnsi="Arial"/>
                <w:sz w:val="9"/>
                <w:szCs w:val="9"/>
                <w:color w:val="auto"/>
              </w:rPr>
              <w:t>(2)</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4,468</w:t>
            </w:r>
          </w:p>
        </w:tc>
        <w:tc>
          <w:tcPr>
            <w:tcW w:w="340" w:type="dxa"/>
            <w:vAlign w:val="bottom"/>
          </w:tcPr>
          <w:p>
            <w:pPr>
              <w:jc w:val="right"/>
              <w:ind w:right="165"/>
              <w:spacing w:after="0"/>
              <w:rPr>
                <w:sz w:val="20"/>
                <w:szCs w:val="20"/>
                <w:color w:val="auto"/>
              </w:rPr>
            </w:pPr>
            <w:r>
              <w:rPr>
                <w:rFonts w:ascii="Arial" w:cs="Arial" w:eastAsia="Arial" w:hAnsi="Arial"/>
                <w:sz w:val="9"/>
                <w:szCs w:val="9"/>
                <w:color w:val="auto"/>
                <w:w w:val="90"/>
              </w:rPr>
              <w:t>(3)</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2,594</w:t>
            </w:r>
          </w:p>
        </w:tc>
        <w:tc>
          <w:tcPr>
            <w:tcW w:w="340" w:type="dxa"/>
            <w:vAlign w:val="bottom"/>
          </w:tcPr>
          <w:p>
            <w:pPr>
              <w:jc w:val="right"/>
              <w:ind w:right="165"/>
              <w:spacing w:after="0"/>
              <w:rPr>
                <w:sz w:val="20"/>
                <w:szCs w:val="20"/>
                <w:color w:val="auto"/>
              </w:rPr>
            </w:pPr>
            <w:r>
              <w:rPr>
                <w:rFonts w:ascii="Arial" w:cs="Arial" w:eastAsia="Arial" w:hAnsi="Arial"/>
                <w:sz w:val="9"/>
                <w:szCs w:val="9"/>
                <w:color w:val="auto"/>
                <w:w w:val="90"/>
              </w:rPr>
              <w:t>(4)</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2,369</w:t>
            </w:r>
          </w:p>
        </w:tc>
        <w:tc>
          <w:tcPr>
            <w:tcW w:w="340" w:type="dxa"/>
            <w:vAlign w:val="bottom"/>
          </w:tcPr>
          <w:p>
            <w:pPr>
              <w:ind w:left="20"/>
              <w:spacing w:after="0"/>
              <w:rPr>
                <w:sz w:val="20"/>
                <w:szCs w:val="20"/>
                <w:color w:val="auto"/>
              </w:rPr>
            </w:pPr>
            <w:r>
              <w:rPr>
                <w:rFonts w:ascii="Arial" w:cs="Arial" w:eastAsia="Arial" w:hAnsi="Arial"/>
                <w:sz w:val="9"/>
                <w:szCs w:val="9"/>
                <w:color w:val="auto"/>
              </w:rPr>
              <w:t>(9)</w:t>
            </w:r>
          </w:p>
        </w:tc>
      </w:tr>
      <w:tr>
        <w:trPr>
          <w:trHeight w:val="192"/>
        </w:trPr>
        <w:tc>
          <w:tcPr>
            <w:tcW w:w="4440" w:type="dxa"/>
            <w:vAlign w:val="bottom"/>
            <w:shd w:val="clear" w:color="auto" w:fill="CCFFCC"/>
          </w:tcPr>
          <w:p>
            <w:pPr>
              <w:ind w:left="2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22,826</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16,366</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14,188</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12,358</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12,011</w:t>
            </w:r>
          </w:p>
        </w:tc>
        <w:tc>
          <w:tcPr>
            <w:tcW w:w="340" w:type="dxa"/>
            <w:vAlign w:val="bottom"/>
            <w:shd w:val="clear" w:color="auto" w:fill="CCFFCC"/>
          </w:tcPr>
          <w:p>
            <w:pPr>
              <w:spacing w:after="0"/>
              <w:rPr>
                <w:sz w:val="16"/>
                <w:szCs w:val="16"/>
                <w:color w:val="auto"/>
              </w:rPr>
            </w:pPr>
          </w:p>
        </w:tc>
      </w:tr>
      <w:tr>
        <w:trPr>
          <w:trHeight w:val="186"/>
        </w:trPr>
        <w:tc>
          <w:tcPr>
            <w:tcW w:w="4440" w:type="dxa"/>
            <w:vAlign w:val="bottom"/>
          </w:tcPr>
          <w:p>
            <w:pPr>
              <w:ind w:left="220"/>
              <w:spacing w:after="0"/>
              <w:rPr>
                <w:sz w:val="20"/>
                <w:szCs w:val="20"/>
                <w:color w:val="auto"/>
              </w:rPr>
            </w:pPr>
            <w:r>
              <w:rPr>
                <w:rFonts w:ascii="Arial" w:cs="Arial" w:eastAsia="Arial" w:hAnsi="Arial"/>
                <w:sz w:val="14"/>
                <w:szCs w:val="14"/>
                <w:color w:val="auto"/>
              </w:rPr>
              <w:t>Other litigation and consulting costs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5,375</w:t>
            </w:r>
          </w:p>
        </w:tc>
        <w:tc>
          <w:tcPr>
            <w:tcW w:w="340" w:type="dxa"/>
            <w:vAlign w:val="bottom"/>
          </w:tcPr>
          <w:p>
            <w:pPr>
              <w:jc w:val="right"/>
              <w:ind w:right="165"/>
              <w:spacing w:after="0"/>
              <w:rPr>
                <w:sz w:val="20"/>
                <w:szCs w:val="20"/>
                <w:color w:val="auto"/>
              </w:rPr>
            </w:pPr>
            <w:r>
              <w:rPr>
                <w:rFonts w:ascii="Arial" w:cs="Arial" w:eastAsia="Arial" w:hAnsi="Arial"/>
                <w:sz w:val="9"/>
                <w:szCs w:val="9"/>
                <w:color w:val="auto"/>
                <w:w w:val="90"/>
              </w:rPr>
              <w:t>(5)</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7,974</w:t>
            </w:r>
          </w:p>
        </w:tc>
        <w:tc>
          <w:tcPr>
            <w:tcW w:w="340" w:type="dxa"/>
            <w:vAlign w:val="bottom"/>
          </w:tcPr>
          <w:p>
            <w:pPr>
              <w:jc w:val="right"/>
              <w:ind w:right="141"/>
              <w:spacing w:after="0"/>
              <w:rPr>
                <w:sz w:val="20"/>
                <w:szCs w:val="20"/>
                <w:color w:val="auto"/>
              </w:rPr>
            </w:pPr>
            <w:r>
              <w:rPr>
                <w:rFonts w:ascii="Arial" w:cs="Arial" w:eastAsia="Arial" w:hAnsi="Arial"/>
                <w:sz w:val="9"/>
                <w:szCs w:val="9"/>
                <w:color w:val="auto"/>
              </w:rPr>
              <w:t>(6)</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5,928</w:t>
            </w:r>
          </w:p>
        </w:tc>
        <w:tc>
          <w:tcPr>
            <w:tcW w:w="340" w:type="dxa"/>
            <w:vAlign w:val="bottom"/>
          </w:tcPr>
          <w:p>
            <w:pPr>
              <w:jc w:val="right"/>
              <w:ind w:right="165"/>
              <w:spacing w:after="0"/>
              <w:rPr>
                <w:sz w:val="20"/>
                <w:szCs w:val="20"/>
                <w:color w:val="auto"/>
              </w:rPr>
            </w:pPr>
            <w:r>
              <w:rPr>
                <w:rFonts w:ascii="Arial" w:cs="Arial" w:eastAsia="Arial" w:hAnsi="Arial"/>
                <w:sz w:val="9"/>
                <w:szCs w:val="9"/>
                <w:color w:val="auto"/>
                <w:w w:val="90"/>
              </w:rPr>
              <w:t>(7)</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7,648</w:t>
            </w:r>
          </w:p>
        </w:tc>
        <w:tc>
          <w:tcPr>
            <w:tcW w:w="340" w:type="dxa"/>
            <w:vAlign w:val="bottom"/>
          </w:tcPr>
          <w:p>
            <w:pPr>
              <w:jc w:val="right"/>
              <w:ind w:right="165"/>
              <w:spacing w:after="0"/>
              <w:rPr>
                <w:sz w:val="20"/>
                <w:szCs w:val="20"/>
                <w:color w:val="auto"/>
              </w:rPr>
            </w:pPr>
            <w:r>
              <w:rPr>
                <w:rFonts w:ascii="Arial" w:cs="Arial" w:eastAsia="Arial" w:hAnsi="Arial"/>
                <w:sz w:val="9"/>
                <w:szCs w:val="9"/>
                <w:color w:val="auto"/>
                <w:w w:val="90"/>
              </w:rPr>
              <w:t>(8)</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7,818</w:t>
            </w:r>
          </w:p>
        </w:tc>
        <w:tc>
          <w:tcPr>
            <w:tcW w:w="340" w:type="dxa"/>
            <w:vAlign w:val="bottom"/>
          </w:tcPr>
          <w:p>
            <w:pPr>
              <w:ind w:left="20"/>
              <w:spacing w:after="0"/>
              <w:rPr>
                <w:sz w:val="20"/>
                <w:szCs w:val="20"/>
                <w:color w:val="auto"/>
              </w:rPr>
            </w:pPr>
            <w:r>
              <w:rPr>
                <w:rFonts w:ascii="Arial" w:cs="Arial" w:eastAsia="Arial" w:hAnsi="Arial"/>
                <w:sz w:val="9"/>
                <w:szCs w:val="9"/>
                <w:color w:val="auto"/>
              </w:rPr>
              <w:t>(10)</w:t>
            </w:r>
          </w:p>
        </w:tc>
      </w:tr>
      <w:tr>
        <w:trPr>
          <w:trHeight w:val="192"/>
        </w:trPr>
        <w:tc>
          <w:tcPr>
            <w:tcW w:w="4440" w:type="dxa"/>
            <w:vAlign w:val="bottom"/>
            <w:shd w:val="clear" w:color="auto" w:fill="CCFFCC"/>
          </w:tcPr>
          <w:p>
            <w:pPr>
              <w:ind w:left="220"/>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2,466</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2,845</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858</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501</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5,934</w:t>
            </w:r>
          </w:p>
        </w:tc>
        <w:tc>
          <w:tcPr>
            <w:tcW w:w="340" w:type="dxa"/>
            <w:vAlign w:val="bottom"/>
            <w:shd w:val="clear" w:color="auto" w:fill="CCFFCC"/>
          </w:tcPr>
          <w:p>
            <w:pPr>
              <w:spacing w:after="0"/>
              <w:rPr>
                <w:sz w:val="16"/>
                <w:szCs w:val="16"/>
                <w:color w:val="auto"/>
              </w:rPr>
            </w:pPr>
          </w:p>
        </w:tc>
      </w:tr>
      <w:tr>
        <w:trPr>
          <w:trHeight w:val="186"/>
        </w:trPr>
        <w:tc>
          <w:tcPr>
            <w:tcW w:w="4440" w:type="dxa"/>
            <w:vAlign w:val="bottom"/>
          </w:tcPr>
          <w:p>
            <w:pPr>
              <w:ind w:left="220"/>
              <w:spacing w:after="0"/>
              <w:rPr>
                <w:sz w:val="20"/>
                <w:szCs w:val="20"/>
                <w:color w:val="auto"/>
              </w:rPr>
            </w:pPr>
            <w:r>
              <w:rPr>
                <w:rFonts w:ascii="Arial" w:cs="Arial" w:eastAsia="Arial" w:hAnsi="Arial"/>
                <w:sz w:val="14"/>
                <w:szCs w:val="14"/>
                <w:color w:val="auto"/>
              </w:rPr>
              <w:t>Acquisition costs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555</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r>
      <w:tr>
        <w:trPr>
          <w:trHeight w:val="192"/>
        </w:trPr>
        <w:tc>
          <w:tcPr>
            <w:tcW w:w="4440" w:type="dxa"/>
            <w:vAlign w:val="bottom"/>
            <w:shd w:val="clear" w:color="auto" w:fill="CCFFCC"/>
          </w:tcPr>
          <w:p>
            <w:pPr>
              <w:ind w:left="220"/>
              <w:spacing w:after="0"/>
              <w:rPr>
                <w:sz w:val="20"/>
                <w:szCs w:val="20"/>
                <w:color w:val="auto"/>
              </w:rPr>
            </w:pPr>
            <w:r>
              <w:rPr>
                <w:rFonts w:ascii="Arial" w:cs="Arial" w:eastAsia="Arial" w:hAnsi="Arial"/>
                <w:sz w:val="14"/>
                <w:szCs w:val="14"/>
                <w:color w:val="auto"/>
              </w:rPr>
              <w:t>Interest expense (income)</w:t>
            </w:r>
          </w:p>
        </w:tc>
        <w:tc>
          <w:tcPr>
            <w:tcW w:w="24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14,334</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7,407</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FFCC"/>
          </w:tcPr>
          <w:p>
            <w:pPr>
              <w:spacing w:after="0"/>
              <w:rPr>
                <w:sz w:val="16"/>
                <w:szCs w:val="16"/>
                <w:color w:val="auto"/>
              </w:rPr>
            </w:pPr>
          </w:p>
        </w:tc>
      </w:tr>
      <w:tr>
        <w:trPr>
          <w:trHeight w:val="186"/>
        </w:trPr>
        <w:tc>
          <w:tcPr>
            <w:tcW w:w="4440" w:type="dxa"/>
            <w:vAlign w:val="bottom"/>
            <w:tcBorders>
              <w:bottom w:val="single" w:sz="8" w:color="CCFFCC"/>
            </w:tcBorders>
          </w:tcPr>
          <w:p>
            <w:pPr>
              <w:ind w:left="22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340" w:type="dxa"/>
            <w:vAlign w:val="bottom"/>
            <w:tcBorders>
              <w:bottom w:val="single" w:sz="8" w:color="auto"/>
            </w:tcBorders>
          </w:tcPr>
          <w:p>
            <w:pPr>
              <w:spacing w:after="0"/>
              <w:rPr>
                <w:sz w:val="16"/>
                <w:szCs w:val="16"/>
                <w:color w:val="auto"/>
              </w:rPr>
            </w:pPr>
          </w:p>
        </w:tc>
      </w:tr>
      <w:tr>
        <w:trPr>
          <w:trHeight w:val="211"/>
        </w:trPr>
        <w:tc>
          <w:tcPr>
            <w:tcW w:w="4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Adjusted EBITDA (loss)</w:t>
            </w:r>
          </w:p>
        </w:tc>
        <w:tc>
          <w:tcPr>
            <w:tcW w:w="24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37,931</w:t>
            </w:r>
          </w:p>
        </w:tc>
        <w:tc>
          <w:tcPr>
            <w:tcW w:w="34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(13,612)</w:t>
            </w:r>
          </w:p>
        </w:tc>
        <w:tc>
          <w:tcPr>
            <w:tcW w:w="34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19,090</w:t>
            </w:r>
          </w:p>
        </w:tc>
        <w:tc>
          <w:tcPr>
            <w:tcW w:w="34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18,400</w:t>
            </w:r>
          </w:p>
        </w:tc>
        <w:tc>
          <w:tcPr>
            <w:tcW w:w="34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19,198</w:t>
            </w:r>
          </w:p>
        </w:tc>
        <w:tc>
          <w:tcPr>
            <w:tcW w:w="340" w:type="dxa"/>
            <w:vAlign w:val="bottom"/>
            <w:tcBorders>
              <w:bottom w:val="single" w:sz="8" w:color="auto"/>
            </w:tcBorders>
            <w:shd w:val="clear" w:color="auto" w:fill="CCFFCC"/>
          </w:tcPr>
          <w:p>
            <w:pPr>
              <w:spacing w:after="0"/>
              <w:rPr>
                <w:sz w:val="17"/>
                <w:szCs w:val="17"/>
                <w:color w:val="auto"/>
              </w:rPr>
            </w:pPr>
          </w:p>
        </w:tc>
      </w:tr>
      <w:tr>
        <w:trPr>
          <w:trHeight w:val="20"/>
        </w:trPr>
        <w:tc>
          <w:tcPr>
            <w:tcW w:w="44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78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185"/>
        <w:spacing w:after="0" w:line="277" w:lineRule="auto"/>
        <w:rPr>
          <w:sz w:val="20"/>
          <w:szCs w:val="20"/>
          <w:color w:val="auto"/>
        </w:rPr>
      </w:pPr>
      <w:r>
        <w:rPr>
          <w:rFonts w:ascii="Arial" w:cs="Arial" w:eastAsia="Arial" w:hAnsi="Arial"/>
          <w:sz w:val="18"/>
          <w:szCs w:val="18"/>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35" w:lineRule="exact"/>
        <w:rPr>
          <w:sz w:val="20"/>
          <w:szCs w:val="20"/>
          <w:color w:val="auto"/>
        </w:rPr>
      </w:pPr>
    </w:p>
    <w:p>
      <w:pPr>
        <w:ind w:left="1300" w:right="20" w:hanging="320"/>
        <w:spacing w:after="0" w:line="325" w:lineRule="auto"/>
        <w:tabs>
          <w:tab w:leader="none" w:pos="12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acquisition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restructuring costs;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other non-recurring costs; and</w:t>
      </w:r>
    </w:p>
    <w:p>
      <w:pPr>
        <w:spacing w:after="0" w:line="76"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operating income differently, which reduces its usefulness as a comparative measure.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jc w:val="both"/>
        <w:ind w:firstLine="229"/>
        <w:spacing w:after="0" w:line="263" w:lineRule="auto"/>
        <w:rPr>
          <w:sz w:val="20"/>
          <w:szCs w:val="20"/>
          <w:color w:val="auto"/>
        </w:rPr>
      </w:pPr>
      <w:r>
        <w:rPr>
          <w:rFonts w:ascii="Arial" w:cs="Arial" w:eastAsia="Arial" w:hAnsi="Arial"/>
          <w:sz w:val="18"/>
          <w:szCs w:val="18"/>
          <w:color w:val="auto"/>
        </w:rPr>
        <w:t>Because of these limitations, you should consider adjusted operating income (loss) alongside other financial performance measures, including various pre-tax GAAP loss and our other GAAP results. The following table presents a reconciliation of adjusted operating income (loss) for each of the periods indicated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w w:val="95"/>
              </w:rPr>
              <w:t>Year Ended December 31,</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87"/>
        </w:trPr>
        <w:tc>
          <w:tcPr>
            <w:tcW w:w="432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FFCC"/>
            </w:tcBorders>
          </w:tcPr>
          <w:p>
            <w:pPr>
              <w:spacing w:after="0"/>
              <w:rPr>
                <w:sz w:val="16"/>
                <w:szCs w:val="16"/>
                <w:color w:val="auto"/>
              </w:rPr>
            </w:pPr>
          </w:p>
        </w:tc>
      </w:tr>
      <w:tr>
        <w:trPr>
          <w:trHeight w:val="170"/>
        </w:trPr>
        <w:tc>
          <w:tcPr>
            <w:tcW w:w="4320" w:type="dxa"/>
            <w:vAlign w:val="bottom"/>
            <w:shd w:val="clear" w:color="auto" w:fill="CCFFCC"/>
          </w:tcPr>
          <w:p>
            <w:pPr>
              <w:ind w:left="20"/>
              <w:spacing w:after="0"/>
              <w:rPr>
                <w:sz w:val="20"/>
                <w:szCs w:val="20"/>
                <w:color w:val="auto"/>
              </w:rPr>
            </w:pPr>
            <w:r>
              <w:rPr>
                <w:rFonts w:ascii="Arial" w:cs="Arial" w:eastAsia="Arial" w:hAnsi="Arial"/>
                <w:sz w:val="14"/>
                <w:szCs w:val="14"/>
                <w:b w:val="1"/>
                <w:bCs w:val="1"/>
                <w:color w:val="auto"/>
              </w:rPr>
              <w:t>Reconciliation of Adjusted Operating Income (Loss)</w:t>
            </w:r>
          </w:p>
        </w:tc>
        <w:tc>
          <w:tcPr>
            <w:tcW w:w="2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(105,128)</w:t>
            </w:r>
          </w:p>
        </w:tc>
        <w:tc>
          <w:tcPr>
            <w:tcW w:w="5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(93,226)</w:t>
            </w:r>
          </w:p>
        </w:tc>
        <w:tc>
          <w:tcPr>
            <w:tcW w:w="5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(24,174)</w:t>
            </w:r>
          </w:p>
        </w:tc>
        <w:tc>
          <w:tcPr>
            <w:tcW w:w="5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(17,690)</w:t>
            </w:r>
          </w:p>
        </w:tc>
        <w:tc>
          <w:tcPr>
            <w:tcW w:w="5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(19,939)</w:t>
            </w:r>
          </w:p>
        </w:tc>
        <w:tc>
          <w:tcPr>
            <w:tcW w:w="340" w:type="dxa"/>
            <w:vAlign w:val="bottom"/>
          </w:tcPr>
          <w:p>
            <w:pPr>
              <w:spacing w:after="0"/>
              <w:rPr>
                <w:sz w:val="16"/>
                <w:szCs w:val="16"/>
                <w:color w:val="auto"/>
              </w:rPr>
            </w:pPr>
          </w:p>
        </w:tc>
      </w:tr>
      <w:tr>
        <w:trPr>
          <w:trHeight w:val="192"/>
        </w:trPr>
        <w:tc>
          <w:tcPr>
            <w:tcW w:w="4320" w:type="dxa"/>
            <w:vAlign w:val="bottom"/>
            <w:shd w:val="clear" w:color="auto" w:fill="CCFFCC"/>
          </w:tcPr>
          <w:p>
            <w:pPr>
              <w:ind w:left="220"/>
              <w:spacing w:after="0"/>
              <w:rPr>
                <w:sz w:val="20"/>
                <w:szCs w:val="20"/>
                <w:color w:val="auto"/>
              </w:rPr>
            </w:pPr>
            <w:r>
              <w:rPr>
                <w:rFonts w:ascii="Arial" w:cs="Arial" w:eastAsia="Arial" w:hAnsi="Arial"/>
                <w:sz w:val="14"/>
                <w:szCs w:val="14"/>
                <w:color w:val="auto"/>
              </w:rPr>
              <w:t>Amortization of purchased intangibles and finance leases</w:t>
            </w: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3,552</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2,932</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2,813</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4,682</w:t>
            </w:r>
          </w:p>
        </w:tc>
        <w:tc>
          <w:tcPr>
            <w:tcW w:w="3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6,673</w:t>
            </w:r>
          </w:p>
        </w:tc>
        <w:tc>
          <w:tcPr>
            <w:tcW w:w="340" w:type="dxa"/>
            <w:vAlign w:val="bottom"/>
            <w:shd w:val="clear" w:color="auto" w:fill="CCFFCC"/>
          </w:tcPr>
          <w:p>
            <w:pPr>
              <w:spacing w:after="0"/>
              <w:rPr>
                <w:sz w:val="16"/>
                <w:szCs w:val="16"/>
                <w:color w:val="auto"/>
              </w:rPr>
            </w:pPr>
          </w:p>
        </w:tc>
      </w:tr>
      <w:tr>
        <w:trPr>
          <w:trHeight w:val="186"/>
        </w:trPr>
        <w:tc>
          <w:tcPr>
            <w:tcW w:w="43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65,946</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44,105</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14,841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8,944</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9,736</w:t>
            </w:r>
          </w:p>
        </w:tc>
        <w:tc>
          <w:tcPr>
            <w:tcW w:w="340" w:type="dxa"/>
            <w:vAlign w:val="bottom"/>
          </w:tcPr>
          <w:p>
            <w:pPr>
              <w:spacing w:after="0"/>
              <w:rPr>
                <w:sz w:val="16"/>
                <w:szCs w:val="16"/>
                <w:color w:val="auto"/>
              </w:rPr>
            </w:pPr>
          </w:p>
        </w:tc>
      </w:tr>
      <w:tr>
        <w:trPr>
          <w:trHeight w:val="192"/>
        </w:trPr>
        <w:tc>
          <w:tcPr>
            <w:tcW w:w="4320" w:type="dxa"/>
            <w:vAlign w:val="bottom"/>
            <w:shd w:val="clear" w:color="auto" w:fill="CCFFCC"/>
          </w:tcPr>
          <w:p>
            <w:pPr>
              <w:ind w:left="220"/>
              <w:spacing w:after="0"/>
              <w:rPr>
                <w:sz w:val="20"/>
                <w:szCs w:val="20"/>
                <w:color w:val="auto"/>
              </w:rPr>
            </w:pPr>
            <w:r>
              <w:rPr>
                <w:rFonts w:ascii="Arial" w:cs="Arial" w:eastAsia="Arial" w:hAnsi="Arial"/>
                <w:sz w:val="14"/>
                <w:szCs w:val="14"/>
                <w:color w:val="auto"/>
              </w:rPr>
              <w:t>Restructuring costs</w:t>
            </w: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29,420</w:t>
            </w:r>
          </w:p>
        </w:tc>
        <w:tc>
          <w:tcPr>
            <w:tcW w:w="340" w:type="dxa"/>
            <w:vAlign w:val="bottom"/>
            <w:shd w:val="clear" w:color="auto" w:fill="CCFFCC"/>
          </w:tcPr>
          <w:p>
            <w:pPr>
              <w:jc w:val="right"/>
              <w:ind w:right="165"/>
              <w:spacing w:after="0"/>
              <w:rPr>
                <w:sz w:val="20"/>
                <w:szCs w:val="20"/>
                <w:color w:val="auto"/>
              </w:rPr>
            </w:pPr>
            <w:r>
              <w:rPr>
                <w:rFonts w:ascii="Arial" w:cs="Arial" w:eastAsia="Arial" w:hAnsi="Arial"/>
                <w:sz w:val="9"/>
                <w:szCs w:val="9"/>
                <w:color w:val="auto"/>
                <w:w w:val="90"/>
              </w:rPr>
              <w:t>(1)</w:t>
            </w: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2,043</w:t>
            </w:r>
          </w:p>
        </w:tc>
        <w:tc>
          <w:tcPr>
            <w:tcW w:w="340" w:type="dxa"/>
            <w:vAlign w:val="bottom"/>
            <w:shd w:val="clear" w:color="auto" w:fill="CCFFCC"/>
          </w:tcPr>
          <w:p>
            <w:pPr>
              <w:jc w:val="right"/>
              <w:ind w:right="161"/>
              <w:spacing w:after="0"/>
              <w:rPr>
                <w:sz w:val="20"/>
                <w:szCs w:val="20"/>
                <w:color w:val="auto"/>
              </w:rPr>
            </w:pPr>
            <w:r>
              <w:rPr>
                <w:rFonts w:ascii="Arial" w:cs="Arial" w:eastAsia="Arial" w:hAnsi="Arial"/>
                <w:sz w:val="9"/>
                <w:szCs w:val="9"/>
                <w:color w:val="auto"/>
                <w:w w:val="90"/>
              </w:rPr>
              <w:t>(2)</w:t>
            </w: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4,468</w:t>
            </w:r>
          </w:p>
        </w:tc>
        <w:tc>
          <w:tcPr>
            <w:tcW w:w="340" w:type="dxa"/>
            <w:vAlign w:val="bottom"/>
            <w:shd w:val="clear" w:color="auto" w:fill="CCFFCC"/>
          </w:tcPr>
          <w:p>
            <w:pPr>
              <w:jc w:val="right"/>
              <w:ind w:right="165"/>
              <w:spacing w:after="0"/>
              <w:rPr>
                <w:sz w:val="20"/>
                <w:szCs w:val="20"/>
                <w:color w:val="auto"/>
              </w:rPr>
            </w:pPr>
            <w:r>
              <w:rPr>
                <w:rFonts w:ascii="Arial" w:cs="Arial" w:eastAsia="Arial" w:hAnsi="Arial"/>
                <w:sz w:val="9"/>
                <w:szCs w:val="9"/>
                <w:color w:val="auto"/>
                <w:w w:val="90"/>
              </w:rPr>
              <w:t>(3)</w:t>
            </w: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2,594</w:t>
            </w:r>
          </w:p>
        </w:tc>
        <w:tc>
          <w:tcPr>
            <w:tcW w:w="320" w:type="dxa"/>
            <w:vAlign w:val="bottom"/>
            <w:shd w:val="clear" w:color="auto" w:fill="CCFFCC"/>
          </w:tcPr>
          <w:p>
            <w:pPr>
              <w:jc w:val="right"/>
              <w:ind w:right="145"/>
              <w:spacing w:after="0"/>
              <w:rPr>
                <w:sz w:val="20"/>
                <w:szCs w:val="20"/>
                <w:color w:val="auto"/>
              </w:rPr>
            </w:pPr>
            <w:r>
              <w:rPr>
                <w:rFonts w:ascii="Arial" w:cs="Arial" w:eastAsia="Arial" w:hAnsi="Arial"/>
                <w:sz w:val="9"/>
                <w:szCs w:val="9"/>
                <w:color w:val="auto"/>
                <w:w w:val="90"/>
              </w:rPr>
              <w:t>(4)</w:t>
            </w:r>
          </w:p>
        </w:tc>
        <w:tc>
          <w:tcPr>
            <w:tcW w:w="24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2,369</w:t>
            </w:r>
          </w:p>
        </w:tc>
        <w:tc>
          <w:tcPr>
            <w:tcW w:w="340" w:type="dxa"/>
            <w:vAlign w:val="bottom"/>
            <w:shd w:val="clear" w:color="auto" w:fill="CCFFCC"/>
          </w:tcPr>
          <w:p>
            <w:pPr>
              <w:ind w:left="20"/>
              <w:spacing w:after="0"/>
              <w:rPr>
                <w:sz w:val="20"/>
                <w:szCs w:val="20"/>
                <w:color w:val="auto"/>
              </w:rPr>
            </w:pPr>
            <w:r>
              <w:rPr>
                <w:rFonts w:ascii="Arial" w:cs="Arial" w:eastAsia="Arial" w:hAnsi="Arial"/>
                <w:sz w:val="9"/>
                <w:szCs w:val="9"/>
                <w:color w:val="auto"/>
              </w:rPr>
              <w:t>(9)</w:t>
            </w:r>
          </w:p>
        </w:tc>
      </w:tr>
      <w:tr>
        <w:trPr>
          <w:trHeight w:val="186"/>
        </w:trPr>
        <w:tc>
          <w:tcPr>
            <w:tcW w:w="4320" w:type="dxa"/>
            <w:vAlign w:val="bottom"/>
          </w:tcPr>
          <w:p>
            <w:pPr>
              <w:ind w:left="220"/>
              <w:spacing w:after="0"/>
              <w:rPr>
                <w:sz w:val="20"/>
                <w:szCs w:val="20"/>
                <w:color w:val="auto"/>
              </w:rPr>
            </w:pPr>
            <w:r>
              <w:rPr>
                <w:rFonts w:ascii="Arial" w:cs="Arial" w:eastAsia="Arial" w:hAnsi="Arial"/>
                <w:sz w:val="14"/>
                <w:szCs w:val="14"/>
                <w:color w:val="auto"/>
              </w:rPr>
              <w:t>Other litigation and consulting costs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5,375</w:t>
            </w:r>
          </w:p>
        </w:tc>
        <w:tc>
          <w:tcPr>
            <w:tcW w:w="340" w:type="dxa"/>
            <w:vAlign w:val="bottom"/>
          </w:tcPr>
          <w:p>
            <w:pPr>
              <w:jc w:val="right"/>
              <w:ind w:right="165"/>
              <w:spacing w:after="0"/>
              <w:rPr>
                <w:sz w:val="20"/>
                <w:szCs w:val="20"/>
                <w:color w:val="auto"/>
              </w:rPr>
            </w:pPr>
            <w:r>
              <w:rPr>
                <w:rFonts w:ascii="Arial" w:cs="Arial" w:eastAsia="Arial" w:hAnsi="Arial"/>
                <w:sz w:val="9"/>
                <w:szCs w:val="9"/>
                <w:color w:val="auto"/>
                <w:w w:val="90"/>
              </w:rPr>
              <w:t>(5)</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7,974</w:t>
            </w:r>
          </w:p>
        </w:tc>
        <w:tc>
          <w:tcPr>
            <w:tcW w:w="340" w:type="dxa"/>
            <w:vAlign w:val="bottom"/>
          </w:tcPr>
          <w:p>
            <w:pPr>
              <w:jc w:val="right"/>
              <w:ind w:right="161"/>
              <w:spacing w:after="0"/>
              <w:rPr>
                <w:sz w:val="20"/>
                <w:szCs w:val="20"/>
                <w:color w:val="auto"/>
              </w:rPr>
            </w:pPr>
            <w:r>
              <w:rPr>
                <w:rFonts w:ascii="Arial" w:cs="Arial" w:eastAsia="Arial" w:hAnsi="Arial"/>
                <w:sz w:val="9"/>
                <w:szCs w:val="9"/>
                <w:color w:val="auto"/>
                <w:w w:val="90"/>
              </w:rPr>
              <w:t>(6)</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5,928</w:t>
            </w:r>
          </w:p>
        </w:tc>
        <w:tc>
          <w:tcPr>
            <w:tcW w:w="340" w:type="dxa"/>
            <w:vAlign w:val="bottom"/>
          </w:tcPr>
          <w:p>
            <w:pPr>
              <w:jc w:val="right"/>
              <w:ind w:right="165"/>
              <w:spacing w:after="0"/>
              <w:rPr>
                <w:sz w:val="20"/>
                <w:szCs w:val="20"/>
                <w:color w:val="auto"/>
              </w:rPr>
            </w:pPr>
            <w:r>
              <w:rPr>
                <w:rFonts w:ascii="Arial" w:cs="Arial" w:eastAsia="Arial" w:hAnsi="Arial"/>
                <w:sz w:val="9"/>
                <w:szCs w:val="9"/>
                <w:color w:val="auto"/>
                <w:w w:val="90"/>
              </w:rPr>
              <w:t>(7)</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7,648</w:t>
            </w:r>
          </w:p>
        </w:tc>
        <w:tc>
          <w:tcPr>
            <w:tcW w:w="320" w:type="dxa"/>
            <w:vAlign w:val="bottom"/>
          </w:tcPr>
          <w:p>
            <w:pPr>
              <w:jc w:val="right"/>
              <w:ind w:right="145"/>
              <w:spacing w:after="0"/>
              <w:rPr>
                <w:sz w:val="20"/>
                <w:szCs w:val="20"/>
                <w:color w:val="auto"/>
              </w:rPr>
            </w:pPr>
            <w:r>
              <w:rPr>
                <w:rFonts w:ascii="Arial" w:cs="Arial" w:eastAsia="Arial" w:hAnsi="Arial"/>
                <w:sz w:val="9"/>
                <w:szCs w:val="9"/>
                <w:color w:val="auto"/>
                <w:w w:val="90"/>
              </w:rPr>
              <w:t>(8)</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8,134</w:t>
            </w:r>
          </w:p>
        </w:tc>
        <w:tc>
          <w:tcPr>
            <w:tcW w:w="340" w:type="dxa"/>
            <w:vAlign w:val="bottom"/>
          </w:tcPr>
          <w:p>
            <w:pPr>
              <w:ind w:left="20"/>
              <w:spacing w:after="0"/>
              <w:rPr>
                <w:sz w:val="20"/>
                <w:szCs w:val="20"/>
                <w:color w:val="auto"/>
              </w:rPr>
            </w:pPr>
            <w:r>
              <w:rPr>
                <w:rFonts w:ascii="Arial" w:cs="Arial" w:eastAsia="Arial" w:hAnsi="Arial"/>
                <w:sz w:val="9"/>
                <w:szCs w:val="9"/>
                <w:color w:val="auto"/>
              </w:rPr>
              <w:t>(10)</w:t>
            </w:r>
          </w:p>
        </w:tc>
      </w:tr>
      <w:tr>
        <w:trPr>
          <w:trHeight w:val="192"/>
        </w:trPr>
        <w:tc>
          <w:tcPr>
            <w:tcW w:w="4320" w:type="dxa"/>
            <w:vAlign w:val="bottom"/>
            <w:shd w:val="clear" w:color="auto" w:fill="CCFFCC"/>
          </w:tcPr>
          <w:p>
            <w:pPr>
              <w:ind w:left="220"/>
              <w:spacing w:after="0"/>
              <w:rPr>
                <w:sz w:val="20"/>
                <w:szCs w:val="20"/>
                <w:color w:val="auto"/>
              </w:rPr>
            </w:pPr>
            <w:r>
              <w:rPr>
                <w:rFonts w:ascii="Arial" w:cs="Arial" w:eastAsia="Arial" w:hAnsi="Arial"/>
                <w:sz w:val="14"/>
                <w:szCs w:val="14"/>
                <w:color w:val="auto"/>
              </w:rPr>
              <w:t>Contingent earn-out adjustments</w:t>
            </w: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263</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6"/>
                <w:szCs w:val="16"/>
                <w:color w:val="auto"/>
              </w:rPr>
            </w:pPr>
          </w:p>
        </w:tc>
      </w:tr>
      <w:tr>
        <w:trPr>
          <w:trHeight w:val="186"/>
        </w:trPr>
        <w:tc>
          <w:tcPr>
            <w:tcW w:w="4320" w:type="dxa"/>
            <w:vAlign w:val="bottom"/>
          </w:tcPr>
          <w:p>
            <w:pPr>
              <w:ind w:left="220"/>
              <w:spacing w:after="0"/>
              <w:rPr>
                <w:sz w:val="20"/>
                <w:szCs w:val="20"/>
                <w:color w:val="auto"/>
              </w:rPr>
            </w:pPr>
            <w:r>
              <w:rPr>
                <w:rFonts w:ascii="Arial" w:cs="Arial" w:eastAsia="Arial" w:hAnsi="Arial"/>
                <w:sz w:val="14"/>
                <w:szCs w:val="14"/>
                <w:color w:val="auto"/>
              </w:rPr>
              <w:t>Acquisition costs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555</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r>
      <w:tr>
        <w:trPr>
          <w:trHeight w:val="192"/>
        </w:trPr>
        <w:tc>
          <w:tcPr>
            <w:tcW w:w="4320" w:type="dxa"/>
            <w:vAlign w:val="bottom"/>
            <w:shd w:val="clear" w:color="auto" w:fill="CCFFCC"/>
          </w:tcPr>
          <w:p>
            <w:pPr>
              <w:ind w:left="220"/>
              <w:spacing w:after="0"/>
              <w:rPr>
                <w:sz w:val="20"/>
                <w:szCs w:val="20"/>
                <w:color w:val="auto"/>
              </w:rPr>
            </w:pPr>
            <w:r>
              <w:rPr>
                <w:rFonts w:ascii="Arial" w:cs="Arial" w:eastAsia="Arial" w:hAnsi="Arial"/>
                <w:sz w:val="14"/>
                <w:szCs w:val="14"/>
                <w:color w:val="auto"/>
              </w:rPr>
              <w:t>Interest expense (income)</w:t>
            </w: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14,334</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7,407</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w:t>
            </w:r>
          </w:p>
        </w:tc>
        <w:tc>
          <w:tcPr>
            <w:tcW w:w="3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FFCC"/>
          </w:tcPr>
          <w:p>
            <w:pPr>
              <w:spacing w:after="0"/>
              <w:rPr>
                <w:sz w:val="16"/>
                <w:szCs w:val="16"/>
                <w:color w:val="auto"/>
              </w:rPr>
            </w:pPr>
          </w:p>
        </w:tc>
      </w:tr>
      <w:tr>
        <w:trPr>
          <w:trHeight w:val="186"/>
        </w:trPr>
        <w:tc>
          <w:tcPr>
            <w:tcW w:w="4320" w:type="dxa"/>
            <w:vAlign w:val="bottom"/>
            <w:tcBorders>
              <w:bottom w:val="single" w:sz="8" w:color="CCFFCC"/>
            </w:tcBorders>
          </w:tcPr>
          <w:p>
            <w:pPr>
              <w:ind w:left="220"/>
              <w:spacing w:after="0"/>
              <w:rPr>
                <w:sz w:val="20"/>
                <w:szCs w:val="20"/>
                <w:color w:val="auto"/>
              </w:rPr>
            </w:pPr>
            <w:r>
              <w:rPr>
                <w:rFonts w:ascii="Arial" w:cs="Arial" w:eastAsia="Arial" w:hAnsi="Arial"/>
                <w:sz w:val="14"/>
                <w:szCs w:val="14"/>
                <w:color w:val="auto"/>
              </w:rPr>
              <w:t>Other expense (income)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34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32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340" w:type="dxa"/>
            <w:vAlign w:val="bottom"/>
            <w:tcBorders>
              <w:bottom w:val="single" w:sz="8" w:color="CCFFCC"/>
            </w:tcBorders>
          </w:tcPr>
          <w:p>
            <w:pPr>
              <w:spacing w:after="0"/>
              <w:rPr>
                <w:sz w:val="16"/>
                <w:szCs w:val="16"/>
                <w:color w:val="auto"/>
              </w:rPr>
            </w:pPr>
          </w:p>
        </w:tc>
      </w:tr>
      <w:tr>
        <w:trPr>
          <w:trHeight w:val="211"/>
        </w:trPr>
        <w:tc>
          <w:tcPr>
            <w:tcW w:w="4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Adjusted operating income (loss)</w:t>
            </w: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15,105</w:t>
            </w:r>
          </w:p>
        </w:tc>
        <w:tc>
          <w:tcPr>
            <w:tcW w:w="34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(29,978)</w:t>
            </w:r>
          </w:p>
        </w:tc>
        <w:tc>
          <w:tcPr>
            <w:tcW w:w="34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4,902</w:t>
            </w:r>
          </w:p>
        </w:tc>
        <w:tc>
          <w:tcPr>
            <w:tcW w:w="34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6,042</w:t>
            </w:r>
          </w:p>
        </w:tc>
        <w:tc>
          <w:tcPr>
            <w:tcW w:w="32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auto"/>
            </w:tcBorders>
            <w:shd w:val="clear" w:color="auto" w:fill="CCFFCC"/>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7,503</w:t>
            </w:r>
          </w:p>
        </w:tc>
        <w:tc>
          <w:tcPr>
            <w:tcW w:w="340" w:type="dxa"/>
            <w:vAlign w:val="bottom"/>
            <w:tcBorders>
              <w:bottom w:val="single" w:sz="8" w:color="CCFFCC"/>
            </w:tcBorders>
            <w:shd w:val="clear" w:color="auto" w:fill="CCFFCC"/>
          </w:tcPr>
          <w:p>
            <w:pPr>
              <w:spacing w:after="0"/>
              <w:rPr>
                <w:sz w:val="17"/>
                <w:szCs w:val="17"/>
                <w:color w:val="auto"/>
              </w:rPr>
            </w:pPr>
          </w:p>
        </w:tc>
      </w:tr>
      <w:tr>
        <w:trPr>
          <w:trHeight w:val="20"/>
        </w:trPr>
        <w:tc>
          <w:tcPr>
            <w:tcW w:w="4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82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82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820" w:type="dxa"/>
            <w:vAlign w:val="bottom"/>
            <w:tcBorders>
              <w:top w:val="single" w:sz="8" w:color="CCFFCC"/>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r>
    </w:tbl>
    <w:p>
      <w:pPr>
        <w:spacing w:after="0" w:line="386" w:lineRule="exact"/>
        <w:rPr>
          <w:sz w:val="20"/>
          <w:szCs w:val="20"/>
          <w:color w:val="auto"/>
        </w:rPr>
      </w:pPr>
    </w:p>
    <w:p>
      <w:pPr>
        <w:jc w:val="both"/>
        <w:ind w:right="280" w:firstLine="8"/>
        <w:spacing w:after="0" w:line="253" w:lineRule="auto"/>
        <w:tabs>
          <w:tab w:leader="none" w:pos="149" w:val="left"/>
        </w:tabs>
        <w:numPr>
          <w:ilvl w:val="0"/>
          <w:numId w:val="36"/>
        </w:numPr>
        <w:rPr>
          <w:rFonts w:ascii="Arial" w:cs="Arial" w:eastAsia="Arial" w:hAnsi="Arial"/>
          <w:sz w:val="17"/>
          <w:szCs w:val="17"/>
          <w:b w:val="1"/>
          <w:bCs w:val="1"/>
          <w:color w:val="auto"/>
          <w:vertAlign w:val="superscript"/>
        </w:rPr>
      </w:pPr>
      <w:r>
        <w:rPr>
          <w:rFonts w:ascii="Arial" w:cs="Arial" w:eastAsia="Arial" w:hAnsi="Arial"/>
          <w:sz w:val="12"/>
          <w:szCs w:val="12"/>
          <w:color w:val="auto"/>
        </w:rPr>
        <w:t>Includes lease restructuring costs of $24.3 million and severance and other compensation related costs of $5.1 million for the year ended December 31, 2020. As detailed in Note 14 of the Notes to the Consolidated Financial Statements, the Company’s lease restructuring costs relate to a transition to an employee-centric workforce model that does not rely on traditional offices, while the severance and other compensation costs relate to the Company re-prioritizing and reallocating resources to focus on areas showing high growth potential.</w:t>
      </w:r>
    </w:p>
    <w:p>
      <w:pPr>
        <w:spacing w:after="0" w:line="1" w:lineRule="exact"/>
        <w:rPr>
          <w:rFonts w:ascii="Arial" w:cs="Arial" w:eastAsia="Arial" w:hAnsi="Arial"/>
          <w:sz w:val="17"/>
          <w:szCs w:val="17"/>
          <w:b w:val="1"/>
          <w:bCs w:val="1"/>
          <w:color w:val="auto"/>
          <w:vertAlign w:val="superscript"/>
        </w:rPr>
      </w:pPr>
    </w:p>
    <w:p>
      <w:pPr>
        <w:ind w:right="260" w:firstLine="8"/>
        <w:spacing w:after="0"/>
        <w:tabs>
          <w:tab w:leader="none" w:pos="132" w:val="left"/>
        </w:tabs>
        <w:numPr>
          <w:ilvl w:val="0"/>
          <w:numId w:val="36"/>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These costs include severance and associated costs of $2.0 million for the year ended December 31, 2019. The restructuring costs relate to resource reallocation for the Company’s platform transformation.</w:t>
      </w:r>
    </w:p>
    <w:p>
      <w:pPr>
        <w:spacing w:after="0" w:line="151" w:lineRule="exact"/>
        <w:rPr>
          <w:rFonts w:ascii="Arial" w:cs="Arial" w:eastAsia="Arial" w:hAnsi="Arial"/>
          <w:sz w:val="15"/>
          <w:szCs w:val="15"/>
          <w:b w:val="1"/>
          <w:bCs w:val="1"/>
          <w:color w:val="auto"/>
          <w:vertAlign w:val="superscript"/>
        </w:rPr>
      </w:pPr>
    </w:p>
    <w:p>
      <w:pPr>
        <w:ind w:right="180" w:firstLine="8"/>
        <w:spacing w:after="0"/>
        <w:tabs>
          <w:tab w:leader="none" w:pos="132" w:val="left"/>
        </w:tabs>
        <w:numPr>
          <w:ilvl w:val="0"/>
          <w:numId w:val="36"/>
        </w:numPr>
        <w:rPr>
          <w:rFonts w:ascii="Arial" w:cs="Arial" w:eastAsia="Arial" w:hAnsi="Arial"/>
          <w:sz w:val="15"/>
          <w:szCs w:val="15"/>
          <w:b w:val="1"/>
          <w:bCs w:val="1"/>
          <w:color w:val="auto"/>
          <w:vertAlign w:val="superscript"/>
        </w:rPr>
      </w:pPr>
      <w:r>
        <w:rPr>
          <w:rFonts w:ascii="Arial" w:cs="Arial" w:eastAsia="Arial" w:hAnsi="Arial"/>
          <w:sz w:val="11"/>
          <w:szCs w:val="11"/>
          <w:color w:val="auto"/>
        </w:rPr>
        <w:t>Consists of severance costs of $4.5 million for the year ended December 31, 2018. Please refer to footnote (2) above for additional information related to the nature of these restructuring and severance costs.</w:t>
      </w:r>
    </w:p>
    <w:p>
      <w:pPr>
        <w:spacing w:after="0" w:line="151" w:lineRule="exact"/>
        <w:rPr>
          <w:rFonts w:ascii="Arial" w:cs="Arial" w:eastAsia="Arial" w:hAnsi="Arial"/>
          <w:sz w:val="15"/>
          <w:szCs w:val="15"/>
          <w:b w:val="1"/>
          <w:bCs w:val="1"/>
          <w:color w:val="auto"/>
          <w:vertAlign w:val="superscript"/>
        </w:rPr>
      </w:pPr>
    </w:p>
    <w:p>
      <w:pPr>
        <w:ind w:right="500" w:firstLine="8"/>
        <w:spacing w:after="0" w:line="260" w:lineRule="auto"/>
        <w:tabs>
          <w:tab w:leader="none" w:pos="132" w:val="left"/>
        </w:tabs>
        <w:numPr>
          <w:ilvl w:val="0"/>
          <w:numId w:val="36"/>
        </w:numPr>
        <w:rPr>
          <w:rFonts w:ascii="Arial" w:cs="Arial" w:eastAsia="Arial" w:hAnsi="Arial"/>
          <w:sz w:val="15"/>
          <w:szCs w:val="15"/>
          <w:b w:val="1"/>
          <w:bCs w:val="1"/>
          <w:color w:val="auto"/>
          <w:vertAlign w:val="superscript"/>
        </w:rPr>
      </w:pPr>
      <w:r>
        <w:rPr>
          <w:rFonts w:ascii="Arial" w:cs="Arial" w:eastAsia="Arial" w:hAnsi="Arial"/>
          <w:sz w:val="11"/>
          <w:szCs w:val="11"/>
          <w:color w:val="auto"/>
        </w:rPr>
        <w:t>Includes wind down costs of legacy platform of $1.9 million and severance costs of $0.7 million for the year ended December 31, 2017. Please refer to footnote (2) above for additional information related to the nature of these restructuring and severance costs.</w:t>
      </w:r>
    </w:p>
    <w:p>
      <w:pPr>
        <w:ind w:left="160" w:hanging="152"/>
        <w:spacing w:after="0" w:line="187" w:lineRule="auto"/>
        <w:tabs>
          <w:tab w:leader="none" w:pos="160" w:val="left"/>
        </w:tabs>
        <w:numPr>
          <w:ilvl w:val="0"/>
          <w:numId w:val="36"/>
        </w:numPr>
        <w:rPr>
          <w:rFonts w:ascii="Arial" w:cs="Arial" w:eastAsia="Arial" w:hAnsi="Arial"/>
          <w:sz w:val="17"/>
          <w:szCs w:val="17"/>
          <w:b w:val="1"/>
          <w:bCs w:val="1"/>
          <w:color w:val="auto"/>
          <w:vertAlign w:val="superscript"/>
        </w:rPr>
      </w:pPr>
      <w:r>
        <w:rPr>
          <w:rFonts w:ascii="Arial" w:cs="Arial" w:eastAsia="Arial" w:hAnsi="Arial"/>
          <w:sz w:val="13"/>
          <w:szCs w:val="13"/>
          <w:color w:val="auto"/>
        </w:rPr>
        <w:t>Includes other litigation costs of $5.4 million for the year ended December 31, 2020. Other litigation costs relate to lease restructuring costs, along with other general legal matters.</w:t>
      </w:r>
    </w:p>
    <w:p>
      <w:pPr>
        <w:spacing w:after="0" w:line="1" w:lineRule="exact"/>
        <w:rPr>
          <w:sz w:val="20"/>
          <w:szCs w:val="20"/>
          <w:color w:val="auto"/>
        </w:rPr>
      </w:pPr>
    </w:p>
    <w:p>
      <w:pPr>
        <w:ind w:right="160" w:firstLine="8"/>
        <w:spacing w:after="0" w:line="267" w:lineRule="auto"/>
        <w:tabs>
          <w:tab w:leader="none" w:pos="101" w:val="left"/>
        </w:tabs>
        <w:numPr>
          <w:ilvl w:val="0"/>
          <w:numId w:val="37"/>
        </w:numPr>
        <w:rPr>
          <w:rFonts w:ascii="Arial" w:cs="Arial" w:eastAsia="Arial" w:hAnsi="Arial"/>
          <w:sz w:val="15"/>
          <w:szCs w:val="15"/>
          <w:b w:val="1"/>
          <w:bCs w:val="1"/>
          <w:color w:val="auto"/>
          <w:vertAlign w:val="superscript"/>
        </w:rPr>
      </w:pPr>
      <w:r>
        <w:rPr>
          <w:rFonts w:ascii="Arial" w:cs="Arial" w:eastAsia="Arial" w:hAnsi="Arial"/>
          <w:sz w:val="11"/>
          <w:szCs w:val="11"/>
          <w:color w:val="auto"/>
        </w:rPr>
        <w:t>Includes other litigation costs of $4.4 million, consulting costs of $3.2 million, and fair value earn-out adjustment of $0.3 million for the year ended December 31, 2019. The Company's other litigation costs relate to the Company’s intellectual property lawsuit against [24]7 Customer, Inc.</w:t>
      </w:r>
    </w:p>
    <w:p>
      <w:pPr>
        <w:spacing w:after="0" w:line="211" w:lineRule="auto"/>
        <w:rPr>
          <w:rFonts w:ascii="Arial" w:cs="Arial" w:eastAsia="Arial" w:hAnsi="Arial"/>
          <w:sz w:val="15"/>
          <w:szCs w:val="15"/>
          <w:b w:val="1"/>
          <w:bCs w:val="1"/>
          <w:color w:val="auto"/>
          <w:vertAlign w:val="superscript"/>
        </w:rPr>
      </w:pPr>
      <w:r>
        <w:rPr>
          <w:rFonts w:ascii="Arial" w:cs="Arial" w:eastAsia="Arial" w:hAnsi="Arial"/>
          <w:sz w:val="18"/>
          <w:szCs w:val="18"/>
          <w:b w:val="1"/>
          <w:bCs w:val="1"/>
          <w:color w:val="auto"/>
          <w:vertAlign w:val="superscript"/>
        </w:rPr>
        <w:t>(7)</w:t>
      </w:r>
      <w:r>
        <w:rPr>
          <w:rFonts w:ascii="Arial" w:cs="Arial" w:eastAsia="Arial" w:hAnsi="Arial"/>
          <w:sz w:val="14"/>
          <w:szCs w:val="14"/>
          <w:color w:val="auto"/>
        </w:rPr>
        <w:t xml:space="preserve"> Includes litigation costs of $4.1 million, consulting costs of $1.3 million, executive recruitment costs of $0.3 million, and executive relocation costs of $0.2 million for the year ended December 31, 2018. Please refer to footnote (6) above for additional information related to the nature of these other litigation costs.</w:t>
      </w:r>
    </w:p>
    <w:p>
      <w:pPr>
        <w:ind w:right="60"/>
        <w:spacing w:after="0" w:line="211" w:lineRule="auto"/>
        <w:rPr>
          <w:rFonts w:ascii="Arial" w:cs="Arial" w:eastAsia="Arial" w:hAnsi="Arial"/>
          <w:sz w:val="15"/>
          <w:szCs w:val="15"/>
          <w:b w:val="1"/>
          <w:bCs w:val="1"/>
          <w:color w:val="auto"/>
          <w:vertAlign w:val="superscript"/>
        </w:rPr>
      </w:pPr>
      <w:r>
        <w:rPr>
          <w:rFonts w:ascii="Arial" w:cs="Arial" w:eastAsia="Arial" w:hAnsi="Arial"/>
          <w:sz w:val="18"/>
          <w:szCs w:val="18"/>
          <w:b w:val="1"/>
          <w:bCs w:val="1"/>
          <w:color w:val="auto"/>
          <w:vertAlign w:val="superscript"/>
        </w:rPr>
        <w:t>(8)</w:t>
      </w:r>
      <w:r>
        <w:rPr>
          <w:rFonts w:ascii="Arial" w:cs="Arial" w:eastAsia="Arial" w:hAnsi="Arial"/>
          <w:sz w:val="14"/>
          <w:szCs w:val="14"/>
          <w:color w:val="auto"/>
        </w:rPr>
        <w:t xml:space="preserve"> Includes litigation costs of $6.2 million, executive one-time compensation payment of $1.0 million, and executive separation cost of $0.5 million for the year ended December 31, 2017. Please refer to footnote (6) above for additional information related to the nature of these other litigation costs.</w:t>
      </w:r>
    </w:p>
    <w:p>
      <w:pPr>
        <w:spacing w:after="0" w:line="211" w:lineRule="auto"/>
        <w:rPr>
          <w:rFonts w:ascii="Arial" w:cs="Arial" w:eastAsia="Arial" w:hAnsi="Arial"/>
          <w:sz w:val="15"/>
          <w:szCs w:val="15"/>
          <w:b w:val="1"/>
          <w:bCs w:val="1"/>
          <w:color w:val="auto"/>
          <w:vertAlign w:val="superscript"/>
        </w:rPr>
      </w:pPr>
      <w:r>
        <w:rPr>
          <w:rFonts w:ascii="Arial" w:cs="Arial" w:eastAsia="Arial" w:hAnsi="Arial"/>
          <w:sz w:val="18"/>
          <w:szCs w:val="18"/>
          <w:b w:val="1"/>
          <w:bCs w:val="1"/>
          <w:color w:val="auto"/>
          <w:vertAlign w:val="superscript"/>
        </w:rPr>
        <w:t>(9)</w:t>
      </w:r>
      <w:r>
        <w:rPr>
          <w:rFonts w:ascii="Arial" w:cs="Arial" w:eastAsia="Arial" w:hAnsi="Arial"/>
          <w:sz w:val="14"/>
          <w:szCs w:val="14"/>
          <w:color w:val="auto"/>
        </w:rPr>
        <w:t xml:space="preserve"> Includes severance costs of $1.6 million, wind down costs of legacy platform of $1.2 million and a benefit of $0.4 million of cash collected on previously written off bad debt for the year ended December 31, 2016. Please refer to footnote (2) above for additional information related to the nature of these restructuring and severance costs.</w:t>
      </w:r>
    </w:p>
    <w:p>
      <w:pPr>
        <w:ind w:right="20"/>
        <w:spacing w:after="0" w:line="216" w:lineRule="auto"/>
        <w:rPr>
          <w:rFonts w:ascii="Arial" w:cs="Arial" w:eastAsia="Arial" w:hAnsi="Arial"/>
          <w:sz w:val="15"/>
          <w:szCs w:val="15"/>
          <w:b w:val="1"/>
          <w:bCs w:val="1"/>
          <w:color w:val="auto"/>
          <w:vertAlign w:val="superscript"/>
        </w:rPr>
      </w:pPr>
      <w:r>
        <w:rPr>
          <w:rFonts w:ascii="Arial" w:cs="Arial" w:eastAsia="Arial" w:hAnsi="Arial"/>
          <w:sz w:val="18"/>
          <w:szCs w:val="18"/>
          <w:b w:val="1"/>
          <w:bCs w:val="1"/>
          <w:color w:val="auto"/>
          <w:vertAlign w:val="superscript"/>
        </w:rPr>
        <w:t>(10)</w:t>
      </w:r>
      <w:r>
        <w:rPr>
          <w:rFonts w:ascii="Arial" w:cs="Arial" w:eastAsia="Arial" w:hAnsi="Arial"/>
          <w:sz w:val="14"/>
          <w:szCs w:val="14"/>
          <w:color w:val="auto"/>
        </w:rPr>
        <w:t xml:space="preserve"> Includes litigation costs of $4.7 million, write off of technology licenses of $2.6 million, severance costs of $0.5 million, and write off of office facility depreciation of $0.3 million for the year ended December 31, 2016. Please refer to footnote (6) above for additional information related to the nature of these other litigation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820"/>
        <w:spacing w:after="0" w:line="3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General</w:t>
      </w:r>
    </w:p>
    <w:p>
      <w:pPr>
        <w:jc w:val="both"/>
        <w:ind w:firstLine="207"/>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LivePerson, Inc. (“LivePerson”, the “Company”, “we” or “our”) makes life easier for people and brands everywhere through trusted Conversational AI.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can now be viewed as a permanent, structural shift in consumer behavior. Our</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both"/>
        <w:spacing w:after="0" w:line="291" w:lineRule="auto"/>
        <w:rPr>
          <w:sz w:val="20"/>
          <w:szCs w:val="20"/>
          <w:color w:val="auto"/>
        </w:rPr>
      </w:pPr>
      <w:r>
        <w:rPr>
          <w:rFonts w:ascii="Arial" w:cs="Arial" w:eastAsia="Arial" w:hAnsi="Arial"/>
          <w:sz w:val="16"/>
          <w:szCs w:val="16"/>
          <w:color w:val="auto"/>
        </w:rPr>
        <w:t>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193" w:lineRule="exact"/>
        <w:rPr>
          <w:sz w:val="20"/>
          <w:szCs w:val="20"/>
          <w:color w:val="auto"/>
        </w:rPr>
      </w:pPr>
    </w:p>
    <w:p>
      <w:pPr>
        <w:jc w:val="both"/>
        <w:ind w:firstLine="222"/>
        <w:spacing w:after="0" w:line="254" w:lineRule="auto"/>
        <w:rPr>
          <w:sz w:val="20"/>
          <w:szCs w:val="20"/>
          <w:color w:val="auto"/>
        </w:rPr>
      </w:pPr>
      <w:r>
        <w:rPr>
          <w:rFonts w:ascii="Arial" w:cs="Arial" w:eastAsia="Arial" w:hAnsi="Arial"/>
          <w:sz w:val="18"/>
          <w:szCs w:val="18"/>
          <w:color w:val="auto"/>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short message service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84"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For your reference:</w:t>
      </w:r>
    </w:p>
    <w:p>
      <w:pPr>
        <w:spacing w:after="0" w:line="117" w:lineRule="exact"/>
        <w:rPr>
          <w:sz w:val="20"/>
          <w:szCs w:val="20"/>
          <w:color w:val="auto"/>
        </w:rPr>
      </w:pPr>
    </w:p>
    <w:p>
      <w:pPr>
        <w:ind w:left="1080" w:hanging="100"/>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Conversational AI: Conversational AI allows humans and machines to interact using natural language, including speech or text.</w:t>
      </w:r>
    </w:p>
    <w:p>
      <w:pPr>
        <w:spacing w:after="0" w:line="252" w:lineRule="exact"/>
        <w:rPr>
          <w:rFonts w:ascii="Arial" w:cs="Arial" w:eastAsia="Arial" w:hAnsi="Arial"/>
          <w:sz w:val="18"/>
          <w:szCs w:val="18"/>
          <w:color w:val="auto"/>
        </w:rPr>
      </w:pPr>
    </w:p>
    <w:p>
      <w:pPr>
        <w:ind w:left="1300" w:hanging="320"/>
        <w:spacing w:after="0" w:line="258" w:lineRule="auto"/>
        <w:tabs>
          <w:tab w:leader="none" w:pos="11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Conversational Space: In the Conversational Space, consumers message with brands on their own schedule, using natural language, to resolve their intents - all on their preferred messaging service. The core capabilities</w:t>
      </w:r>
    </w:p>
    <w:p>
      <w:pPr>
        <w:spacing w:after="0" w:line="1" w:lineRule="exact"/>
        <w:rPr>
          <w:rFonts w:ascii="Arial" w:cs="Arial" w:eastAsia="Arial" w:hAnsi="Arial"/>
          <w:sz w:val="18"/>
          <w:szCs w:val="18"/>
          <w:color w:val="auto"/>
        </w:rPr>
      </w:pPr>
    </w:p>
    <w:p>
      <w:pPr>
        <w:ind w:left="1300" w:right="20"/>
        <w:spacing w:after="0" w:line="260" w:lineRule="auto"/>
        <w:rPr>
          <w:rFonts w:ascii="Arial" w:cs="Arial" w:eastAsia="Arial" w:hAnsi="Arial"/>
          <w:sz w:val="18"/>
          <w:szCs w:val="18"/>
          <w:color w:val="auto"/>
        </w:rPr>
      </w:pPr>
      <w:r>
        <w:rPr>
          <w:rFonts w:ascii="Arial" w:cs="Arial" w:eastAsia="Arial" w:hAnsi="Arial"/>
          <w:sz w:val="18"/>
          <w:szCs w:val="18"/>
          <w:color w:val="auto"/>
        </w:rPr>
        <w:t>of the Conversational Space are voice and text-based interfaces, powered by AI and humans working together. Conversational Space is the simplest, most intuitive interface of all.</w:t>
      </w:r>
    </w:p>
    <w:p>
      <w:pPr>
        <w:spacing w:after="0" w:line="212" w:lineRule="exact"/>
        <w:rPr>
          <w:rFonts w:ascii="Arial" w:cs="Arial" w:eastAsia="Arial" w:hAnsi="Arial"/>
          <w:sz w:val="18"/>
          <w:szCs w:val="18"/>
          <w:color w:val="auto"/>
        </w:rPr>
      </w:pPr>
    </w:p>
    <w:p>
      <w:pPr>
        <w:ind w:left="1300" w:hanging="320"/>
        <w:spacing w:after="0" w:line="277" w:lineRule="auto"/>
        <w:tabs>
          <w:tab w:leader="none" w:pos="10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Conversational Cloud: LivePerson's enterprise-class, AI-powered Conversational Cloud platform empowers consumers to message their favorite brands, just as they do with friends and family.</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Certain of our customers have achieved the following advantages from our offerings:</w:t>
      </w:r>
    </w:p>
    <w:p>
      <w:pPr>
        <w:spacing w:after="0" w:line="80" w:lineRule="exact"/>
        <w:rPr>
          <w:sz w:val="20"/>
          <w:szCs w:val="20"/>
          <w:color w:val="auto"/>
        </w:rPr>
      </w:pPr>
    </w:p>
    <w:p>
      <w:pPr>
        <w:ind w:left="1300" w:hanging="320"/>
        <w:spacing w:after="0" w:line="291" w:lineRule="auto"/>
        <w:tabs>
          <w:tab w:leader="none" w:pos="12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6" w:name="page57"/>
    <w:bookmarkEnd w:id="56"/>
    <w:p>
      <w:pPr>
        <w:ind w:left="1300" w:hanging="320"/>
        <w:spacing w:after="0" w:line="258"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increases of up to 20 percentage points, and enhancing retention and loyalty;</w:t>
      </w:r>
    </w:p>
    <w:p>
      <w:pPr>
        <w:spacing w:after="0" w:line="1"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9"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leverage spending that drives visitor traffic by increasing visitor conversions;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 and</w:t>
      </w:r>
    </w:p>
    <w:p>
      <w:pPr>
        <w:spacing w:after="0" w:line="9" w:lineRule="exact"/>
        <w:rPr>
          <w:rFonts w:ascii="Arial" w:cs="Arial" w:eastAsia="Arial" w:hAnsi="Arial"/>
          <w:sz w:val="18"/>
          <w:szCs w:val="18"/>
          <w:color w:val="auto"/>
        </w:rPr>
      </w:pPr>
    </w:p>
    <w:p>
      <w:pPr>
        <w:ind w:left="1300" w:hanging="320"/>
        <w:spacing w:after="0" w:line="260"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lead generation by providing a single platform that engages consumers through advertisements and listings on branded and third-party websites.</w:t>
      </w:r>
    </w:p>
    <w:p>
      <w:pPr>
        <w:spacing w:after="0" w:line="185" w:lineRule="exact"/>
        <w:rPr>
          <w:sz w:val="20"/>
          <w:szCs w:val="20"/>
          <w:color w:val="auto"/>
        </w:rPr>
      </w:pPr>
    </w:p>
    <w:p>
      <w:pPr>
        <w:jc w:val="both"/>
        <w:ind w:firstLine="22"/>
        <w:spacing w:after="0" w:line="279"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63" w:lineRule="exact"/>
        <w:rPr>
          <w:sz w:val="20"/>
          <w:szCs w:val="20"/>
          <w:color w:val="auto"/>
        </w:rPr>
      </w:pPr>
    </w:p>
    <w:p>
      <w:pPr>
        <w:ind w:right="2000" w:firstLine="648"/>
        <w:spacing w:after="0" w:line="259" w:lineRule="auto"/>
        <w:rPr>
          <w:sz w:val="20"/>
          <w:szCs w:val="20"/>
          <w:color w:val="auto"/>
        </w:rPr>
      </w:pPr>
      <w:r>
        <w:rPr>
          <w:rFonts w:ascii="Arial" w:cs="Arial" w:eastAsia="Arial" w:hAnsi="Arial"/>
          <w:sz w:val="18"/>
          <w:szCs w:val="18"/>
          <w:color w:val="auto"/>
        </w:rPr>
        <w:t>To further enhance our platform, in September 2020 we signed a partnership with Infosys, a leader in next-generation digital services and consulting. We will work with Infosys to transform our technology infrastructure on the public cloud, to build integrated solutions and a global practice around our Conversational Cloud to sell into their channels and global enterprise customer base, and to redefine how the world’s top brands communicate.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LivePerson's consumer services offering is an online marketplace that connects independent service providers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Build awareness and drive adoption of the Conversational Space. </w:t>
      </w:r>
      <w:r>
        <w:rPr>
          <w:rFonts w:ascii="Arial" w:cs="Arial" w:eastAsia="Arial" w:hAnsi="Arial"/>
          <w:sz w:val="18"/>
          <w:szCs w:val="18"/>
          <w:color w:val="auto"/>
        </w:rPr>
        <w:t>LivePerson brought our first customer live on messaging in June 2016.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key component of our industry awareness marketing strategy has been to hold multiple global customer summits each year (events in 2020 were held virtually in light of the COVID-19 pandemic) that target executives from enterprise customers and prospects, and feature a key theme within the Conversational Space, such as Apple Business Chat, Google Rich Business Messenger, IVR deflection or AI. LivePerson customers are the centerpoint of these summits, presenting why they chose LivePerson for conversational experiences,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year-end 2020, we had brought approximately 400 customers live on messaging and increased adoption within our enterprise customers to 66%. In addition, nearly 70% of messaging conversations had automation attached. We will continue to focus on building awareness for the Conversational Space and driving adoption of messaging and AI across our customer base.</w:t>
      </w:r>
    </w:p>
    <w:p>
      <w:pPr>
        <w:spacing w:after="0" w:line="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is to 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drive broad messaging adoption, it is imperative that the Conversational Cloud integrates to all of the messaging apps that consumers prefer to use for communication and addresses all key use cases. For example, if a consumer is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57" w:name="page58"/>
    <w:bookmarkEnd w:id="57"/>
    <w:p>
      <w:pPr>
        <w:jc w:val="both"/>
        <w:spacing w:after="0" w:line="269" w:lineRule="auto"/>
        <w:rPr>
          <w:sz w:val="20"/>
          <w:szCs w:val="20"/>
          <w:color w:val="auto"/>
        </w:rPr>
      </w:pPr>
      <w:r>
        <w:rPr>
          <w:rFonts w:ascii="Arial" w:cs="Arial" w:eastAsia="Arial" w:hAnsi="Arial"/>
          <w:sz w:val="17"/>
          <w:szCs w:val="17"/>
          <w:color w:val="auto"/>
        </w:rPr>
        <w:t>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channel and use case added opens the door to hundreds of millions of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LivePerson is leading the structural shift to Conversational AI.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 LivePerson’s enterprise and mid-market revenue retention rate, (the trailing-twelve-month change in total revenue from existing customers after upsells, downsells and attrition) which exceeded the high end of our target range of 105% to 115% for 2020. The benefit can also be seen in LivePerson’s average revenue per user (ARPU) for our enterprise and mid-market customers, which increased approximately 35% in 2020 to $465,000 from approximately $345,000 in 2019.</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Attract the industry’s best AI, machine learning and conversational talent. </w:t>
      </w:r>
      <w:r>
        <w:rPr>
          <w:rFonts w:ascii="Arial" w:cs="Arial" w:eastAsia="Arial" w:hAnsi="Arial"/>
          <w:sz w:val="18"/>
          <w:szCs w:val="18"/>
          <w:color w:val="auto"/>
        </w:rPr>
        <w:t>We believe that AI and machine learning are critical to successfully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scaling in the Conversational Space, and that in order to develop the industry’s leading technology, we need to attract the industry's best talent. In 2018, LivePerson recruited Alex Spinelli, key architect of the Alexa Operating System at Amazon.com, as our Global CTO. Under Mr. Spinelli’s leadership, LivePerson hired more than 280 of the industry’s 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and Conversable in Austin, Texas.</w:t>
      </w:r>
    </w:p>
    <w:p>
      <w:pPr>
        <w:spacing w:after="0" w:line="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Bring to market best-in-class AI and machine learning technologies designed for the conversational space. </w:t>
      </w:r>
      <w:r>
        <w:rPr>
          <w:rFonts w:ascii="Arial" w:cs="Arial" w:eastAsia="Arial" w:hAnsi="Arial"/>
          <w:sz w:val="17"/>
          <w:szCs w:val="17"/>
          <w:color w:val="auto"/>
        </w:rPr>
        <w:t>We believe that in the last decade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many vendors introduced AI and bot offerings 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Unlike alternative solutions designed solely for IT departments, LivePerson’s Conversational AI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Some of the key innovations behind LivePerson’s Conversational AI include: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8" w:name="page59"/>
    <w:bookmarkEnd w:id="58"/>
    <w:p>
      <w:pPr>
        <w:jc w:val="both"/>
        <w:ind w:left="1060" w:hanging="323"/>
        <w:spacing w:after="0" w:line="255" w:lineRule="auto"/>
        <w:tabs>
          <w:tab w:leader="none" w:pos="10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2" w:lineRule="exact"/>
        <w:rPr>
          <w:rFonts w:ascii="Arial" w:cs="Arial" w:eastAsia="Arial" w:hAnsi="Arial"/>
          <w:sz w:val="18"/>
          <w:szCs w:val="18"/>
          <w:color w:val="auto"/>
        </w:rPr>
      </w:pPr>
    </w:p>
    <w:p>
      <w:pPr>
        <w:ind w:left="1060" w:hanging="323"/>
        <w:spacing w:after="0" w:line="250" w:lineRule="auto"/>
        <w:tabs>
          <w:tab w:leader="none" w:pos="10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jc w:val="both"/>
        <w:ind w:left="1060" w:hanging="323"/>
        <w:spacing w:after="0" w:line="250" w:lineRule="auto"/>
        <w:tabs>
          <w:tab w:leader="none" w:pos="10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leveraging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w:t>
      </w:r>
    </w:p>
    <w:p>
      <w:pPr>
        <w:spacing w:after="0" w:line="1" w:lineRule="exact"/>
        <w:rPr>
          <w:rFonts w:ascii="Arial" w:cs="Arial" w:eastAsia="Arial" w:hAnsi="Arial"/>
          <w:sz w:val="18"/>
          <w:szCs w:val="18"/>
          <w:color w:val="auto"/>
        </w:rPr>
      </w:pPr>
    </w:p>
    <w:p>
      <w:pPr>
        <w:ind w:left="1060" w:right="20" w:hanging="323"/>
        <w:spacing w:after="0" w:line="250" w:lineRule="auto"/>
        <w:tabs>
          <w:tab w:leader="none" w:pos="10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ind w:left="1060" w:hanging="323"/>
        <w:spacing w:after="0" w:line="250" w:lineRule="auto"/>
        <w:tabs>
          <w:tab w:leader="none" w:pos="10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ind w:left="1060" w:hanging="323"/>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third-party AI natural language understanding (NLU) integration, so customers aren’t boxed into one vendor;</w:t>
      </w:r>
    </w:p>
    <w:p>
      <w:pPr>
        <w:spacing w:after="0" w:line="9" w:lineRule="exact"/>
        <w:rPr>
          <w:rFonts w:ascii="Arial" w:cs="Arial" w:eastAsia="Arial" w:hAnsi="Arial"/>
          <w:sz w:val="18"/>
          <w:szCs w:val="18"/>
          <w:color w:val="auto"/>
        </w:rPr>
      </w:pPr>
    </w:p>
    <w:p>
      <w:pPr>
        <w:ind w:left="1060" w:right="20" w:hanging="323"/>
        <w:spacing w:after="0" w:line="260" w:lineRule="auto"/>
        <w:tabs>
          <w:tab w:leader="none" w:pos="10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AI analytics and reporting tailored to the Conversational Space, providing brands with immediate, actionable insights about their businesses and contact center operations.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strategy is to continue to enhance the Conversational AI engine and related products, by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6"/>
          <w:szCs w:val="16"/>
          <w:color w:val="auto"/>
        </w:rPr>
        <w:t>We believe that most contact center technology vendors incorrectly view messaging as a feature. They are content with building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integrations to a messaging endpoint and offering messaging as just another product in their suite. LivePerson holds the perspective that messaging and AI are the foundation for transforming conversational experiences, disrupting how agents operate and how brands engage with consumers.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LivePerson is uniquely positioned to deliver this transformation due to our technology and expertise:</w:t>
      </w:r>
    </w:p>
    <w:p>
      <w:pPr>
        <w:spacing w:after="0" w:line="117" w:lineRule="exact"/>
        <w:rPr>
          <w:sz w:val="20"/>
          <w:szCs w:val="20"/>
          <w:color w:val="auto"/>
        </w:rPr>
      </w:pPr>
    </w:p>
    <w:p>
      <w:pPr>
        <w:jc w:val="both"/>
        <w:ind w:left="1060" w:hanging="323"/>
        <w:spacing w:after="0" w:line="253" w:lineRule="auto"/>
        <w:tabs>
          <w:tab w:leader="none" w:pos="10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w:t>
      </w:r>
    </w:p>
    <w:p>
      <w:pPr>
        <w:spacing w:after="0" w:line="1" w:lineRule="exact"/>
        <w:rPr>
          <w:rFonts w:ascii="Arial" w:cs="Arial" w:eastAsia="Arial" w:hAnsi="Arial"/>
          <w:sz w:val="18"/>
          <w:szCs w:val="18"/>
          <w:color w:val="auto"/>
        </w:rPr>
      </w:pPr>
    </w:p>
    <w:p>
      <w:pPr>
        <w:ind w:left="1060" w:hanging="323"/>
        <w:spacing w:after="0" w:line="250" w:lineRule="auto"/>
        <w:tabs>
          <w:tab w:leader="none" w:pos="10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ind w:left="1060" w:hanging="323"/>
        <w:spacing w:after="0" w:line="250" w:lineRule="auto"/>
        <w:tabs>
          <w:tab w:leader="none" w:pos="10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jc w:val="both"/>
        <w:ind w:left="1060" w:hanging="323"/>
        <w:spacing w:after="0" w:line="253" w:lineRule="auto"/>
        <w:tabs>
          <w:tab w:leader="none" w:pos="10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 times inefficient legacy voice, email and chat solutions to modern conversational ones powered by messaging and AI.</w:t>
      </w: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9" w:name="page60"/>
    <w:bookmarkEnd w:id="59"/>
    <w:p>
      <w:pPr>
        <w:ind w:right="20"/>
        <w:spacing w:after="0" w:line="263" w:lineRule="auto"/>
        <w:rPr>
          <w:sz w:val="20"/>
          <w:szCs w:val="20"/>
          <w:color w:val="auto"/>
        </w:rPr>
      </w:pPr>
      <w:r>
        <w:rPr>
          <w:rFonts w:ascii="Arial" w:cs="Arial" w:eastAsia="Arial" w:hAnsi="Arial"/>
          <w:sz w:val="18"/>
          <w:szCs w:val="18"/>
          <w:color w:val="auto"/>
        </w:rPr>
        <w:t>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211" w:lineRule="exact"/>
        <w:rPr>
          <w:sz w:val="20"/>
          <w:szCs w:val="20"/>
          <w:color w:val="auto"/>
        </w:rPr>
      </w:pPr>
    </w:p>
    <w:p>
      <w:pPr>
        <w:jc w:val="both"/>
        <w:ind w:firstLine="193"/>
        <w:spacing w:after="0" w:line="285" w:lineRule="auto"/>
        <w:rPr>
          <w:sz w:val="20"/>
          <w:szCs w:val="20"/>
          <w:color w:val="auto"/>
        </w:rPr>
      </w:pPr>
      <w:r>
        <w:rPr>
          <w:rFonts w:ascii="Arial" w:cs="Arial" w:eastAsia="Arial" w:hAnsi="Arial"/>
          <w:sz w:val="16"/>
          <w:szCs w:val="16"/>
          <w:b w:val="1"/>
          <w:bCs w:val="1"/>
          <w:i w:val="1"/>
          <w:iCs w:val="1"/>
          <w:color w:val="auto"/>
        </w:rPr>
        <w:t xml:space="preserve">Strengthen our position in both existing and new industries. </w:t>
      </w:r>
      <w:r>
        <w:rPr>
          <w:rFonts w:ascii="Arial" w:cs="Arial" w:eastAsia="Arial" w:hAnsi="Arial"/>
          <w:sz w:val="16"/>
          <w:szCs w:val="16"/>
          <w:color w:val="auto"/>
        </w:rPr>
        <w:t>We plan to continue to develop our market position by increasing our customer base,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expanding within our installed base. We will continue to focus primarily on key target markets: consumer/retail, telecommunications, financial services, travel/hospitality, technology and automotive within both our enterprise and mid-market sectors, as well as the small business (SMB) sector. In 2019, we made strong inroads into new verticals with key wins in the airline, food service and healthcare industries. In 2020, we strengthened our presence in key markets including travel/hospitality and retail, and opened new verticals like healthcare and government. We are experimenting</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with new conversational businesses, including some that are in regulated industries, like online banking. We are increasingly structuring our field organization to emphasize our domain expertise and strengthen customer relationships across target industries.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building our international presence and expanding our international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which accounted for 38% and 41% of total revenue in 2020 and 2019, respectively. We are generating positive results from our recent investments in the Asia Pacific, Europe and Latin America regions.</w:t>
      </w:r>
    </w:p>
    <w:p>
      <w:pPr>
        <w:spacing w:after="0" w:line="76" w:lineRule="exact"/>
        <w:rPr>
          <w:sz w:val="20"/>
          <w:szCs w:val="20"/>
          <w:color w:val="auto"/>
        </w:rPr>
      </w:pPr>
    </w:p>
    <w:p>
      <w:pPr>
        <w:jc w:val="both"/>
        <w:ind w:firstLine="238"/>
        <w:spacing w:after="0" w:line="272" w:lineRule="auto"/>
        <w:rPr>
          <w:sz w:val="20"/>
          <w:szCs w:val="20"/>
          <w:color w:val="auto"/>
        </w:rPr>
      </w:pPr>
      <w:r>
        <w:rPr>
          <w:rFonts w:ascii="Arial" w:cs="Arial" w:eastAsia="Arial" w:hAnsi="Arial"/>
          <w:sz w:val="17"/>
          <w:szCs w:val="17"/>
          <w:b w:val="1"/>
          <w:bCs w:val="1"/>
          <w:i w:val="1"/>
          <w:iCs w:val="1"/>
          <w:color w:val="auto"/>
        </w:rPr>
        <w:t xml:space="preserve">Leverage our open architecture to support partners and developers. </w:t>
      </w:r>
      <w:r>
        <w:rPr>
          <w:rFonts w:ascii="Arial" w:cs="Arial" w:eastAsia="Arial" w:hAnsi="Arial"/>
          <w:sz w:val="17"/>
          <w:szCs w:val="17"/>
          <w:color w:val="auto"/>
        </w:rPr>
        <w:t>In addition to developing our own applications, we continue to cultivate a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Function as a Service (FaaS) integration which enables brands to develop custom behaviors within LivePerson's conversational platform to easily and rapidly tailor conversation flows to their specific needs.</w:t>
      </w:r>
    </w:p>
    <w:p>
      <w:pPr>
        <w:spacing w:after="0" w:line="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Expand sales partnerships to broaden our presence and accelerate sales cycles. </w:t>
      </w:r>
      <w:r>
        <w:rPr>
          <w:rFonts w:ascii="Arial" w:cs="Arial" w:eastAsia="Arial" w:hAnsi="Arial"/>
          <w:sz w:val="16"/>
          <w:szCs w:val="16"/>
          <w:color w:val="auto"/>
        </w:rPr>
        <w:t>We are focused on broadening our market reach and accelerating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Infosys joined LivePerson’s network with a first-of-its-kind 360-degree partnership focusing not only on capturing the global rising demand for conversational commerce and building a personalized experience for customers, but also driving the transformation for internal corporate messaging and the employee experience through Conversational AI. LivePerson increased the number of partners focused on SMBs to more than 300 at year-end 2020 and 2019, from over 150 at year-end 2018, and approximately 40 at the end of 2017. Approximately one quarter of all opportunities were influenced by partners in 2020, and we are focused on driving that contribution toward 50% longer term.</w:t>
      </w:r>
    </w:p>
    <w:p>
      <w:pPr>
        <w:spacing w:after="0" w:line="58" w:lineRule="exact"/>
        <w:rPr>
          <w:sz w:val="20"/>
          <w:szCs w:val="20"/>
          <w:color w:val="auto"/>
        </w:rPr>
      </w:pPr>
    </w:p>
    <w:p>
      <w:pPr>
        <w:jc w:val="both"/>
        <w:ind w:firstLine="270"/>
        <w:spacing w:after="0" w:line="296"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Evaluate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overview of the three and twelve months ended December 31, 2020 compared to the comparable periods in 2019 is as follows:</w:t>
      </w:r>
    </w:p>
    <w:p>
      <w:pPr>
        <w:spacing w:after="0" w:line="129" w:lineRule="exact"/>
        <w:rPr>
          <w:sz w:val="20"/>
          <w:szCs w:val="20"/>
          <w:color w:val="auto"/>
        </w:rPr>
      </w:pPr>
    </w:p>
    <w:p>
      <w:pPr>
        <w:ind w:left="460" w:right="20" w:hanging="331"/>
        <w:spacing w:after="0" w:line="27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increased 29% and 26% to $102.1 million and $366.6 million in the three and twelve months ended December 31, 2020, respectively, from $79.1 million and $291.6 million in the comparable periods in 2019.</w:t>
      </w:r>
    </w:p>
    <w:p>
      <w:pPr>
        <w:spacing w:after="0" w:line="62"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from our Business segment increased 29% and 26% to $94.1 million and $336.9 million in the three and twelve months ended December 31, 2020, respectively, from $72.8 million and $267.1 million in the comparable periods in 2019.</w:t>
      </w:r>
    </w:p>
    <w:p>
      <w:pPr>
        <w:spacing w:after="0" w:line="62" w:lineRule="exact"/>
        <w:rPr>
          <w:rFonts w:ascii="Arial" w:cs="Arial" w:eastAsia="Arial" w:hAnsi="Arial"/>
          <w:sz w:val="18"/>
          <w:szCs w:val="18"/>
          <w:color w:val="auto"/>
        </w:rPr>
      </w:pPr>
    </w:p>
    <w:p>
      <w:pPr>
        <w:ind w:left="460" w:right="20" w:hanging="331"/>
        <w:spacing w:after="0" w:line="27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Gross profit margin increased to 73% in the three months ended December 31, 2020 from 72% in the comparable period in 2019. Gross profit margin decreased to 71% in the twelve months ended December 31, 2020 from 73% in the comparable period in 2019.</w:t>
      </w:r>
    </w:p>
    <w:p>
      <w:pPr>
        <w:spacing w:after="0" w:line="62"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 and expenses increased 5% and 20% to $108.8 million and $456.1 million in the three and twelve months ended December 31, 2020, respectively, from $103.6 million and $378.6 million in the comparable periods in 2019.</w:t>
      </w:r>
    </w:p>
    <w:p>
      <w:pPr>
        <w:spacing w:after="0" w:line="62"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loss increased to $13.3 million and to $107.6 million in the three and twelve months ended December 31, 2020, respectively, from net loss of $27.3 million and $96.1 million for the three and twelve months ended December 31, 2019, respectively.</w:t>
      </w:r>
    </w:p>
    <w:p>
      <w:pPr>
        <w:spacing w:after="0" w:line="62"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Trailing-twelve-month average revenue per enterprise and mid-market customer was approximately $465,000 in 2020, as compared to approximately $345,000 in 2019.</w:t>
      </w:r>
    </w:p>
    <w:p>
      <w:pPr>
        <w:spacing w:after="0" w:line="62"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retention rate for enterprise and mid-market customers on Conversational Cloud exceeded the high end of our target range of 105% to 115% in 2020, and was within our target range of 105% to 115% for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300" w:hanging="158"/>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00" w:lineRule="exact"/>
        <w:rPr>
          <w:sz w:val="20"/>
          <w:szCs w:val="20"/>
          <w:color w:val="auto"/>
        </w:rPr>
      </w:pPr>
    </w:p>
    <w:p>
      <w:pPr>
        <w:spacing w:after="0" w:line="268" w:lineRule="exact"/>
        <w:rPr>
          <w:sz w:val="20"/>
          <w:szCs w:val="20"/>
          <w:color w:val="auto"/>
        </w:rPr>
      </w:pPr>
    </w:p>
    <w:p>
      <w:pPr>
        <w:ind w:right="2020" w:firstLine="648"/>
        <w:spacing w:after="0" w:line="277" w:lineRule="auto"/>
        <w:rPr>
          <w:sz w:val="20"/>
          <w:szCs w:val="20"/>
          <w:color w:val="auto"/>
        </w:rPr>
      </w:pPr>
      <w:r>
        <w:rPr>
          <w:rFonts w:ascii="Arial" w:cs="Arial" w:eastAsia="Arial" w:hAnsi="Arial"/>
          <w:sz w:val="18"/>
          <w:szCs w:val="18"/>
          <w:color w:val="auto"/>
        </w:rPr>
        <w:t>For more information about our revenue recognition policies, please see “-- Critical Accounting Policies and Estimates -- Revenue Recognition.”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attributable to our monthly hosted Business services accounted for 78% of total revenue for the year ended December 31, 2020, 77% of total revenue for the year ended December 31, 2019 and 79% of total revenue for the year ended December 31,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attributable to professional services accounted for 14% of total revenue for the year ended December 31, 2020, 14% of total revenue for the year ended December 31, 2019 and 13% of total revenue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accounted for approximately 8% of total revenue for the years ended December 31, 2020, 2019 and 2018,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52"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We record deferred revenues when cash payments are received or due in advance of our performance. The decrease of $0.1 million in the deferred revenue balance for the year ended December 31, 2020 is primarily driven by satisfying our performance obligations and the revenue recognized of approximately $103.2 million that were included in the deferred revenue balance as of December 31, 2019.</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63" w:lineRule="exact"/>
        <w:rPr>
          <w:sz w:val="20"/>
          <w:szCs w:val="20"/>
          <w:color w:val="auto"/>
        </w:rPr>
      </w:pPr>
    </w:p>
    <w:p>
      <w:pPr>
        <w:ind w:left="1100" w:hanging="32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23" w:lineRule="exact"/>
        <w:rPr>
          <w:rFonts w:ascii="Arial" w:cs="Arial" w:eastAsia="Arial" w:hAnsi="Arial"/>
          <w:sz w:val="18"/>
          <w:szCs w:val="18"/>
          <w:color w:val="auto"/>
        </w:rPr>
      </w:pPr>
    </w:p>
    <w:p>
      <w:pPr>
        <w:ind w:left="1100" w:hanging="32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32" w:lineRule="exact"/>
        <w:rPr>
          <w:rFonts w:ascii="Arial" w:cs="Arial" w:eastAsia="Arial" w:hAnsi="Arial"/>
          <w:sz w:val="16"/>
          <w:szCs w:val="16"/>
          <w:color w:val="auto"/>
        </w:rPr>
      </w:pPr>
    </w:p>
    <w:p>
      <w:pPr>
        <w:ind w:left="1100" w:hanging="32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the consumer and SMB services; and</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global customer summits and trade show exhibit expenses.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litigation, professional fees, provision for doubtful accounts and other general corporate expenses.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2020, we increased our allowance for doubtful accounts from approximately $3.1 million to approximately $5.3 million. During 2019, we increased our allowance for doubtful accounts from approximately $2.3 million to approximately $3.1 million. We perform a detailed assessment of the collectability of our accounts receivable. In estimating the allowance for doubtful accounts, management considers, among other factors, the aging of the accounts receivable, historical write-offs and the creditworthiness of each customer. A large proportion of receivables are due from larger corporate customers that typically have longer payment cycles.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net non-cash compensation amounts for the years ended December 31, 2020, 2019 and 2018 consist of (amounts in thousands):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3"/>
        </w:trPr>
        <w:tc>
          <w:tcPr>
            <w:tcW w:w="730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2018</w:t>
            </w:r>
          </w:p>
        </w:tc>
      </w:tr>
      <w:tr>
        <w:trPr>
          <w:trHeight w:val="251"/>
        </w:trPr>
        <w:tc>
          <w:tcPr>
            <w:tcW w:w="7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65,946</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44,105</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14,841</w:t>
            </w:r>
          </w:p>
        </w:tc>
      </w:tr>
      <w:tr>
        <w:trPr>
          <w:trHeight w:val="20"/>
        </w:trPr>
        <w:tc>
          <w:tcPr>
            <w:tcW w:w="73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9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the Conversational Cloud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our results of operations for the periods presented and as a percentage of our revenues for those periods. The period-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w w:val="92"/>
              </w:rPr>
              <w:t>to-period</w:t>
            </w:r>
          </w:p>
        </w:tc>
        <w:tc>
          <w:tcPr>
            <w:tcW w:w="1580" w:type="dxa"/>
            <w:vAlign w:val="bottom"/>
          </w:tcPr>
          <w:p>
            <w:pPr>
              <w:ind w:left="380"/>
              <w:spacing w:after="0"/>
              <w:rPr>
                <w:sz w:val="20"/>
                <w:szCs w:val="20"/>
                <w:color w:val="auto"/>
              </w:rPr>
            </w:pPr>
            <w:r>
              <w:rPr>
                <w:rFonts w:ascii="Arial" w:cs="Arial" w:eastAsia="Arial" w:hAnsi="Arial"/>
                <w:sz w:val="18"/>
                <w:szCs w:val="18"/>
                <w:color w:val="auto"/>
              </w:rPr>
              <w:t>comparison</w:t>
            </w:r>
          </w:p>
        </w:tc>
        <w:tc>
          <w:tcPr>
            <w:tcW w:w="460" w:type="dxa"/>
            <w:vAlign w:val="bottom"/>
          </w:tcPr>
          <w:p>
            <w:pPr>
              <w:ind w:left="20"/>
              <w:spacing w:after="0"/>
              <w:rPr>
                <w:sz w:val="20"/>
                <w:szCs w:val="20"/>
                <w:color w:val="auto"/>
              </w:rPr>
            </w:pPr>
            <w:r>
              <w:rPr>
                <w:rFonts w:ascii="Arial" w:cs="Arial" w:eastAsia="Arial" w:hAnsi="Arial"/>
                <w:sz w:val="18"/>
                <w:szCs w:val="18"/>
                <w:color w:val="auto"/>
              </w:rPr>
              <w:t>of</w:t>
            </w:r>
          </w:p>
        </w:tc>
        <w:tc>
          <w:tcPr>
            <w:tcW w:w="940" w:type="dxa"/>
            <w:vAlign w:val="bottom"/>
          </w:tcPr>
          <w:p>
            <w:pPr>
              <w:ind w:left="120"/>
              <w:spacing w:after="0"/>
              <w:rPr>
                <w:sz w:val="20"/>
                <w:szCs w:val="20"/>
                <w:color w:val="auto"/>
              </w:rPr>
            </w:pPr>
            <w:r>
              <w:rPr>
                <w:rFonts w:ascii="Arial" w:cs="Arial" w:eastAsia="Arial" w:hAnsi="Arial"/>
                <w:sz w:val="18"/>
                <w:szCs w:val="18"/>
                <w:color w:val="auto"/>
              </w:rPr>
              <w:t>financial</w:t>
            </w:r>
          </w:p>
        </w:tc>
        <w:tc>
          <w:tcPr>
            <w:tcW w:w="860" w:type="dxa"/>
            <w:vAlign w:val="bottom"/>
          </w:tcPr>
          <w:p>
            <w:pPr>
              <w:ind w:left="200"/>
              <w:spacing w:after="0"/>
              <w:rPr>
                <w:sz w:val="20"/>
                <w:szCs w:val="20"/>
                <w:color w:val="auto"/>
              </w:rPr>
            </w:pPr>
            <w:r>
              <w:rPr>
                <w:rFonts w:ascii="Arial" w:cs="Arial" w:eastAsia="Arial" w:hAnsi="Arial"/>
                <w:sz w:val="18"/>
                <w:szCs w:val="18"/>
                <w:color w:val="auto"/>
              </w:rPr>
              <w:t>results</w:t>
            </w:r>
          </w:p>
        </w:tc>
        <w:tc>
          <w:tcPr>
            <w:tcW w:w="360" w:type="dxa"/>
            <w:vAlign w:val="bottom"/>
          </w:tcPr>
          <w:p>
            <w:pPr>
              <w:ind w:left="200"/>
              <w:spacing w:after="0"/>
              <w:rPr>
                <w:sz w:val="20"/>
                <w:szCs w:val="20"/>
                <w:color w:val="auto"/>
              </w:rPr>
            </w:pPr>
            <w:r>
              <w:rPr>
                <w:rFonts w:ascii="Arial" w:cs="Arial" w:eastAsia="Arial" w:hAnsi="Arial"/>
                <w:sz w:val="18"/>
                <w:szCs w:val="18"/>
                <w:color w:val="auto"/>
              </w:rPr>
              <w:t>is</w:t>
            </w:r>
          </w:p>
        </w:tc>
        <w:tc>
          <w:tcPr>
            <w:tcW w:w="700" w:type="dxa"/>
            <w:vAlign w:val="bottom"/>
          </w:tcPr>
          <w:p>
            <w:pPr>
              <w:ind w:left="340"/>
              <w:spacing w:after="0"/>
              <w:rPr>
                <w:sz w:val="20"/>
                <w:szCs w:val="20"/>
                <w:color w:val="auto"/>
              </w:rPr>
            </w:pPr>
            <w:r>
              <w:rPr>
                <w:rFonts w:ascii="Arial" w:cs="Arial" w:eastAsia="Arial" w:hAnsi="Arial"/>
                <w:sz w:val="18"/>
                <w:szCs w:val="18"/>
                <w:color w:val="auto"/>
              </w:rPr>
              <w:t>not</w:t>
            </w:r>
          </w:p>
        </w:tc>
        <w:tc>
          <w:tcPr>
            <w:tcW w:w="1080" w:type="dxa"/>
            <w:vAlign w:val="bottom"/>
          </w:tcPr>
          <w:p>
            <w:pPr>
              <w:jc w:val="right"/>
              <w:spacing w:after="0"/>
              <w:rPr>
                <w:sz w:val="20"/>
                <w:szCs w:val="20"/>
                <w:color w:val="auto"/>
              </w:rPr>
            </w:pPr>
            <w:r>
              <w:rPr>
                <w:rFonts w:ascii="Arial" w:cs="Arial" w:eastAsia="Arial" w:hAnsi="Arial"/>
                <w:sz w:val="18"/>
                <w:szCs w:val="18"/>
                <w:color w:val="auto"/>
              </w:rPr>
              <w:t>necessarily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98"/>
              <w:spacing w:after="0"/>
              <w:rPr>
                <w:sz w:val="20"/>
                <w:szCs w:val="20"/>
                <w:color w:val="auto"/>
              </w:rPr>
            </w:pPr>
            <w:r>
              <w:rPr>
                <w:rFonts w:ascii="Arial" w:cs="Arial" w:eastAsia="Arial" w:hAnsi="Arial"/>
                <w:sz w:val="18"/>
                <w:szCs w:val="18"/>
                <w:color w:val="auto"/>
              </w:rPr>
              <w:t>indicative</w:t>
            </w:r>
          </w:p>
        </w:tc>
        <w:tc>
          <w:tcPr>
            <w:tcW w:w="500" w:type="dxa"/>
            <w:vAlign w:val="bottom"/>
          </w:tcPr>
          <w:p>
            <w:pPr>
              <w:jc w:val="center"/>
              <w:ind w:right="35"/>
              <w:spacing w:after="0"/>
              <w:rPr>
                <w:sz w:val="20"/>
                <w:szCs w:val="20"/>
                <w:color w:val="auto"/>
              </w:rPr>
            </w:pPr>
            <w:r>
              <w:rPr>
                <w:rFonts w:ascii="Arial" w:cs="Arial" w:eastAsia="Arial" w:hAnsi="Arial"/>
                <w:sz w:val="18"/>
                <w:szCs w:val="18"/>
                <w:color w:val="auto"/>
                <w:w w:val="92"/>
              </w:rPr>
              <w:t>of</w:t>
            </w: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future</w:t>
            </w:r>
          </w:p>
        </w:tc>
        <w:tc>
          <w:tcPr>
            <w:tcW w:w="720" w:type="dxa"/>
            <w:vAlign w:val="bottom"/>
          </w:tcPr>
          <w:p>
            <w:pPr>
              <w:jc w:val="right"/>
              <w:spacing w:after="0"/>
              <w:rPr>
                <w:sz w:val="20"/>
                <w:szCs w:val="20"/>
                <w:color w:val="auto"/>
              </w:rPr>
            </w:pPr>
            <w:r>
              <w:rPr>
                <w:rFonts w:ascii="Arial" w:cs="Arial" w:eastAsia="Arial" w:hAnsi="Arial"/>
                <w:sz w:val="18"/>
                <w:szCs w:val="18"/>
                <w:color w:val="auto"/>
              </w:rPr>
              <w:t>results.</w:t>
            </w:r>
          </w:p>
        </w:tc>
        <w:tc>
          <w:tcPr>
            <w:tcW w:w="820" w:type="dxa"/>
            <w:vAlign w:val="bottom"/>
          </w:tcPr>
          <w:p>
            <w:pPr>
              <w:spacing w:after="0"/>
              <w:rPr>
                <w:sz w:val="20"/>
                <w:szCs w:val="20"/>
                <w:color w:val="auto"/>
              </w:rPr>
            </w:pPr>
          </w:p>
        </w:tc>
      </w:tr>
      <w:tr>
        <w:trPr>
          <w:trHeight w:val="226"/>
        </w:trPr>
        <w:tc>
          <w:tcPr>
            <w:tcW w:w="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jc w:val="center"/>
              <w:ind w:left="58"/>
              <w:spacing w:after="0"/>
              <w:rPr>
                <w:sz w:val="20"/>
                <w:szCs w:val="20"/>
                <w:color w:val="auto"/>
              </w:rPr>
            </w:pPr>
            <w:r>
              <w:rPr>
                <w:rFonts w:ascii="Arial" w:cs="Arial" w:eastAsia="Arial" w:hAnsi="Arial"/>
                <w:sz w:val="16"/>
                <w:szCs w:val="16"/>
                <w:b w:val="1"/>
                <w:bCs w:val="1"/>
                <w:color w:val="auto"/>
                <w:w w:val="91"/>
              </w:rPr>
              <w:t>Year Ended December 31,</w:t>
            </w: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0"/>
        </w:trPr>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89"/>
              </w:rPr>
              <w:t>2019</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2018</w:t>
            </w:r>
          </w:p>
        </w:tc>
      </w:tr>
      <w:tr>
        <w:trPr>
          <w:trHeight w:val="209"/>
        </w:trPr>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center"/>
              <w:ind w:left="58"/>
              <w:spacing w:after="0"/>
              <w:rPr>
                <w:sz w:val="20"/>
                <w:szCs w:val="20"/>
                <w:color w:val="auto"/>
              </w:rPr>
            </w:pPr>
            <w:r>
              <w:rPr>
                <w:rFonts w:ascii="Arial" w:cs="Arial" w:eastAsia="Arial" w:hAnsi="Arial"/>
                <w:sz w:val="16"/>
                <w:szCs w:val="16"/>
                <w:b w:val="1"/>
                <w:bCs w:val="1"/>
                <w:color w:val="auto"/>
                <w:w w:val="88"/>
              </w:rPr>
              <w:t>(as a percentage of revenue)</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680" w:type="dxa"/>
            <w:vAlign w:val="bottom"/>
            <w:shd w:val="clear" w:color="auto" w:fill="CCFFCC"/>
          </w:tcPr>
          <w:p>
            <w:pPr>
              <w:spacing w:after="0"/>
              <w:rPr>
                <w:sz w:val="19"/>
                <w:szCs w:val="19"/>
                <w:color w:val="auto"/>
              </w:rPr>
            </w:pPr>
          </w:p>
        </w:tc>
        <w:tc>
          <w:tcPr>
            <w:tcW w:w="3840" w:type="dxa"/>
            <w:vAlign w:val="bottom"/>
            <w:gridSpan w:val="4"/>
            <w:shd w:val="clear" w:color="auto" w:fill="CCFFCC"/>
          </w:tcPr>
          <w:p>
            <w:pPr>
              <w:spacing w:after="0" w:line="219" w:lineRule="exact"/>
              <w:rPr>
                <w:sz w:val="20"/>
                <w:szCs w:val="20"/>
                <w:color w:val="auto"/>
              </w:rPr>
            </w:pPr>
            <w:r>
              <w:rPr>
                <w:rFonts w:ascii="Arial" w:cs="Arial" w:eastAsia="Arial" w:hAnsi="Arial"/>
                <w:sz w:val="16"/>
                <w:szCs w:val="16"/>
                <w:b w:val="1"/>
                <w:bCs w:val="1"/>
                <w:color w:val="auto"/>
              </w:rPr>
              <w:t xml:space="preserve">Consolidated Statements of Operations Data: </w:t>
            </w:r>
            <w:r>
              <w:rPr>
                <w:rFonts w:ascii="Arial" w:cs="Arial" w:eastAsia="Arial" w:hAnsi="Arial"/>
                <w:sz w:val="21"/>
                <w:szCs w:val="21"/>
                <w:b w:val="1"/>
                <w:bCs w:val="1"/>
                <w:color w:val="auto"/>
                <w:vertAlign w:val="superscript"/>
              </w:rPr>
              <w:t>(1)</w:t>
            </w:r>
          </w:p>
        </w:tc>
        <w:tc>
          <w:tcPr>
            <w:tcW w:w="3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r>
      <w:tr>
        <w:trPr>
          <w:trHeight w:val="213"/>
        </w:trPr>
        <w:tc>
          <w:tcPr>
            <w:tcW w:w="680" w:type="dxa"/>
            <w:vAlign w:val="bottom"/>
            <w:tcBorders>
              <w:bottom w:val="single" w:sz="8" w:color="CCFFCC"/>
            </w:tcBorders>
          </w:tcPr>
          <w:p>
            <w:pPr>
              <w:spacing w:after="0"/>
              <w:rPr>
                <w:sz w:val="18"/>
                <w:szCs w:val="18"/>
                <w:color w:val="auto"/>
              </w:rPr>
            </w:pPr>
          </w:p>
        </w:tc>
        <w:tc>
          <w:tcPr>
            <w:tcW w:w="158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Revenue</w:t>
            </w:r>
          </w:p>
        </w:tc>
        <w:tc>
          <w:tcPr>
            <w:tcW w:w="460" w:type="dxa"/>
            <w:vAlign w:val="bottom"/>
            <w:tcBorders>
              <w:bottom w:val="single" w:sz="8" w:color="CCFFCC"/>
            </w:tcBorders>
          </w:tcPr>
          <w:p>
            <w:pPr>
              <w:spacing w:after="0"/>
              <w:rPr>
                <w:sz w:val="18"/>
                <w:szCs w:val="18"/>
                <w:color w:val="auto"/>
              </w:rPr>
            </w:pPr>
          </w:p>
        </w:tc>
        <w:tc>
          <w:tcPr>
            <w:tcW w:w="940" w:type="dxa"/>
            <w:vAlign w:val="bottom"/>
            <w:tcBorders>
              <w:bottom w:val="single" w:sz="8" w:color="CCFFCC"/>
            </w:tcBorders>
          </w:tcPr>
          <w:p>
            <w:pPr>
              <w:spacing w:after="0"/>
              <w:rPr>
                <w:sz w:val="18"/>
                <w:szCs w:val="18"/>
                <w:color w:val="auto"/>
              </w:rPr>
            </w:pPr>
          </w:p>
        </w:tc>
        <w:tc>
          <w:tcPr>
            <w:tcW w:w="860" w:type="dxa"/>
            <w:vAlign w:val="bottom"/>
            <w:tcBorders>
              <w:bottom w:val="single" w:sz="8" w:color="CCFFCC"/>
            </w:tcBorders>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680" w:type="dxa"/>
            <w:vAlign w:val="bottom"/>
            <w:shd w:val="clear" w:color="auto" w:fill="CCFFCC"/>
          </w:tcPr>
          <w:p>
            <w:pPr>
              <w:spacing w:after="0"/>
              <w:rPr>
                <w:sz w:val="17"/>
                <w:szCs w:val="17"/>
                <w:color w:val="auto"/>
              </w:rPr>
            </w:pPr>
          </w:p>
        </w:tc>
        <w:tc>
          <w:tcPr>
            <w:tcW w:w="1580" w:type="dxa"/>
            <w:vAlign w:val="bottom"/>
            <w:shd w:val="clear" w:color="auto" w:fill="CCFFCC"/>
          </w:tcPr>
          <w:p>
            <w:pPr>
              <w:spacing w:after="0"/>
              <w:rPr>
                <w:sz w:val="20"/>
                <w:szCs w:val="20"/>
                <w:color w:val="auto"/>
              </w:rPr>
            </w:pPr>
            <w:r>
              <w:rPr>
                <w:rFonts w:ascii="Arial" w:cs="Arial" w:eastAsia="Arial" w:hAnsi="Arial"/>
                <w:sz w:val="16"/>
                <w:szCs w:val="16"/>
                <w:color w:val="auto"/>
              </w:rPr>
              <w:t>Costs and expenses:</w:t>
            </w:r>
          </w:p>
        </w:tc>
        <w:tc>
          <w:tcPr>
            <w:tcW w:w="4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158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ind w:right="618"/>
              <w:spacing w:after="0"/>
              <w:rPr>
                <w:sz w:val="20"/>
                <w:szCs w:val="20"/>
                <w:color w:val="auto"/>
              </w:rPr>
            </w:pPr>
            <w:r>
              <w:rPr>
                <w:rFonts w:ascii="Arial" w:cs="Arial" w:eastAsia="Arial" w:hAnsi="Arial"/>
                <w:sz w:val="16"/>
                <w:szCs w:val="16"/>
                <w:color w:val="auto"/>
              </w:rPr>
              <w:t>29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0" w:type="dxa"/>
            <w:vAlign w:val="bottom"/>
            <w:shd w:val="clear" w:color="auto" w:fill="CCFFCC"/>
          </w:tcPr>
          <w:p>
            <w:pPr>
              <w:spacing w:after="0"/>
              <w:rPr>
                <w:sz w:val="18"/>
                <w:szCs w:val="18"/>
                <w:color w:val="auto"/>
              </w:rPr>
            </w:pPr>
          </w:p>
        </w:tc>
        <w:tc>
          <w:tcPr>
            <w:tcW w:w="1580" w:type="dxa"/>
            <w:vAlign w:val="bottom"/>
            <w:shd w:val="clear" w:color="auto" w:fill="CCFFCC"/>
          </w:tcPr>
          <w:p>
            <w:pPr>
              <w:ind w:left="160"/>
              <w:spacing w:after="0"/>
              <w:rPr>
                <w:sz w:val="20"/>
                <w:szCs w:val="20"/>
                <w:color w:val="auto"/>
              </w:rPr>
            </w:pPr>
            <w:r>
              <w:rPr>
                <w:rFonts w:ascii="Arial" w:cs="Arial" w:eastAsia="Arial" w:hAnsi="Arial"/>
                <w:sz w:val="16"/>
                <w:szCs w:val="16"/>
                <w:color w:val="auto"/>
                <w:w w:val="95"/>
              </w:rPr>
              <w:t>Sales and marketing</w:t>
            </w:r>
          </w:p>
        </w:tc>
        <w:tc>
          <w:tcPr>
            <w:tcW w:w="4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80" w:type="dxa"/>
            <w:vAlign w:val="bottom"/>
            <w:shd w:val="clear" w:color="auto" w:fill="CCFFCC"/>
          </w:tcPr>
          <w:p>
            <w:pPr>
              <w:jc w:val="right"/>
              <w:ind w:right="618"/>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54</w:t>
            </w:r>
          </w:p>
        </w:tc>
        <w:tc>
          <w:tcPr>
            <w:tcW w:w="500" w:type="dxa"/>
            <w:vAlign w:val="bottom"/>
            <w:shd w:val="clear" w:color="auto" w:fill="CCFFCC"/>
          </w:tcPr>
          <w:p>
            <w:pPr>
              <w:spacing w:after="0"/>
              <w:rPr>
                <w:sz w:val="18"/>
                <w:szCs w:val="18"/>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color w:val="auto"/>
                <w:w w:val="97"/>
              </w:rPr>
              <w:t>General and administrative</w:t>
            </w: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ind w:right="618"/>
              <w:spacing w:after="0"/>
              <w:rPr>
                <w:sz w:val="20"/>
                <w:szCs w:val="20"/>
                <w:color w:val="auto"/>
              </w:rPr>
            </w:pPr>
            <w:r>
              <w:rPr>
                <w:rFonts w:ascii="Arial" w:cs="Arial" w:eastAsia="Arial" w:hAnsi="Arial"/>
                <w:sz w:val="16"/>
                <w:szCs w:val="16"/>
                <w:color w:val="auto"/>
              </w:rPr>
              <w:t>17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0" w:type="dxa"/>
            <w:vAlign w:val="bottom"/>
            <w:shd w:val="clear" w:color="auto" w:fill="CCFFCC"/>
          </w:tcPr>
          <w:p>
            <w:pPr>
              <w:spacing w:after="0"/>
              <w:rPr>
                <w:sz w:val="19"/>
                <w:szCs w:val="19"/>
                <w:color w:val="auto"/>
              </w:rPr>
            </w:pPr>
          </w:p>
        </w:tc>
        <w:tc>
          <w:tcPr>
            <w:tcW w:w="1580" w:type="dxa"/>
            <w:vAlign w:val="bottom"/>
            <w:shd w:val="clear" w:color="auto" w:fill="CCFFCC"/>
          </w:tcPr>
          <w:p>
            <w:pPr>
              <w:ind w:left="160"/>
              <w:spacing w:after="0"/>
              <w:rPr>
                <w:sz w:val="20"/>
                <w:szCs w:val="20"/>
                <w:color w:val="auto"/>
              </w:rPr>
            </w:pPr>
            <w:r>
              <w:rPr>
                <w:rFonts w:ascii="Arial" w:cs="Arial" w:eastAsia="Arial" w:hAnsi="Arial"/>
                <w:sz w:val="16"/>
                <w:szCs w:val="16"/>
                <w:color w:val="auto"/>
                <w:w w:val="92"/>
              </w:rPr>
              <w:t>Product development</w:t>
            </w:r>
          </w:p>
        </w:tc>
        <w:tc>
          <w:tcPr>
            <w:tcW w:w="46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80" w:type="dxa"/>
            <w:vAlign w:val="bottom"/>
            <w:shd w:val="clear" w:color="auto" w:fill="CCFFCC"/>
          </w:tcPr>
          <w:p>
            <w:pPr>
              <w:jc w:val="right"/>
              <w:ind w:right="618"/>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w:t>
            </w:r>
          </w:p>
        </w:tc>
        <w:tc>
          <w:tcPr>
            <w:tcW w:w="500" w:type="dxa"/>
            <w:vAlign w:val="bottom"/>
            <w:shd w:val="clear" w:color="auto" w:fill="CCFFCC"/>
          </w:tcPr>
          <w:p>
            <w:pPr>
              <w:spacing w:after="0"/>
              <w:rPr>
                <w:sz w:val="19"/>
                <w:szCs w:val="19"/>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Restructuring costs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ind w:right="618"/>
              <w:spacing w:after="0"/>
              <w:rPr>
                <w:sz w:val="20"/>
                <w:szCs w:val="20"/>
                <w:color w:val="auto"/>
              </w:rPr>
            </w:pPr>
            <w:r>
              <w:rPr>
                <w:rFonts w:ascii="Arial" w:cs="Arial" w:eastAsia="Arial" w:hAnsi="Arial"/>
                <w:sz w:val="16"/>
                <w:szCs w:val="16"/>
                <w:color w:val="auto"/>
              </w:rPr>
              <w:t>8</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0" w:type="dxa"/>
            <w:vAlign w:val="bottom"/>
            <w:shd w:val="clear" w:color="auto" w:fill="CCFFCC"/>
          </w:tcPr>
          <w:p>
            <w:pPr>
              <w:spacing w:after="0"/>
              <w:rPr>
                <w:sz w:val="18"/>
                <w:szCs w:val="18"/>
                <w:color w:val="auto"/>
              </w:rPr>
            </w:pPr>
          </w:p>
        </w:tc>
        <w:tc>
          <w:tcPr>
            <w:tcW w:w="2980" w:type="dxa"/>
            <w:vAlign w:val="bottom"/>
            <w:gridSpan w:val="3"/>
            <w:shd w:val="clear" w:color="auto" w:fill="CCFFCC"/>
          </w:tcPr>
          <w:p>
            <w:pPr>
              <w:ind w:left="160"/>
              <w:spacing w:after="0"/>
              <w:rPr>
                <w:sz w:val="20"/>
                <w:szCs w:val="20"/>
                <w:color w:val="auto"/>
              </w:rPr>
            </w:pPr>
            <w:r>
              <w:rPr>
                <w:rFonts w:ascii="Arial" w:cs="Arial" w:eastAsia="Arial" w:hAnsi="Arial"/>
                <w:sz w:val="16"/>
                <w:szCs w:val="16"/>
                <w:color w:val="auto"/>
              </w:rPr>
              <w:t>Amortization of purchased intangibles</w:t>
            </w:r>
          </w:p>
        </w:tc>
        <w:tc>
          <w:tcPr>
            <w:tcW w:w="8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ind w:right="618"/>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80" w:type="dxa"/>
            <w:vAlign w:val="bottom"/>
            <w:tcBorders>
              <w:bottom w:val="single" w:sz="8" w:color="CCFFCC"/>
            </w:tcBorders>
          </w:tcPr>
          <w:p>
            <w:pPr>
              <w:spacing w:after="0"/>
              <w:rPr>
                <w:sz w:val="17"/>
                <w:szCs w:val="17"/>
                <w:color w:val="auto"/>
              </w:rPr>
            </w:pPr>
          </w:p>
        </w:tc>
        <w:tc>
          <w:tcPr>
            <w:tcW w:w="2040" w:type="dxa"/>
            <w:vAlign w:val="bottom"/>
            <w:tcBorders>
              <w:bottom w:val="single" w:sz="8" w:color="CCFFCC"/>
            </w:tcBorders>
            <w:gridSpan w:val="2"/>
          </w:tcPr>
          <w:p>
            <w:pPr>
              <w:ind w:left="320"/>
              <w:spacing w:after="0"/>
              <w:rPr>
                <w:sz w:val="20"/>
                <w:szCs w:val="20"/>
                <w:color w:val="auto"/>
              </w:rPr>
            </w:pPr>
            <w:r>
              <w:rPr>
                <w:rFonts w:ascii="Arial" w:cs="Arial" w:eastAsia="Arial" w:hAnsi="Arial"/>
                <w:sz w:val="16"/>
                <w:szCs w:val="16"/>
                <w:color w:val="auto"/>
                <w:w w:val="93"/>
              </w:rPr>
              <w:t>Total costs and expenses</w:t>
            </w:r>
          </w:p>
        </w:tc>
        <w:tc>
          <w:tcPr>
            <w:tcW w:w="940" w:type="dxa"/>
            <w:vAlign w:val="bottom"/>
            <w:tcBorders>
              <w:bottom w:val="single" w:sz="8" w:color="CCFFCC"/>
            </w:tcBorders>
          </w:tcPr>
          <w:p>
            <w:pPr>
              <w:spacing w:after="0"/>
              <w:rPr>
                <w:sz w:val="17"/>
                <w:szCs w:val="17"/>
                <w:color w:val="auto"/>
              </w:rPr>
            </w:pPr>
          </w:p>
        </w:tc>
        <w:tc>
          <w:tcPr>
            <w:tcW w:w="860" w:type="dxa"/>
            <w:vAlign w:val="bottom"/>
            <w:tcBorders>
              <w:bottom w:val="single" w:sz="8" w:color="CCFFCC"/>
            </w:tcBorders>
          </w:tcPr>
          <w:p>
            <w:pPr>
              <w:spacing w:after="0"/>
              <w:rPr>
                <w:sz w:val="17"/>
                <w:szCs w:val="17"/>
                <w:color w:val="auto"/>
              </w:rPr>
            </w:pPr>
          </w:p>
        </w:tc>
        <w:tc>
          <w:tcPr>
            <w:tcW w:w="360" w:type="dxa"/>
            <w:vAlign w:val="bottom"/>
            <w:tcBorders>
              <w:bottom w:val="single" w:sz="8" w:color="CCFFC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color w:val="auto"/>
              </w:rPr>
              <w:t>124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FFCC"/>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80" w:type="dxa"/>
            <w:vAlign w:val="bottom"/>
            <w:shd w:val="clear" w:color="auto" w:fill="CCFFCC"/>
          </w:tcPr>
          <w:p>
            <w:pPr>
              <w:spacing w:after="0"/>
              <w:rPr>
                <w:sz w:val="18"/>
                <w:szCs w:val="18"/>
                <w:color w:val="auto"/>
              </w:rPr>
            </w:pPr>
          </w:p>
        </w:tc>
        <w:tc>
          <w:tcPr>
            <w:tcW w:w="1580" w:type="dxa"/>
            <w:vAlign w:val="bottom"/>
            <w:shd w:val="clear" w:color="auto" w:fill="CCFFCC"/>
          </w:tcPr>
          <w:p>
            <w:pPr>
              <w:spacing w:after="0"/>
              <w:rPr>
                <w:sz w:val="20"/>
                <w:szCs w:val="20"/>
                <w:color w:val="auto"/>
              </w:rPr>
            </w:pPr>
            <w:r>
              <w:rPr>
                <w:rFonts w:ascii="Arial" w:cs="Arial" w:eastAsia="Arial" w:hAnsi="Arial"/>
                <w:sz w:val="16"/>
                <w:szCs w:val="16"/>
                <w:color w:val="auto"/>
              </w:rPr>
              <w:t>Loss from operations</w:t>
            </w:r>
          </w:p>
        </w:tc>
        <w:tc>
          <w:tcPr>
            <w:tcW w:w="4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80" w:type="dxa"/>
            <w:vAlign w:val="bottom"/>
            <w:shd w:val="clear" w:color="auto" w:fill="CCFFCC"/>
          </w:tcPr>
          <w:p>
            <w:pPr>
              <w:jc w:val="right"/>
              <w:ind w:right="578"/>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w:t>
            </w:r>
          </w:p>
        </w:tc>
        <w:tc>
          <w:tcPr>
            <w:tcW w:w="500" w:type="dxa"/>
            <w:vAlign w:val="bottom"/>
            <w:shd w:val="clear" w:color="auto" w:fill="CCFFCC"/>
          </w:tcPr>
          <w:p>
            <w:pPr>
              <w:spacing w:after="0"/>
              <w:rPr>
                <w:sz w:val="18"/>
                <w:szCs w:val="18"/>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0" w:type="dxa"/>
            <w:vAlign w:val="bottom"/>
            <w:tcBorders>
              <w:bottom w:val="single" w:sz="8" w:color="CCFFCC"/>
            </w:tcBorders>
          </w:tcPr>
          <w:p>
            <w:pPr>
              <w:spacing w:after="0"/>
              <w:rPr>
                <w:sz w:val="18"/>
                <w:szCs w:val="18"/>
                <w:color w:val="auto"/>
              </w:rPr>
            </w:pPr>
          </w:p>
        </w:tc>
        <w:tc>
          <w:tcPr>
            <w:tcW w:w="2980" w:type="dxa"/>
            <w:vAlign w:val="bottom"/>
            <w:tcBorders>
              <w:bottom w:val="single" w:sz="8" w:color="CCFFCC"/>
            </w:tcBorders>
            <w:gridSpan w:val="3"/>
          </w:tcPr>
          <w:p>
            <w:pPr>
              <w:spacing w:after="0"/>
              <w:rPr>
                <w:sz w:val="20"/>
                <w:szCs w:val="20"/>
                <w:color w:val="auto"/>
              </w:rPr>
            </w:pPr>
            <w:r>
              <w:rPr>
                <w:rFonts w:ascii="Arial" w:cs="Arial" w:eastAsia="Arial" w:hAnsi="Arial"/>
                <w:sz w:val="16"/>
                <w:szCs w:val="16"/>
                <w:color w:val="auto"/>
              </w:rPr>
              <w:t>Total Other (expense) income, net</w:t>
            </w:r>
          </w:p>
        </w:tc>
        <w:tc>
          <w:tcPr>
            <w:tcW w:w="860" w:type="dxa"/>
            <w:vAlign w:val="bottom"/>
            <w:tcBorders>
              <w:bottom w:val="single" w:sz="8" w:color="CCFFCC"/>
            </w:tcBorders>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0" w:type="dxa"/>
            <w:vAlign w:val="bottom"/>
            <w:shd w:val="clear" w:color="auto" w:fill="CCFFCC"/>
          </w:tcPr>
          <w:p>
            <w:pPr>
              <w:spacing w:after="0"/>
              <w:rPr>
                <w:sz w:val="18"/>
                <w:szCs w:val="18"/>
                <w:color w:val="auto"/>
              </w:rPr>
            </w:pPr>
          </w:p>
        </w:tc>
        <w:tc>
          <w:tcPr>
            <w:tcW w:w="29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Loss before provision for income taxes</w:t>
            </w:r>
          </w:p>
        </w:tc>
        <w:tc>
          <w:tcPr>
            <w:tcW w:w="8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80" w:type="dxa"/>
            <w:vAlign w:val="bottom"/>
            <w:shd w:val="clear" w:color="auto" w:fill="CCFFCC"/>
          </w:tcPr>
          <w:p>
            <w:pPr>
              <w:jc w:val="right"/>
              <w:ind w:right="578"/>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(32)</w:t>
            </w:r>
          </w:p>
        </w:tc>
        <w:tc>
          <w:tcPr>
            <w:tcW w:w="500" w:type="dxa"/>
            <w:vAlign w:val="bottom"/>
            <w:shd w:val="clear" w:color="auto" w:fill="CCFFCC"/>
          </w:tcPr>
          <w:p>
            <w:pPr>
              <w:spacing w:after="0"/>
              <w:rPr>
                <w:sz w:val="18"/>
                <w:szCs w:val="18"/>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0" w:type="dxa"/>
            <w:vAlign w:val="bottom"/>
            <w:tcBorders>
              <w:bottom w:val="single" w:sz="8" w:color="CCFFCC"/>
            </w:tcBorders>
          </w:tcPr>
          <w:p>
            <w:pPr>
              <w:spacing w:after="0"/>
              <w:rPr>
                <w:sz w:val="18"/>
                <w:szCs w:val="18"/>
                <w:color w:val="auto"/>
              </w:rPr>
            </w:pPr>
          </w:p>
        </w:tc>
        <w:tc>
          <w:tcPr>
            <w:tcW w:w="2040" w:type="dxa"/>
            <w:vAlign w:val="bottom"/>
            <w:tcBorders>
              <w:bottom w:val="single" w:sz="8" w:color="CCFFCC"/>
            </w:tcBorders>
            <w:gridSpan w:val="2"/>
          </w:tcPr>
          <w:p>
            <w:pPr>
              <w:spacing w:after="0"/>
              <w:rPr>
                <w:sz w:val="20"/>
                <w:szCs w:val="20"/>
                <w:color w:val="auto"/>
              </w:rPr>
            </w:pPr>
            <w:r>
              <w:rPr>
                <w:rFonts w:ascii="Arial" w:cs="Arial" w:eastAsia="Arial" w:hAnsi="Arial"/>
                <w:sz w:val="16"/>
                <w:szCs w:val="16"/>
                <w:color w:val="auto"/>
              </w:rPr>
              <w:t>Provision for income taxes</w:t>
            </w:r>
          </w:p>
        </w:tc>
        <w:tc>
          <w:tcPr>
            <w:tcW w:w="940" w:type="dxa"/>
            <w:vAlign w:val="bottom"/>
            <w:tcBorders>
              <w:bottom w:val="single" w:sz="8" w:color="CCFFCC"/>
            </w:tcBorders>
          </w:tcPr>
          <w:p>
            <w:pPr>
              <w:spacing w:after="0"/>
              <w:rPr>
                <w:sz w:val="18"/>
                <w:szCs w:val="18"/>
                <w:color w:val="auto"/>
              </w:rPr>
            </w:pPr>
          </w:p>
        </w:tc>
        <w:tc>
          <w:tcPr>
            <w:tcW w:w="860" w:type="dxa"/>
            <w:vAlign w:val="bottom"/>
            <w:tcBorders>
              <w:bottom w:val="single" w:sz="8" w:color="CCFFCC"/>
            </w:tcBorders>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80" w:type="dxa"/>
            <w:vAlign w:val="bottom"/>
            <w:tcBorders>
              <w:bottom w:val="single" w:sz="8" w:color="CCFFCC"/>
            </w:tcBorders>
            <w:shd w:val="clear" w:color="auto" w:fill="CCFFCC"/>
          </w:tcPr>
          <w:p>
            <w:pPr>
              <w:spacing w:after="0"/>
              <w:rPr>
                <w:sz w:val="20"/>
                <w:szCs w:val="20"/>
                <w:color w:val="auto"/>
              </w:rPr>
            </w:pPr>
          </w:p>
        </w:tc>
        <w:tc>
          <w:tcPr>
            <w:tcW w:w="1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Net loss</w:t>
            </w:r>
          </w:p>
        </w:tc>
        <w:tc>
          <w:tcPr>
            <w:tcW w:w="46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jc w:val="right"/>
              <w:ind w:right="578"/>
              <w:spacing w:after="0"/>
              <w:rPr>
                <w:sz w:val="20"/>
                <w:szCs w:val="20"/>
                <w:color w:val="auto"/>
              </w:rPr>
            </w:pPr>
            <w:r>
              <w:rPr>
                <w:rFonts w:ascii="Arial" w:cs="Arial" w:eastAsia="Arial" w:hAnsi="Arial"/>
                <w:sz w:val="16"/>
                <w:szCs w:val="16"/>
                <w:color w:val="auto"/>
              </w:rPr>
              <w:t>(29)</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FFCC"/>
            </w:tcBorders>
            <w:shd w:val="clear" w:color="auto" w:fill="CCFFCC"/>
          </w:tcPr>
          <w:p>
            <w:pPr>
              <w:spacing w:after="0"/>
              <w:rPr>
                <w:sz w:val="20"/>
                <w:szCs w:val="20"/>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(33)</w:t>
            </w:r>
          </w:p>
        </w:tc>
        <w:tc>
          <w:tcPr>
            <w:tcW w:w="500" w:type="dxa"/>
            <w:vAlign w:val="bottom"/>
            <w:tcBorders>
              <w:bottom w:val="single" w:sz="8" w:color="auto"/>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auto"/>
            </w:tcBorders>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80" w:type="dxa"/>
            <w:vAlign w:val="bottom"/>
            <w:tcBorders>
              <w:top w:val="single" w:sz="8" w:color="CCFFCC"/>
            </w:tcBorders>
          </w:tcPr>
          <w:p>
            <w:pPr>
              <w:spacing w:after="0" w:line="20" w:lineRule="exact"/>
              <w:rPr>
                <w:sz w:val="1"/>
                <w:szCs w:val="1"/>
                <w:color w:val="auto"/>
              </w:rPr>
            </w:pPr>
          </w:p>
        </w:tc>
        <w:tc>
          <w:tcPr>
            <w:tcW w:w="158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CCFFCC"/>
            </w:tcBorders>
          </w:tcPr>
          <w:p>
            <w:pPr>
              <w:spacing w:after="0" w:line="20" w:lineRule="exact"/>
              <w:rPr>
                <w:sz w:val="1"/>
                <w:szCs w:val="1"/>
                <w:color w:val="auto"/>
              </w:rPr>
            </w:pPr>
          </w:p>
        </w:tc>
        <w:tc>
          <w:tcPr>
            <w:tcW w:w="86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500" w:type="dxa"/>
            <w:vAlign w:val="bottom"/>
            <w:tcBorders>
              <w:top w:val="single" w:sz="8" w:color="CCFFCC"/>
              <w:bottom w:val="single" w:sz="8" w:color="auto"/>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CCFFCC"/>
              <w:bottom w:val="single" w:sz="8" w:color="auto"/>
            </w:tcBorders>
          </w:tcPr>
          <w:p>
            <w:pPr>
              <w:spacing w:after="0" w:line="20" w:lineRule="exact"/>
              <w:rPr>
                <w:sz w:val="1"/>
                <w:szCs w:val="1"/>
                <w:color w:val="auto"/>
              </w:rPr>
            </w:pPr>
          </w:p>
        </w:tc>
        <w:tc>
          <w:tcPr>
            <w:tcW w:w="720" w:type="dxa"/>
            <w:vAlign w:val="bottom"/>
            <w:tcBorders>
              <w:top w:val="single" w:sz="8" w:color="CCFFCC"/>
              <w:bottom w:val="single" w:sz="8" w:color="auto"/>
            </w:tcBorders>
          </w:tcPr>
          <w:p>
            <w:pPr>
              <w:spacing w:after="0" w:line="20" w:lineRule="exact"/>
              <w:rPr>
                <w:sz w:val="1"/>
                <w:szCs w:val="1"/>
                <w:color w:val="auto"/>
              </w:rPr>
            </w:pPr>
          </w:p>
        </w:tc>
        <w:tc>
          <w:tcPr>
            <w:tcW w:w="820" w:type="dxa"/>
            <w:vAlign w:val="bottom"/>
            <w:tcBorders>
              <w:top w:val="single" w:sz="8" w:color="CCFFC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90054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00545" cy="137160"/>
                    </a:xfrm>
                    <a:prstGeom prst="rect">
                      <a:avLst/>
                    </a:prstGeom>
                    <a:noFill/>
                  </pic:spPr>
                </pic:pic>
              </a:graphicData>
            </a:graphic>
          </wp:anchor>
        </w:drawing>
      </w:r>
    </w:p>
    <w:p>
      <w:pPr>
        <w:spacing w:after="0" w:line="149" w:lineRule="exact"/>
        <w:rPr>
          <w:sz w:val="20"/>
          <w:szCs w:val="20"/>
          <w:color w:val="auto"/>
        </w:rPr>
      </w:pPr>
    </w:p>
    <w:p>
      <w:pPr>
        <w:ind w:left="840" w:hanging="166"/>
        <w:spacing w:after="0"/>
        <w:tabs>
          <w:tab w:leader="none" w:pos="840" w:val="left"/>
        </w:tabs>
        <w:numPr>
          <w:ilvl w:val="0"/>
          <w:numId w:val="46"/>
        </w:numPr>
        <w:rPr>
          <w:rFonts w:ascii="Arial" w:cs="Arial" w:eastAsia="Arial" w:hAnsi="Arial"/>
          <w:sz w:val="20"/>
          <w:szCs w:val="20"/>
          <w:color w:val="auto"/>
          <w:vertAlign w:val="superscript"/>
        </w:rPr>
      </w:pPr>
      <w:r>
        <w:rPr>
          <w:rFonts w:ascii="Arial" w:cs="Arial" w:eastAsia="Arial" w:hAnsi="Arial"/>
          <w:sz w:val="15"/>
          <w:szCs w:val="15"/>
          <w:color w:val="auto"/>
        </w:rPr>
        <w:t>Certain items may not total due to rounding.</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340" w:type="dxa"/>
            <w:vAlign w:val="bottom"/>
          </w:tcPr>
          <w:p>
            <w:pPr>
              <w:spacing w:after="0"/>
              <w:rPr>
                <w:sz w:val="18"/>
                <w:szCs w:val="18"/>
                <w:color w:val="auto"/>
              </w:rPr>
            </w:pPr>
          </w:p>
        </w:tc>
      </w:tr>
      <w:tr>
        <w:trPr>
          <w:trHeight w:val="210"/>
        </w:trPr>
        <w:tc>
          <w:tcPr>
            <w:tcW w:w="3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4"/>
              </w:rPr>
              <w:t>2018</w:t>
            </w: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18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3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340" w:type="dxa"/>
            <w:vAlign w:val="bottom"/>
            <w:tcBorders>
              <w:bottom w:val="single" w:sz="8" w:color="CCFFCC"/>
            </w:tcBorders>
          </w:tcPr>
          <w:p>
            <w:pPr>
              <w:spacing w:after="0"/>
              <w:rPr>
                <w:sz w:val="18"/>
                <w:szCs w:val="18"/>
                <w:color w:val="auto"/>
              </w:rPr>
            </w:pPr>
          </w:p>
        </w:tc>
      </w:tr>
      <w:tr>
        <w:trPr>
          <w:trHeight w:val="212"/>
        </w:trPr>
        <w:tc>
          <w:tcPr>
            <w:tcW w:w="3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 by Segment:</w:t>
            </w:r>
          </w:p>
        </w:tc>
        <w:tc>
          <w:tcPr>
            <w:tcW w:w="2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Business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336,856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267,129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267,129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230,285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31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29,764</w:t>
            </w:r>
          </w:p>
        </w:tc>
        <w:tc>
          <w:tcPr>
            <w:tcW w:w="10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24,480</w:t>
            </w:r>
          </w:p>
        </w:tc>
        <w:tc>
          <w:tcPr>
            <w:tcW w:w="120" w:type="dxa"/>
            <w:vAlign w:val="bottom"/>
            <w:shd w:val="clear" w:color="auto" w:fill="CCFFCC"/>
          </w:tcPr>
          <w:p>
            <w:pPr>
              <w:spacing w:after="0"/>
              <w:rPr>
                <w:sz w:val="19"/>
                <w:szCs w:val="19"/>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24,480</w:t>
            </w:r>
          </w:p>
        </w:tc>
        <w:tc>
          <w:tcPr>
            <w:tcW w:w="10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19,553</w:t>
            </w:r>
          </w:p>
        </w:tc>
        <w:tc>
          <w:tcPr>
            <w:tcW w:w="120" w:type="dxa"/>
            <w:vAlign w:val="bottom"/>
            <w:shd w:val="clear" w:color="auto" w:fill="CCFFCC"/>
          </w:tcPr>
          <w:p>
            <w:pPr>
              <w:spacing w:after="0"/>
              <w:rPr>
                <w:sz w:val="19"/>
                <w:szCs w:val="19"/>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25 %</w:t>
            </w:r>
          </w:p>
        </w:tc>
      </w:tr>
      <w:tr>
        <w:trPr>
          <w:trHeight w:val="223"/>
        </w:trPr>
        <w:tc>
          <w:tcPr>
            <w:tcW w:w="318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366,620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291,609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291,609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249,838</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increased by 26% to $336.9 million for the year ended December 31, 2020, from $267.1 million for the year ended December 31, 2019. This increase in Business revenue is driven mainly by increases in hosted services of approximately $60.9 million and an increase in professional services of approximately $8.8 million. Included in hosted services, is an increase in revenue that is variable based on interactions and usage of approximately $30.1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63" w:name="page64"/>
    <w:bookmarkEnd w:id="63"/>
    <w:p>
      <w:pPr>
        <w:jc w:val="both"/>
        <w:ind w:firstLine="292"/>
        <w:spacing w:after="0" w:line="263" w:lineRule="auto"/>
        <w:rPr>
          <w:sz w:val="20"/>
          <w:szCs w:val="20"/>
          <w:color w:val="auto"/>
        </w:rPr>
      </w:pPr>
      <w:r>
        <w:rPr>
          <w:rFonts w:ascii="Arial" w:cs="Arial" w:eastAsia="Arial" w:hAnsi="Arial"/>
          <w:sz w:val="18"/>
          <w:szCs w:val="18"/>
          <w:color w:val="auto"/>
        </w:rPr>
        <w:t>Business revenue increased by 16% to $267.1 million for the year ended December 31, 2019, from $230.3 million for the year ended December 31, 2018. This increase in Business revenue is primarily attributable to an increase in hosted services of approximately $28.2 million and an increase in professional services of approximately $8.6 million.</w:t>
      </w:r>
    </w:p>
    <w:p>
      <w:pPr>
        <w:spacing w:after="0" w:line="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22222"/>
        </w:rPr>
        <w:t xml:space="preserve">The increase in Business revenue was driven in nearly equal parts by existing and new customers as LivePerson generated greater demand for its Conversational Commerce software and Gainshare (formerly </w:t>
      </w:r>
      <w:r>
        <w:rPr>
          <w:rFonts w:ascii="Arial" w:cs="Arial" w:eastAsia="Arial" w:hAnsi="Arial"/>
          <w:sz w:val="18"/>
          <w:szCs w:val="18"/>
          <w:color w:val="000000"/>
        </w:rPr>
        <w:t>“</w:t>
      </w:r>
      <w:r>
        <w:rPr>
          <w:rFonts w:ascii="Arial" w:cs="Arial" w:eastAsia="Arial" w:hAnsi="Arial"/>
          <w:sz w:val="18"/>
          <w:szCs w:val="18"/>
          <w:color w:val="222222"/>
        </w:rPr>
        <w:t>Pay for Performance</w:t>
      </w:r>
      <w:r>
        <w:rPr>
          <w:rFonts w:ascii="Arial" w:cs="Arial" w:eastAsia="Arial" w:hAnsi="Arial"/>
          <w:sz w:val="18"/>
          <w:szCs w:val="18"/>
          <w:color w:val="000000"/>
        </w:rPr>
        <w:t>”</w:t>
      </w:r>
      <w:r>
        <w:rPr>
          <w:rFonts w:ascii="Arial" w:cs="Arial" w:eastAsia="Arial" w:hAnsi="Arial"/>
          <w:sz w:val="18"/>
          <w:szCs w:val="18"/>
          <w:color w:val="222222"/>
        </w:rPr>
        <w:t>) solutions.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As adoption increases, we are seeing higher revenue per customer. Our average annual revenue per enterprise and midmarket customer was approximately $465,000 in 2020, as compared to approximately $345,000 in 2019. Similarly, we are seeing strong revenue retention rates. Revenue retention rate for enterprise and mid-market customers on Conversational Cloud exceeded the high end of our target range of 105% to 115% in 2020, and was within our target range of 105% to 115% for 2019.</w:t>
      </w:r>
    </w:p>
    <w:p>
      <w:pPr>
        <w:spacing w:after="0" w:line="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Consumer revenue increased by 22% to $29.8 million for the year ended December 31, 2020, from $24.5 million for the year ended December 31, 2019. This increase is primarily attributable to an increase in chat minutes and price per minute. Consumer revenue increased by 25% to $24.5 million for the year ended December 31, 2019, from $19.6 million for the year ended December 31, 2018. This increase is primarily attributable to an increase in chat minutes and price per minute.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Cost of revenue consists of compensation costs relating to employees who provide customer service to our customers, compensation costs relating to our network support staff, the cost of supporting our server and network infrastructure, and allocated occupancy costs and related overhead.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192"/>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4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left="415"/>
              <w:spacing w:after="0"/>
              <w:rPr>
                <w:sz w:val="20"/>
                <w:szCs w:val="20"/>
                <w:color w:val="auto"/>
              </w:rPr>
            </w:pPr>
            <w:r>
              <w:rPr>
                <w:rFonts w:ascii="Arial" w:cs="Arial" w:eastAsia="Arial" w:hAnsi="Arial"/>
                <w:sz w:val="16"/>
                <w:szCs w:val="16"/>
                <w:b w:val="1"/>
                <w:bCs w:val="1"/>
                <w:color w:val="auto"/>
                <w:w w:val="88"/>
              </w:rPr>
              <w:t>($ in thousands)</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FFCC"/>
            </w:tcBorders>
          </w:tcPr>
          <w:p>
            <w:pPr>
              <w:spacing w:after="0"/>
              <w:rPr>
                <w:sz w:val="18"/>
                <w:szCs w:val="18"/>
                <w:color w:val="auto"/>
              </w:rPr>
            </w:pPr>
          </w:p>
        </w:tc>
        <w:tc>
          <w:tcPr>
            <w:tcW w:w="1100" w:type="dxa"/>
            <w:vAlign w:val="bottom"/>
            <w:tcBorders>
              <w:bottom w:val="single" w:sz="8" w:color="CCFFCC"/>
            </w:tcBorders>
          </w:tcPr>
          <w:p>
            <w:pPr>
              <w:spacing w:after="0"/>
              <w:rPr>
                <w:sz w:val="18"/>
                <w:szCs w:val="18"/>
                <w:color w:val="auto"/>
              </w:rPr>
            </w:pPr>
          </w:p>
        </w:tc>
      </w:tr>
      <w:tr>
        <w:trPr>
          <w:trHeight w:val="226"/>
        </w:trPr>
        <w:tc>
          <w:tcPr>
            <w:tcW w:w="2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 of revenue - Business</w:t>
            </w:r>
          </w:p>
        </w:tc>
        <w:tc>
          <w:tcPr>
            <w:tcW w:w="3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99,394</w:t>
            </w:r>
          </w:p>
        </w:tc>
        <w:tc>
          <w:tcPr>
            <w:tcW w:w="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74,460</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ind w:right="175"/>
              <w:spacing w:after="0"/>
              <w:rPr>
                <w:sz w:val="20"/>
                <w:szCs w:val="20"/>
                <w:color w:val="auto"/>
              </w:rPr>
            </w:pPr>
            <w:r>
              <w:rPr>
                <w:rFonts w:ascii="Arial" w:cs="Arial" w:eastAsia="Arial" w:hAnsi="Arial"/>
                <w:sz w:val="18"/>
                <w:szCs w:val="18"/>
                <w:color w:val="auto"/>
              </w:rPr>
              <w:t>74,460</w:t>
            </w:r>
          </w:p>
        </w:tc>
        <w:tc>
          <w:tcPr>
            <w:tcW w:w="3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58,420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27 %</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26 %</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19"/>
                <w:szCs w:val="19"/>
                <w:color w:val="auto"/>
              </w:rPr>
            </w:pPr>
          </w:p>
        </w:tc>
        <w:tc>
          <w:tcPr>
            <w:tcW w:w="112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245</w:t>
            </w:r>
          </w:p>
        </w:tc>
        <w:tc>
          <w:tcPr>
            <w:tcW w:w="520" w:type="dxa"/>
            <w:vAlign w:val="bottom"/>
            <w:shd w:val="clear" w:color="auto" w:fill="CCFFCC"/>
          </w:tcPr>
          <w:p>
            <w:pPr>
              <w:spacing w:after="0"/>
              <w:rPr>
                <w:sz w:val="19"/>
                <w:szCs w:val="19"/>
                <w:color w:val="auto"/>
              </w:rPr>
            </w:pPr>
          </w:p>
        </w:tc>
        <w:tc>
          <w:tcPr>
            <w:tcW w:w="80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257</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80" w:type="dxa"/>
            <w:vAlign w:val="bottom"/>
            <w:shd w:val="clear" w:color="auto" w:fill="CCFFCC"/>
          </w:tcPr>
          <w:p>
            <w:pPr>
              <w:jc w:val="right"/>
              <w:ind w:right="175"/>
              <w:spacing w:after="0"/>
              <w:rPr>
                <w:sz w:val="20"/>
                <w:szCs w:val="20"/>
                <w:color w:val="auto"/>
              </w:rPr>
            </w:pPr>
            <w:r>
              <w:rPr>
                <w:rFonts w:ascii="Arial" w:cs="Arial" w:eastAsia="Arial" w:hAnsi="Arial"/>
                <w:sz w:val="18"/>
                <w:szCs w:val="18"/>
                <w:color w:val="auto"/>
              </w:rPr>
              <w:t>257</w:t>
            </w:r>
          </w:p>
        </w:tc>
        <w:tc>
          <w:tcPr>
            <w:tcW w:w="380" w:type="dxa"/>
            <w:vAlign w:val="bottom"/>
            <w:shd w:val="clear" w:color="auto" w:fill="CCFFCC"/>
          </w:tcPr>
          <w:p>
            <w:pPr>
              <w:spacing w:after="0"/>
              <w:rPr>
                <w:sz w:val="19"/>
                <w:szCs w:val="19"/>
                <w:color w:val="auto"/>
              </w:rPr>
            </w:pPr>
          </w:p>
        </w:tc>
        <w:tc>
          <w:tcPr>
            <w:tcW w:w="104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228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13 %</w:t>
            </w:r>
          </w:p>
        </w:tc>
      </w:tr>
    </w:tbl>
    <w:p>
      <w:pPr>
        <w:spacing w:after="0" w:line="188" w:lineRule="exact"/>
        <w:rPr>
          <w:sz w:val="20"/>
          <w:szCs w:val="20"/>
          <w:color w:val="auto"/>
        </w:rPr>
      </w:pPr>
    </w:p>
    <w:p>
      <w:pPr>
        <w:jc w:val="both"/>
        <w:ind w:firstLine="217"/>
        <w:spacing w:after="0" w:line="255" w:lineRule="auto"/>
        <w:rPr>
          <w:sz w:val="20"/>
          <w:szCs w:val="20"/>
          <w:color w:val="auto"/>
        </w:rPr>
      </w:pPr>
      <w:r>
        <w:rPr>
          <w:rFonts w:ascii="Arial" w:cs="Arial" w:eastAsia="Arial" w:hAnsi="Arial"/>
          <w:sz w:val="18"/>
          <w:szCs w:val="18"/>
          <w:color w:val="auto"/>
        </w:rPr>
        <w:t>Cost of revenue increased by 33% to $99.4 million for the year ended December 31, 2020, from $74.5 million for the year ended December 31, 2019. This increase in expense is primarily attributable to an increase in business services and outsourced subcontracted labor of approximately $17.0 million as the Company saw a significant increase in demand for its Gainshare (formerly “Pay for Performance”) services, which power Conversational Commerce programs on behalf of customers. The Company also recognized an increase in salary and employee related expenses of approximately $5.0 million, in expenses for backup server facilities of approximately $1.6 million, in depreciation expense of approximately $1.2 million and in amortization expense of approximately $0.8 million.</w:t>
      </w:r>
    </w:p>
    <w:p>
      <w:pPr>
        <w:spacing w:after="0" w:line="84" w:lineRule="exact"/>
        <w:rPr>
          <w:sz w:val="20"/>
          <w:szCs w:val="20"/>
          <w:color w:val="auto"/>
        </w:rPr>
      </w:pPr>
    </w:p>
    <w:p>
      <w:pPr>
        <w:jc w:val="both"/>
        <w:ind w:firstLine="217"/>
        <w:spacing w:after="0" w:line="259" w:lineRule="auto"/>
        <w:rPr>
          <w:sz w:val="20"/>
          <w:szCs w:val="20"/>
          <w:color w:val="auto"/>
        </w:rPr>
      </w:pPr>
      <w:r>
        <w:rPr>
          <w:rFonts w:ascii="Arial" w:cs="Arial" w:eastAsia="Arial" w:hAnsi="Arial"/>
          <w:sz w:val="18"/>
          <w:szCs w:val="18"/>
          <w:color w:val="auto"/>
        </w:rPr>
        <w:t>Cost of revenue increased by 27% to $74.5 million for the year ended December 31, 2019, from $58.4 million for the year ended December 31, 2018. This increase in expense is primarily attributable to an increase in business services and outsourced subcontracted labor of approximately $7.2 million, in salary and related employee expenses of approximately $4.4 million, in expenses for backup server facilities of approximately $4.0 million and in depreciation expense of approximately $0.5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w w:val="98"/>
              </w:rPr>
              <w:t>Year Ended December 31,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27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8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FFCC"/>
            </w:tcBorders>
          </w:tcPr>
          <w:p>
            <w:pPr>
              <w:spacing w:after="0"/>
              <w:rPr>
                <w:sz w:val="18"/>
                <w:szCs w:val="18"/>
                <w:color w:val="auto"/>
              </w:rPr>
            </w:pPr>
          </w:p>
        </w:tc>
        <w:tc>
          <w:tcPr>
            <w:tcW w:w="1300" w:type="dxa"/>
            <w:vAlign w:val="bottom"/>
            <w:tcBorders>
              <w:bottom w:val="single" w:sz="8" w:color="CCFFCC"/>
            </w:tcBorders>
          </w:tcPr>
          <w:p>
            <w:pPr>
              <w:spacing w:after="0"/>
              <w:rPr>
                <w:sz w:val="18"/>
                <w:szCs w:val="18"/>
                <w:color w:val="auto"/>
              </w:rPr>
            </w:pPr>
          </w:p>
        </w:tc>
        <w:tc>
          <w:tcPr>
            <w:tcW w:w="160" w:type="dxa"/>
            <w:vAlign w:val="bottom"/>
          </w:tcPr>
          <w:p>
            <w:pPr>
              <w:spacing w:after="0"/>
              <w:rPr>
                <w:sz w:val="18"/>
                <w:szCs w:val="18"/>
                <w:color w:val="auto"/>
              </w:rPr>
            </w:pPr>
          </w:p>
        </w:tc>
      </w:tr>
      <w:tr>
        <w:trPr>
          <w:trHeight w:val="226"/>
        </w:trPr>
        <w:tc>
          <w:tcPr>
            <w:tcW w:w="180" w:type="dxa"/>
            <w:vAlign w:val="bottom"/>
          </w:tcPr>
          <w:p>
            <w:pPr>
              <w:spacing w:after="0"/>
              <w:rPr>
                <w:sz w:val="19"/>
                <w:szCs w:val="19"/>
                <w:color w:val="auto"/>
              </w:rPr>
            </w:pPr>
          </w:p>
        </w:tc>
        <w:tc>
          <w:tcPr>
            <w:tcW w:w="2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 of revenue - Consumer</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6,874</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4,418</w:t>
            </w:r>
          </w:p>
        </w:tc>
        <w:tc>
          <w:tcPr>
            <w:tcW w:w="2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4,418</w:t>
            </w:r>
          </w:p>
        </w:tc>
        <w:tc>
          <w:tcPr>
            <w:tcW w:w="3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rPr>
              <w:t>4,059</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19"/>
                <w:szCs w:val="19"/>
                <w:color w:val="auto"/>
              </w:rPr>
            </w:pPr>
          </w:p>
        </w:tc>
      </w:tr>
      <w:tr>
        <w:trPr>
          <w:trHeight w:val="230"/>
        </w:trPr>
        <w:tc>
          <w:tcPr>
            <w:tcW w:w="18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2 %</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2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19"/>
                <w:szCs w:val="19"/>
                <w:color w:val="auto"/>
              </w:rPr>
            </w:pPr>
          </w:p>
        </w:tc>
        <w:tc>
          <w:tcPr>
            <w:tcW w:w="106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FFCC"/>
          </w:tcPr>
          <w:p>
            <w:pPr>
              <w:spacing w:after="0"/>
              <w:rPr>
                <w:sz w:val="19"/>
                <w:szCs w:val="19"/>
                <w:color w:val="auto"/>
              </w:rPr>
            </w:pPr>
          </w:p>
        </w:tc>
        <w:tc>
          <w:tcPr>
            <w:tcW w:w="96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17</w:t>
            </w:r>
          </w:p>
        </w:tc>
        <w:tc>
          <w:tcPr>
            <w:tcW w:w="14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8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FFCC"/>
          </w:tcPr>
          <w:p>
            <w:pPr>
              <w:spacing w:after="0"/>
              <w:rPr>
                <w:sz w:val="19"/>
                <w:szCs w:val="19"/>
                <w:color w:val="auto"/>
              </w:rPr>
            </w:pPr>
          </w:p>
        </w:tc>
        <w:tc>
          <w:tcPr>
            <w:tcW w:w="104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19"/>
                <w:szCs w:val="19"/>
                <w:color w:val="auto"/>
              </w:rPr>
            </w:pPr>
          </w:p>
        </w:tc>
      </w:tr>
      <w:tr>
        <w:trPr>
          <w:trHeight w:val="959"/>
        </w:trPr>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gridSpan w:val="3"/>
          </w:tcPr>
          <w:p>
            <w:pPr>
              <w:jc w:val="right"/>
              <w:ind w:right="1139"/>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ind w:firstLine="191"/>
        <w:spacing w:after="0" w:line="255" w:lineRule="auto"/>
        <w:rPr>
          <w:sz w:val="20"/>
          <w:szCs w:val="20"/>
          <w:color w:val="auto"/>
        </w:rPr>
      </w:pPr>
      <w:r>
        <w:rPr>
          <w:rFonts w:ascii="Arial" w:cs="Arial" w:eastAsia="Arial" w:hAnsi="Arial"/>
          <w:sz w:val="18"/>
          <w:szCs w:val="18"/>
          <w:color w:val="auto"/>
        </w:rPr>
        <w:t>Cost of revenue increased by 56% to $6.9 million for the year ended December 31, 2020, from $4.4 million for the year ended December 31, 2019. This increase in expense is primarily related to an increase in outsourcing subcontracted labor of approximately $1.3 million is due to the investment in technology infrastructure. We increased outside labor to accelerate a technology change which assisted us in the rollout of HeyExpert, a leading platform for online expert guidance. In addition, there was an increase in salary and employee related expenses of approximately $0.4 million, in credit card processing fees of approximately $0.3 million, in depreciation expense of approximately $0.3 million and backup server facilities of approximately $0.1 million.</w:t>
      </w:r>
    </w:p>
    <w:p>
      <w:pPr>
        <w:spacing w:after="0" w:line="84" w:lineRule="exact"/>
        <w:rPr>
          <w:sz w:val="20"/>
          <w:szCs w:val="20"/>
          <w:color w:val="auto"/>
        </w:rPr>
      </w:pPr>
    </w:p>
    <w:p>
      <w:pPr>
        <w:jc w:val="both"/>
        <w:ind w:firstLine="203"/>
        <w:spacing w:after="0" w:line="277" w:lineRule="auto"/>
        <w:rPr>
          <w:sz w:val="20"/>
          <w:szCs w:val="20"/>
          <w:color w:val="auto"/>
        </w:rPr>
      </w:pPr>
      <w:r>
        <w:rPr>
          <w:rFonts w:ascii="Arial" w:cs="Arial" w:eastAsia="Arial" w:hAnsi="Arial"/>
          <w:sz w:val="18"/>
          <w:szCs w:val="18"/>
          <w:color w:val="auto"/>
        </w:rPr>
        <w:t>Cost of revenue increased by 9% to $4.4 million for the year ended December 31, 2019, from $4.1 million for the year ended December 31, 2018. This increase in expense is primarily related to an increase in credit card processing fees of approximately $0.3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w w:val="97"/>
              </w:rPr>
              <w:t>Year Ended December 31,</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w w:val="99"/>
              </w:rPr>
              <w:t>Year Ended December 31,</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3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0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FFCC"/>
            </w:tcBorders>
          </w:tcPr>
          <w:p>
            <w:pPr>
              <w:spacing w:after="0"/>
              <w:rPr>
                <w:sz w:val="18"/>
                <w:szCs w:val="18"/>
                <w:color w:val="auto"/>
              </w:rPr>
            </w:pPr>
          </w:p>
        </w:tc>
        <w:tc>
          <w:tcPr>
            <w:tcW w:w="126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Borders>
              <w:bottom w:val="single" w:sz="8" w:color="CCFFCC"/>
            </w:tcBorders>
          </w:tcPr>
          <w:p>
            <w:pPr>
              <w:spacing w:after="0"/>
              <w:rPr>
                <w:sz w:val="18"/>
                <w:szCs w:val="18"/>
                <w:color w:val="auto"/>
              </w:rPr>
            </w:pPr>
          </w:p>
        </w:tc>
        <w:tc>
          <w:tcPr>
            <w:tcW w:w="1240" w:type="dxa"/>
            <w:vAlign w:val="bottom"/>
            <w:tcBorders>
              <w:bottom w:val="single" w:sz="8" w:color="CCFFCC"/>
            </w:tcBorders>
          </w:tcPr>
          <w:p>
            <w:pPr>
              <w:spacing w:after="0"/>
              <w:rPr>
                <w:sz w:val="18"/>
                <w:szCs w:val="18"/>
                <w:color w:val="auto"/>
              </w:rPr>
            </w:pPr>
          </w:p>
        </w:tc>
      </w:tr>
      <w:tr>
        <w:trPr>
          <w:trHeight w:val="226"/>
        </w:trPr>
        <w:tc>
          <w:tcPr>
            <w:tcW w:w="3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Sales and Marketing - Business</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128,752</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140,880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140,880</w:t>
            </w:r>
          </w:p>
        </w:tc>
        <w:tc>
          <w:tcPr>
            <w:tcW w:w="3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94,339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48 %</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3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19"/>
                <w:szCs w:val="19"/>
                <w:color w:val="auto"/>
              </w:rPr>
            </w:pPr>
          </w:p>
        </w:tc>
        <w:tc>
          <w:tcPr>
            <w:tcW w:w="104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CCFFCC"/>
          </w:tcPr>
          <w:p>
            <w:pPr>
              <w:spacing w:after="0"/>
              <w:rPr>
                <w:sz w:val="19"/>
                <w:szCs w:val="19"/>
                <w:color w:val="auto"/>
              </w:rPr>
            </w:pPr>
          </w:p>
        </w:tc>
        <w:tc>
          <w:tcPr>
            <w:tcW w:w="98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449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2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449</w:t>
            </w:r>
          </w:p>
        </w:tc>
        <w:tc>
          <w:tcPr>
            <w:tcW w:w="360" w:type="dxa"/>
            <w:vAlign w:val="bottom"/>
            <w:shd w:val="clear" w:color="auto" w:fill="CCFFCC"/>
          </w:tcPr>
          <w:p>
            <w:pPr>
              <w:spacing w:after="0"/>
              <w:rPr>
                <w:sz w:val="19"/>
                <w:szCs w:val="19"/>
                <w:color w:val="auto"/>
              </w:rPr>
            </w:pPr>
          </w:p>
        </w:tc>
        <w:tc>
          <w:tcPr>
            <w:tcW w:w="102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352</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28 %</w:t>
            </w:r>
          </w:p>
        </w:tc>
      </w:tr>
    </w:tbl>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decreased by 9% to $128.8 million for the year ended December 31, 2020, from $140.9 million for the year ended December 31, 2019. This is primarily related to a decrease in salary and employee related expenses of approximately $7.5 million, a decrease in marketing events, advertising, public relations and trade show exhibit expenses of approximately $3.3 million, and a decrease in business services and outsourcing subcontracted labor of approximately $2.6 million. These decreases were offset in part by an increase in backup server facilities of approximately $0.7 million and in depreciation expense of approximately $0.6 million.</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2020, the Company delayed its planned marketing events due to the COVID-19 pandemic and has also seen an impact in terms of the on-boarding and hiring of employees. The Company has been able to adjust its marketing and hiring efforts in this new environment going forward. Additionally, we have adapted our marketing strategy to include targeted digital experiences that emphasize the unique positioning of our messaging and AI offerings to help brands succeed in this new environment. Our marketing message has shifted to include business continuity and virtualization of the contact center in addition to business improvement.</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increased by 49% to $140.9 million for the year ended December 31, 2019, from $94.3 million for the year ended December 31, 2018. This is primarily related to an increase in salary, recruitment, and related employee expenses of approximately $29.5 million, as the Company doubled the number of quota carrying salespeople to approximately 100 at year-end 2019 from 50 at year-end 2018. Business services and outsourced labor increased approximately $6.5 million, and marketing events, advertising, public relations, and trade show exhibit expenses increased approximately $5.4 million. Other costs consisted of increases in facilities and allocated overhead of $5.1 million, and in depreciation expense of $0.1 million.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and trade show exhibit expenses and allocated occupancy costs and related overhead.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w w:val="97"/>
              </w:rPr>
              <w:t>Year Ended December 31,</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80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FFCC"/>
            </w:tcBorders>
          </w:tcPr>
          <w:p>
            <w:pPr>
              <w:spacing w:after="0"/>
              <w:rPr>
                <w:sz w:val="18"/>
                <w:szCs w:val="18"/>
                <w:color w:val="auto"/>
              </w:rPr>
            </w:pPr>
          </w:p>
        </w:tc>
        <w:tc>
          <w:tcPr>
            <w:tcW w:w="126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FFCC"/>
            </w:tcBorders>
          </w:tcPr>
          <w:p>
            <w:pPr>
              <w:spacing w:after="0"/>
              <w:rPr>
                <w:sz w:val="18"/>
                <w:szCs w:val="18"/>
                <w:color w:val="auto"/>
              </w:rPr>
            </w:pPr>
          </w:p>
        </w:tc>
        <w:tc>
          <w:tcPr>
            <w:tcW w:w="1260" w:type="dxa"/>
            <w:vAlign w:val="bottom"/>
            <w:tcBorders>
              <w:bottom w:val="single" w:sz="8" w:color="CCFFCC"/>
            </w:tcBorders>
          </w:tcPr>
          <w:p>
            <w:pPr>
              <w:spacing w:after="0"/>
              <w:rPr>
                <w:sz w:val="18"/>
                <w:szCs w:val="18"/>
                <w:color w:val="auto"/>
              </w:rPr>
            </w:pPr>
          </w:p>
        </w:tc>
        <w:tc>
          <w:tcPr>
            <w:tcW w:w="200" w:type="dxa"/>
            <w:vAlign w:val="bottom"/>
          </w:tcPr>
          <w:p>
            <w:pPr>
              <w:spacing w:after="0"/>
              <w:rPr>
                <w:sz w:val="18"/>
                <w:szCs w:val="18"/>
                <w:color w:val="auto"/>
              </w:rPr>
            </w:pPr>
          </w:p>
        </w:tc>
      </w:tr>
      <w:tr>
        <w:trPr>
          <w:trHeight w:val="226"/>
        </w:trPr>
        <w:tc>
          <w:tcPr>
            <w:tcW w:w="220" w:type="dxa"/>
            <w:vAlign w:val="bottom"/>
          </w:tcPr>
          <w:p>
            <w:pPr>
              <w:spacing w:after="0"/>
              <w:rPr>
                <w:sz w:val="19"/>
                <w:szCs w:val="19"/>
                <w:color w:val="auto"/>
              </w:rPr>
            </w:pPr>
          </w:p>
        </w:tc>
        <w:tc>
          <w:tcPr>
            <w:tcW w:w="2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Sales and Marketing - Consumer</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ind w:right="175"/>
              <w:spacing w:after="0"/>
              <w:rPr>
                <w:sz w:val="20"/>
                <w:szCs w:val="20"/>
                <w:color w:val="auto"/>
              </w:rPr>
            </w:pPr>
            <w:r>
              <w:rPr>
                <w:rFonts w:ascii="Arial" w:cs="Arial" w:eastAsia="Arial" w:hAnsi="Arial"/>
                <w:sz w:val="18"/>
                <w:szCs w:val="18"/>
                <w:color w:val="auto"/>
              </w:rPr>
              <w:t>21,021</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rPr>
              <w:t>15,934</w:t>
            </w:r>
          </w:p>
        </w:tc>
        <w:tc>
          <w:tcPr>
            <w:tcW w:w="10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15,934</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rPr>
              <w:t>9,005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77 %</w:t>
            </w:r>
          </w:p>
        </w:tc>
        <w:tc>
          <w:tcPr>
            <w:tcW w:w="20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2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40" w:type="dxa"/>
            <w:vAlign w:val="bottom"/>
            <w:shd w:val="clear" w:color="auto" w:fill="CCFFCC"/>
          </w:tcPr>
          <w:p>
            <w:pPr>
              <w:spacing w:after="0"/>
              <w:rPr>
                <w:sz w:val="19"/>
                <w:szCs w:val="19"/>
                <w:color w:val="auto"/>
              </w:rPr>
            </w:pPr>
          </w:p>
        </w:tc>
        <w:tc>
          <w:tcPr>
            <w:tcW w:w="1040" w:type="dxa"/>
            <w:vAlign w:val="bottom"/>
            <w:shd w:val="clear" w:color="auto" w:fill="CCFFCC"/>
          </w:tcPr>
          <w:p>
            <w:pPr>
              <w:jc w:val="right"/>
              <w:ind w:right="175"/>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FFCC"/>
          </w:tcPr>
          <w:p>
            <w:pPr>
              <w:spacing w:after="0"/>
              <w:rPr>
                <w:sz w:val="19"/>
                <w:szCs w:val="19"/>
                <w:color w:val="auto"/>
              </w:rPr>
            </w:pPr>
          </w:p>
        </w:tc>
        <w:tc>
          <w:tcPr>
            <w:tcW w:w="98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FFCC"/>
          </w:tcPr>
          <w:p>
            <w:pPr>
              <w:spacing w:after="0"/>
              <w:rPr>
                <w:sz w:val="19"/>
                <w:szCs w:val="19"/>
                <w:color w:val="auto"/>
              </w:rPr>
            </w:pPr>
          </w:p>
        </w:tc>
        <w:tc>
          <w:tcPr>
            <w:tcW w:w="102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38 %</w:t>
            </w:r>
          </w:p>
        </w:tc>
        <w:tc>
          <w:tcPr>
            <w:tcW w:w="200" w:type="dxa"/>
            <w:vAlign w:val="bottom"/>
          </w:tcPr>
          <w:p>
            <w:pPr>
              <w:spacing w:after="0"/>
              <w:rPr>
                <w:sz w:val="19"/>
                <w:szCs w:val="19"/>
                <w:color w:val="auto"/>
              </w:rPr>
            </w:pPr>
          </w:p>
        </w:tc>
      </w:tr>
      <w:tr>
        <w:trPr>
          <w:trHeight w:val="958"/>
        </w:trPr>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jc w:val="both"/>
        <w:ind w:right="20" w:firstLine="648"/>
        <w:spacing w:after="0" w:line="263" w:lineRule="auto"/>
        <w:rPr>
          <w:sz w:val="20"/>
          <w:szCs w:val="20"/>
          <w:color w:val="auto"/>
        </w:rPr>
      </w:pPr>
      <w:r>
        <w:rPr>
          <w:rFonts w:ascii="Arial" w:cs="Arial" w:eastAsia="Arial" w:hAnsi="Arial"/>
          <w:sz w:val="18"/>
          <w:szCs w:val="18"/>
          <w:color w:val="auto"/>
        </w:rPr>
        <w:t>Sales and marketing expenses increased by 32% to $21.0 million for the year ended December 31, 2020, from $15.9 million for the year ended December 31, 2019. This increase is primarily attributable to an increase in marketing expense of approximately $4.8 million, in outsourcing subcontracted labor of approximately $0.2 million, and credit card processing fees of approximately $0.1 million.</w:t>
      </w:r>
    </w:p>
    <w:p>
      <w:pPr>
        <w:spacing w:after="0" w:line="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Sales and marketing expenses increased by 77% to $15.9 million for the year ended December 31, 2019, from $9.0 million for the year ended December 31, 2018. This increase is primarily attributable to an increase in advertising and online expenses of approximately $6.7 million, and an increase in compensation and related costs for additional and existing sales and marketing personnel of approximately $0.2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347"/>
        <w:spacing w:after="0" w:line="277"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human resources and administrative personnel, professional fees and other general corporate expenses.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8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Borders>
              <w:bottom w:val="single" w:sz="8" w:color="CCFFCC"/>
            </w:tcBorders>
          </w:tcPr>
          <w:p>
            <w:pPr>
              <w:spacing w:after="0"/>
              <w:rPr>
                <w:sz w:val="18"/>
                <w:szCs w:val="18"/>
                <w:color w:val="auto"/>
              </w:rPr>
            </w:pPr>
          </w:p>
        </w:tc>
        <w:tc>
          <w:tcPr>
            <w:tcW w:w="12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FFCC"/>
            </w:tcBorders>
          </w:tcPr>
          <w:p>
            <w:pPr>
              <w:spacing w:after="0"/>
              <w:rPr>
                <w:sz w:val="18"/>
                <w:szCs w:val="18"/>
                <w:color w:val="auto"/>
              </w:rPr>
            </w:pPr>
          </w:p>
        </w:tc>
        <w:tc>
          <w:tcPr>
            <w:tcW w:w="1260" w:type="dxa"/>
            <w:vAlign w:val="bottom"/>
            <w:tcBorders>
              <w:bottom w:val="single" w:sz="8" w:color="CCFFCC"/>
            </w:tcBorders>
          </w:tcPr>
          <w:p>
            <w:pPr>
              <w:spacing w:after="0"/>
              <w:rPr>
                <w:sz w:val="18"/>
                <w:szCs w:val="18"/>
                <w:color w:val="auto"/>
              </w:rPr>
            </w:pPr>
          </w:p>
        </w:tc>
      </w:tr>
      <w:tr>
        <w:trPr>
          <w:trHeight w:val="226"/>
        </w:trPr>
        <w:tc>
          <w:tcPr>
            <w:tcW w:w="282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60,557</w:t>
            </w:r>
          </w:p>
        </w:tc>
        <w:tc>
          <w:tcPr>
            <w:tcW w:w="3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56,967</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FFCC"/>
          </w:tcPr>
          <w:p>
            <w:pPr>
              <w:jc w:val="right"/>
              <w:ind w:right="175"/>
              <w:spacing w:after="0"/>
              <w:rPr>
                <w:sz w:val="20"/>
                <w:szCs w:val="20"/>
                <w:color w:val="auto"/>
              </w:rPr>
            </w:pPr>
            <w:r>
              <w:rPr>
                <w:rFonts w:ascii="Arial" w:cs="Arial" w:eastAsia="Arial" w:hAnsi="Arial"/>
                <w:sz w:val="18"/>
                <w:szCs w:val="18"/>
                <w:color w:val="auto"/>
              </w:rPr>
              <w:t>56,967</w:t>
            </w:r>
          </w:p>
        </w:tc>
        <w:tc>
          <w:tcPr>
            <w:tcW w:w="3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45,873</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17 %</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20 %</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28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40" w:type="dxa"/>
            <w:vAlign w:val="bottom"/>
            <w:shd w:val="clear" w:color="auto" w:fill="CCFFCC"/>
          </w:tcPr>
          <w:p>
            <w:pPr>
              <w:spacing w:after="0"/>
              <w:rPr>
                <w:sz w:val="19"/>
                <w:szCs w:val="19"/>
                <w:color w:val="auto"/>
              </w:rPr>
            </w:pPr>
          </w:p>
        </w:tc>
        <w:tc>
          <w:tcPr>
            <w:tcW w:w="106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FFCC"/>
          </w:tcPr>
          <w:p>
            <w:pPr>
              <w:spacing w:after="0"/>
              <w:rPr>
                <w:sz w:val="19"/>
                <w:szCs w:val="19"/>
                <w:color w:val="auto"/>
              </w:rPr>
            </w:pPr>
          </w:p>
        </w:tc>
        <w:tc>
          <w:tcPr>
            <w:tcW w:w="96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149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80" w:type="dxa"/>
            <w:vAlign w:val="bottom"/>
            <w:shd w:val="clear" w:color="auto" w:fill="CCFFCC"/>
          </w:tcPr>
          <w:p>
            <w:pPr>
              <w:jc w:val="right"/>
              <w:ind w:right="175"/>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FFCC"/>
          </w:tcPr>
          <w:p>
            <w:pPr>
              <w:spacing w:after="0"/>
              <w:rPr>
                <w:sz w:val="19"/>
                <w:szCs w:val="19"/>
                <w:color w:val="auto"/>
              </w:rPr>
            </w:pPr>
          </w:p>
        </w:tc>
        <w:tc>
          <w:tcPr>
            <w:tcW w:w="104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128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16 %</w:t>
            </w:r>
          </w:p>
        </w:tc>
      </w:tr>
    </w:tbl>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increased by 6% to $60.6 million for the year ended December 31, 2020, from $57.0 million for the year ended December 31, 2019. This is primarily related to a increase in salary and employee related expenses of approximately $4.3 million and in business services and outsourced labor of approximately $2.6 million. These increases were offset in part by a decrease in facilities of approximately $2.7 million and depreciation expense of approximately $0.7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increased by 24% to $57.0 million for the year ended December 31, 2019, from $45.9 million for the year ended December 31, 2018. This is primarily related to an increase in salaries and employee related expenses of approximately $9.2 million and in business services and outsourced labor of approximately $3.8 million. These increases were offset in part by a decrease in allocated occupancy costs, related overhead, information technology, and other general corporate expenses of approximately $1.9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as well as allocated occupancy costs and related overhead and outsourced labor and expenses for testing new versions of our software.</w:t>
      </w:r>
    </w:p>
    <w:p>
      <w:pPr>
        <w:spacing w:after="0" w:line="10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w w:val="97"/>
              </w:rPr>
              <w:t>Year Ended December 31,</w:t>
            </w:r>
          </w:p>
        </w:tc>
        <w:tc>
          <w:tcPr>
            <w:tcW w:w="1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2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8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FFCC"/>
            </w:tcBorders>
          </w:tcPr>
          <w:p>
            <w:pPr>
              <w:spacing w:after="0"/>
              <w:rPr>
                <w:sz w:val="18"/>
                <w:szCs w:val="18"/>
                <w:color w:val="auto"/>
              </w:rPr>
            </w:pPr>
          </w:p>
        </w:tc>
        <w:tc>
          <w:tcPr>
            <w:tcW w:w="128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FFCC"/>
            </w:tcBorders>
          </w:tcPr>
          <w:p>
            <w:pPr>
              <w:spacing w:after="0"/>
              <w:rPr>
                <w:sz w:val="18"/>
                <w:szCs w:val="18"/>
                <w:color w:val="auto"/>
              </w:rPr>
            </w:pPr>
          </w:p>
        </w:tc>
        <w:tc>
          <w:tcPr>
            <w:tcW w:w="1280" w:type="dxa"/>
            <w:vAlign w:val="bottom"/>
            <w:tcBorders>
              <w:bottom w:val="single" w:sz="8" w:color="CCFFCC"/>
            </w:tcBorders>
          </w:tcPr>
          <w:p>
            <w:pPr>
              <w:spacing w:after="0"/>
              <w:rPr>
                <w:sz w:val="18"/>
                <w:szCs w:val="18"/>
                <w:color w:val="auto"/>
              </w:rPr>
            </w:pPr>
          </w:p>
        </w:tc>
      </w:tr>
      <w:tr>
        <w:trPr>
          <w:trHeight w:val="226"/>
        </w:trPr>
        <w:tc>
          <w:tcPr>
            <w:tcW w:w="2800" w:type="dxa"/>
            <w:vAlign w:val="bottom"/>
            <w:shd w:val="clear" w:color="auto" w:fill="CCFFCC"/>
          </w:tcPr>
          <w:p>
            <w:pPr>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108,414</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82,145</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82,145</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rPr>
              <w:t>55,707</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28 %</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800" w:type="dxa"/>
            <w:vAlign w:val="bottom"/>
            <w:shd w:val="clear" w:color="auto" w:fill="CCFFCC"/>
          </w:tcPr>
          <w:p>
            <w:pPr>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19"/>
                <w:szCs w:val="19"/>
                <w:color w:val="auto"/>
              </w:rPr>
            </w:pPr>
          </w:p>
        </w:tc>
        <w:tc>
          <w:tcPr>
            <w:tcW w:w="108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CCFFCC"/>
          </w:tcPr>
          <w:p>
            <w:pPr>
              <w:spacing w:after="0"/>
              <w:rPr>
                <w:sz w:val="19"/>
                <w:szCs w:val="19"/>
                <w:color w:val="auto"/>
              </w:rPr>
            </w:pPr>
          </w:p>
        </w:tc>
        <w:tc>
          <w:tcPr>
            <w:tcW w:w="100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451</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451</w:t>
            </w:r>
          </w:p>
        </w:tc>
        <w:tc>
          <w:tcPr>
            <w:tcW w:w="340" w:type="dxa"/>
            <w:vAlign w:val="bottom"/>
            <w:shd w:val="clear" w:color="auto" w:fill="CCFFCC"/>
          </w:tcPr>
          <w:p>
            <w:pPr>
              <w:spacing w:after="0"/>
              <w:rPr>
                <w:sz w:val="19"/>
                <w:szCs w:val="19"/>
                <w:color w:val="auto"/>
              </w:rPr>
            </w:pPr>
          </w:p>
        </w:tc>
        <w:tc>
          <w:tcPr>
            <w:tcW w:w="100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rPr>
              <w:t>369</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22 %</w:t>
            </w:r>
          </w:p>
        </w:tc>
      </w:tr>
    </w:tbl>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 development costs increased by 32% to $108.4 million for the year ended December 31, 2020, from $82.1 million for the year ended December 31, 2019. This is primarily related to an increase in salaries and employee related expenses of approximately $11.9 million, in business services and outsourcing subcontracted labor of approximately $8.6 million, in backup server facilities of approximately $1.1 million related to costs supporting our backup servers and in depreciation expense of approximately $5.0 million. The Company made investments in public cloud migration, and in enhancing and expanding new features of the Conversational Cloud. Also, the Company invested in bringing more data scientists and machine learning engineers to focus on Conversational Al.</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 development costs increased by 47% to $82.1 million for the year ended December 31, 2019, from $55.7 million for the year ended December 31, 2018. This is primarily related to an increase in compensation, recruitment, and related costs of approximately $15.3 million, as the Company built out its Seattle Advanced Technology Center, ending 2019 with more than 125 data scientists, machine learnings engineers and automation engineers focused on Conversational AI. The increase was also related to an increase in outsourced labor of approximately $5.0 million, primarily tied to supporting demand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jc w:val="both"/>
        <w:spacing w:after="0" w:line="308" w:lineRule="auto"/>
        <w:rPr>
          <w:sz w:val="20"/>
          <w:szCs w:val="20"/>
          <w:color w:val="auto"/>
        </w:rPr>
      </w:pPr>
      <w:r>
        <w:rPr>
          <w:rFonts w:ascii="Arial" w:cs="Arial" w:eastAsia="Arial" w:hAnsi="Arial"/>
          <w:sz w:val="17"/>
          <w:szCs w:val="17"/>
          <w:color w:val="auto"/>
        </w:rPr>
        <w:t>for technical services. Facility, allocated occupancy costs and overhead related to costs of supporting our server and network infrastructure increased approximately $4.3 million, depreciation expenses increased approximately $1.5 million, and marketing related costs increased $0.3 million.</w:t>
      </w:r>
    </w:p>
    <w:p>
      <w:pPr>
        <w:spacing w:after="0" w:line="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invest in new product development efforts to expand the capability of the Conversational Cloud. In accordance with ASC 350-40, ‘‘Internal- Use Software’’, as new projects are initiated that provide functionality to the Conversational Cloud platform, the associated development and employee costs will be capitalized. Upon completion, the project costs will be depreciated over five years. During the years ended December 31, 2020 and 2019, $33.9 million and $29.1 million was capitalized, respectively.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2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Borders>
              <w:bottom w:val="single" w:sz="8" w:color="CCFFCC"/>
            </w:tcBorders>
          </w:tcPr>
          <w:p>
            <w:pPr>
              <w:spacing w:after="0"/>
              <w:rPr>
                <w:sz w:val="18"/>
                <w:szCs w:val="18"/>
                <w:color w:val="auto"/>
              </w:rPr>
            </w:pPr>
          </w:p>
        </w:tc>
        <w:tc>
          <w:tcPr>
            <w:tcW w:w="1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Borders>
              <w:bottom w:val="single" w:sz="8" w:color="CCFFCC"/>
            </w:tcBorders>
          </w:tcPr>
          <w:p>
            <w:pPr>
              <w:spacing w:after="0"/>
              <w:rPr>
                <w:sz w:val="18"/>
                <w:szCs w:val="18"/>
                <w:color w:val="auto"/>
              </w:rPr>
            </w:pPr>
          </w:p>
        </w:tc>
        <w:tc>
          <w:tcPr>
            <w:tcW w:w="1240" w:type="dxa"/>
            <w:vAlign w:val="bottom"/>
            <w:tcBorders>
              <w:bottom w:val="single" w:sz="8" w:color="CCFFCC"/>
            </w:tcBorders>
          </w:tcPr>
          <w:p>
            <w:pPr>
              <w:spacing w:after="0"/>
              <w:rPr>
                <w:sz w:val="18"/>
                <w:szCs w:val="18"/>
                <w:color w:val="auto"/>
              </w:rPr>
            </w:pPr>
          </w:p>
        </w:tc>
      </w:tr>
      <w:tr>
        <w:trPr>
          <w:trHeight w:val="226"/>
        </w:trPr>
        <w:tc>
          <w:tcPr>
            <w:tcW w:w="3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Restructuring Costs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29,420</w:t>
            </w:r>
          </w:p>
        </w:tc>
        <w:tc>
          <w:tcPr>
            <w:tcW w:w="3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133"/>
              <w:spacing w:after="0"/>
              <w:rPr>
                <w:sz w:val="20"/>
                <w:szCs w:val="20"/>
                <w:color w:val="auto"/>
              </w:rPr>
            </w:pPr>
            <w:r>
              <w:rPr>
                <w:rFonts w:ascii="Arial" w:cs="Arial" w:eastAsia="Arial" w:hAnsi="Arial"/>
                <w:sz w:val="18"/>
                <w:szCs w:val="18"/>
                <w:color w:val="auto"/>
              </w:rPr>
              <w:t>2,043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1,340 %</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2,043</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33"/>
              <w:spacing w:after="0"/>
              <w:rPr>
                <w:sz w:val="20"/>
                <w:szCs w:val="20"/>
                <w:color w:val="auto"/>
              </w:rPr>
            </w:pPr>
            <w:r>
              <w:rPr>
                <w:rFonts w:ascii="Arial" w:cs="Arial" w:eastAsia="Arial" w:hAnsi="Arial"/>
                <w:sz w:val="18"/>
                <w:szCs w:val="18"/>
                <w:color w:val="auto"/>
              </w:rPr>
              <w:t>4,468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8 %</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Restructuring costs increased by 1,340% to $29.4 million for the year ended December 31, 2020, from $2.0 million for the year ended December 31, 2019. This increase is attributable to an increase in restructuring costs related to lease abandonment of approximately $24.1 million, along with severance and other compensation costs of approximately $5.3 million.</w:t>
      </w:r>
    </w:p>
    <w:p>
      <w:pPr>
        <w:spacing w:after="0" w:line="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response to the COVID-19 pandemic, the Company went through a re-evaluation of our real estate needs. In connection with this re-evaluation, and the success we have had working remotely, it was decided in July 2020 that we would significantly reduce the real estate space we lease. This decision resulted in the significant reduction of the real estate space we lease and the removal of the associated right of use assets ("ROU assets"). Furthermore, this resulted in various one-time expenses in connection with the abandonment of the majority of our leased facilities. The lease restructuring costs noted above are a result of this transition to an employee-centric workforce model that does not rely on traditional offices.</w:t>
      </w:r>
    </w:p>
    <w:p>
      <w:pPr>
        <w:spacing w:after="0" w:line="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Restructuring costs decreased by 54% to $2.0 million for the year ended December 31, 2019, from $4.5 million for the year ended December 31, 2018. This decrease is attributable to a decrease in severance and other associated costs of approximately $2.5 million. Severance costs are associated with re-prioritizing and reallocating resources to focus on areas showing high growth potential.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w w:val="97"/>
              </w:rPr>
              <w:t>Year Ended December 31,</w:t>
            </w: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2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FFCC"/>
            </w:tcBorders>
          </w:tcPr>
          <w:p>
            <w:pPr>
              <w:spacing w:after="0"/>
              <w:rPr>
                <w:sz w:val="18"/>
                <w:szCs w:val="18"/>
                <w:color w:val="auto"/>
              </w:rPr>
            </w:pPr>
          </w:p>
        </w:tc>
        <w:tc>
          <w:tcPr>
            <w:tcW w:w="12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Borders>
              <w:bottom w:val="single" w:sz="8" w:color="CCFFCC"/>
            </w:tcBorders>
          </w:tcPr>
          <w:p>
            <w:pPr>
              <w:spacing w:after="0"/>
              <w:rPr>
                <w:sz w:val="18"/>
                <w:szCs w:val="18"/>
                <w:color w:val="auto"/>
              </w:rPr>
            </w:pPr>
          </w:p>
        </w:tc>
        <w:tc>
          <w:tcPr>
            <w:tcW w:w="1240" w:type="dxa"/>
            <w:vAlign w:val="bottom"/>
            <w:tcBorders>
              <w:bottom w:val="single" w:sz="8" w:color="CCFFCC"/>
            </w:tcBorders>
          </w:tcPr>
          <w:p>
            <w:pPr>
              <w:spacing w:after="0"/>
              <w:rPr>
                <w:sz w:val="18"/>
                <w:szCs w:val="18"/>
                <w:color w:val="auto"/>
              </w:rPr>
            </w:pPr>
          </w:p>
        </w:tc>
      </w:tr>
      <w:tr>
        <w:trPr>
          <w:trHeight w:val="226"/>
        </w:trPr>
        <w:tc>
          <w:tcPr>
            <w:tcW w:w="3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 purchased intangibles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1,639</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133"/>
              <w:spacing w:after="0"/>
              <w:rPr>
                <w:sz w:val="20"/>
                <w:szCs w:val="20"/>
                <w:color w:val="auto"/>
              </w:rPr>
            </w:pPr>
            <w:r>
              <w:rPr>
                <w:rFonts w:ascii="Arial" w:cs="Arial" w:eastAsia="Arial" w:hAnsi="Arial"/>
                <w:sz w:val="18"/>
                <w:szCs w:val="18"/>
                <w:color w:val="auto"/>
              </w:rPr>
              <w:t>1,794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195"/>
              <w:spacing w:after="0"/>
              <w:rPr>
                <w:sz w:val="20"/>
                <w:szCs w:val="20"/>
                <w:color w:val="auto"/>
              </w:rPr>
            </w:pPr>
            <w:r>
              <w:rPr>
                <w:rFonts w:ascii="Arial" w:cs="Arial" w:eastAsia="Arial" w:hAnsi="Arial"/>
                <w:sz w:val="18"/>
                <w:szCs w:val="18"/>
                <w:color w:val="auto"/>
              </w:rPr>
              <w:t>1,794</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33"/>
              <w:spacing w:after="0"/>
              <w:rPr>
                <w:sz w:val="20"/>
                <w:szCs w:val="20"/>
                <w:color w:val="auto"/>
              </w:rPr>
            </w:pPr>
            <w:r>
              <w:rPr>
                <w:rFonts w:ascii="Arial" w:cs="Arial" w:eastAsia="Arial" w:hAnsi="Arial"/>
                <w:sz w:val="18"/>
                <w:szCs w:val="18"/>
                <w:color w:val="auto"/>
              </w:rPr>
              <w:t>1,670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Amortization expense for purchased intangibles decreased by 9% to $1.6 million for the year ended December 31, 2020, from $1.8 million for the year ended December 31, 2019, and increased by 7% to $1.8 million for the year ended December 31, 2019, from $1.7 million for the year ended December 31, 2018. The year over year variance is primarily attributable to amortization of patents and customer relationships.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249"/>
        <w:spacing w:after="0" w:line="263" w:lineRule="auto"/>
        <w:rPr>
          <w:sz w:val="20"/>
          <w:szCs w:val="20"/>
          <w:color w:val="auto"/>
        </w:rPr>
      </w:pPr>
      <w:r>
        <w:rPr>
          <w:rFonts w:ascii="Arial" w:cs="Arial" w:eastAsia="Arial" w:hAnsi="Arial"/>
          <w:sz w:val="18"/>
          <w:szCs w:val="18"/>
          <w:color w:val="auto"/>
        </w:rPr>
        <w:t>Other income, net primarily consists of interest income on cash and cash equivalents, investment income and financial (expense) income which is a result of currency rate fluctuations associated with exchange rate movement of the U.S. dollar against the New Israeli Shekel, Pound Sterling, Japanese Yen, Australian dollar and the Euro.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Year Ended December 31,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Pr>
          <w:p>
            <w:pPr>
              <w:spacing w:after="0"/>
              <w:rPr>
                <w:sz w:val="18"/>
                <w:szCs w:val="18"/>
                <w:color w:val="auto"/>
              </w:rPr>
            </w:pPr>
          </w:p>
        </w:tc>
      </w:tr>
      <w:tr>
        <w:trPr>
          <w:trHeight w:val="210"/>
        </w:trPr>
        <w:tc>
          <w:tcPr>
            <w:tcW w:w="34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4"/>
          </w:tcPr>
          <w:p>
            <w:pPr>
              <w:jc w:val="center"/>
              <w:ind w:right="112"/>
              <w:spacing w:after="0"/>
              <w:rPr>
                <w:sz w:val="20"/>
                <w:szCs w:val="20"/>
                <w:color w:val="auto"/>
              </w:rPr>
            </w:pPr>
            <w:r>
              <w:rPr>
                <w:rFonts w:ascii="Arial" w:cs="Arial" w:eastAsia="Arial" w:hAnsi="Arial"/>
                <w:sz w:val="16"/>
                <w:szCs w:val="16"/>
                <w:b w:val="1"/>
                <w:bCs w:val="1"/>
                <w:color w:val="auto"/>
                <w:w w:val="88"/>
              </w:rPr>
              <w:t>($ in thousands)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3"/>
        </w:trPr>
        <w:tc>
          <w:tcPr>
            <w:tcW w:w="348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300" w:type="dxa"/>
            <w:vAlign w:val="bottom"/>
            <w:shd w:val="clear" w:color="auto" w:fill="CCFFCC"/>
          </w:tcPr>
          <w:p>
            <w:pPr>
              <w:spacing w:after="0"/>
              <w:rPr>
                <w:sz w:val="23"/>
                <w:szCs w:val="23"/>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Interest (expense) income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center"/>
              <w:ind w:left="212"/>
              <w:spacing w:after="0"/>
              <w:rPr>
                <w:sz w:val="20"/>
                <w:szCs w:val="20"/>
                <w:color w:val="auto"/>
              </w:rPr>
            </w:pPr>
            <w:r>
              <w:rPr>
                <w:rFonts w:ascii="Arial" w:cs="Arial" w:eastAsia="Arial" w:hAnsi="Arial"/>
                <w:sz w:val="18"/>
                <w:szCs w:val="18"/>
                <w:color w:val="auto"/>
                <w:w w:val="91"/>
              </w:rPr>
              <w:t>(7,407)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left="295"/>
              <w:spacing w:after="0"/>
              <w:rPr>
                <w:sz w:val="20"/>
                <w:szCs w:val="20"/>
                <w:color w:val="auto"/>
              </w:rPr>
            </w:pPr>
            <w:r>
              <w:rPr>
                <w:rFonts w:ascii="Arial" w:cs="Arial" w:eastAsia="Arial" w:hAnsi="Arial"/>
                <w:sz w:val="18"/>
                <w:szCs w:val="18"/>
                <w:color w:val="auto"/>
                <w:w w:val="94"/>
              </w:rPr>
              <w:t>(7,407)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(33,768)%</w:t>
            </w:r>
          </w:p>
        </w:tc>
      </w:tr>
      <w:tr>
        <w:trPr>
          <w:trHeight w:val="230"/>
        </w:trPr>
        <w:tc>
          <w:tcPr>
            <w:tcW w:w="3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FFCC"/>
          </w:tcPr>
          <w:p>
            <w:pPr>
              <w:jc w:val="center"/>
              <w:ind w:left="252"/>
              <w:spacing w:after="0"/>
              <w:rPr>
                <w:sz w:val="20"/>
                <w:szCs w:val="20"/>
                <w:color w:val="auto"/>
              </w:rPr>
            </w:pPr>
            <w:r>
              <w:rPr>
                <w:rFonts w:ascii="Arial" w:cs="Arial" w:eastAsia="Arial" w:hAnsi="Arial"/>
                <w:sz w:val="18"/>
                <w:szCs w:val="18"/>
                <w:color w:val="auto"/>
                <w:w w:val="88"/>
              </w:rPr>
              <w:t>1,213</w:t>
            </w:r>
          </w:p>
        </w:tc>
        <w:tc>
          <w:tcPr>
            <w:tcW w:w="100" w:type="dxa"/>
            <w:vAlign w:val="bottom"/>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center"/>
              <w:ind w:left="315"/>
              <w:spacing w:after="0"/>
              <w:rPr>
                <w:sz w:val="20"/>
                <w:szCs w:val="20"/>
                <w:color w:val="auto"/>
              </w:rPr>
            </w:pPr>
            <w:r>
              <w:rPr>
                <w:rFonts w:ascii="Arial" w:cs="Arial" w:eastAsia="Arial" w:hAnsi="Arial"/>
                <w:sz w:val="18"/>
                <w:szCs w:val="18"/>
                <w:color w:val="auto"/>
                <w:w w:val="88"/>
              </w:rPr>
              <w:t>1,213</w:t>
            </w:r>
          </w:p>
        </w:tc>
        <w:tc>
          <w:tcPr>
            <w:tcW w:w="10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w:t>
            </w: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91"/>
              </w:rPr>
              <w:t>(6,194)</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94"/>
              </w:rPr>
              <w:t>(6,194)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1,215 %</w:t>
            </w:r>
          </w:p>
        </w:tc>
      </w:tr>
      <w:tr>
        <w:trPr>
          <w:trHeight w:val="21"/>
        </w:trPr>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 income increased by $9.5 million to an expense of $15.7 million for the year ended December 31, 2020, from an expense of $6.2 million for the year ended December 31, 2019. This increase was primarily attributable to an increase in interest expense attributable to the 0.750% Convertible Senior Notes due 2024 (the ‘‘2024 Notes’’), offset in part by interest income on cash and cash equivalents and financial income which is attributable to currency rate fluctuations.</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(expense) income increased by $5.7 million to an expense of $6.2 million for the year ended December 31, 2019, from an income of $0.5 million for the year ended December 31, 2018. This was primarily attributable to an increase in interest expense attributable to the 2024 Notes, offset in part by interest income on cash and cash equivalents and financial income which is attributable to currency rate fluctuations.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right="95"/>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right="95"/>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70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right="95"/>
              <w:spacing w:after="0"/>
              <w:rPr>
                <w:sz w:val="20"/>
                <w:szCs w:val="20"/>
                <w:color w:val="auto"/>
              </w:rPr>
            </w:pPr>
            <w:r>
              <w:rPr>
                <w:rFonts w:ascii="Arial" w:cs="Arial" w:eastAsia="Arial" w:hAnsi="Arial"/>
                <w:sz w:val="16"/>
                <w:szCs w:val="16"/>
                <w:b w:val="1"/>
                <w:bCs w:val="1"/>
                <w:color w:val="auto"/>
                <w:w w:val="90"/>
              </w:rPr>
              <w:t>($ in thousands)</w:t>
            </w:r>
          </w:p>
        </w:tc>
        <w:tc>
          <w:tcPr>
            <w:tcW w:w="120" w:type="dxa"/>
            <w:vAlign w:val="bottom"/>
            <w:tcBorders>
              <w:bottom w:val="single" w:sz="8" w:color="CCFFCC"/>
            </w:tcBorders>
          </w:tcPr>
          <w:p>
            <w:pPr>
              <w:spacing w:after="0"/>
              <w:rPr>
                <w:sz w:val="18"/>
                <w:szCs w:val="18"/>
                <w:color w:val="auto"/>
              </w:rPr>
            </w:pPr>
          </w:p>
        </w:tc>
        <w:tc>
          <w:tcPr>
            <w:tcW w:w="12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right="115"/>
              <w:spacing w:after="0"/>
              <w:rPr>
                <w:sz w:val="20"/>
                <w:szCs w:val="20"/>
                <w:color w:val="auto"/>
              </w:rPr>
            </w:pPr>
            <w:r>
              <w:rPr>
                <w:rFonts w:ascii="Arial" w:cs="Arial" w:eastAsia="Arial" w:hAnsi="Arial"/>
                <w:sz w:val="16"/>
                <w:szCs w:val="16"/>
                <w:b w:val="1"/>
                <w:bCs w:val="1"/>
                <w:color w:val="auto"/>
                <w:w w:val="88"/>
              </w:rPr>
              <w:t>($ in thousands)</w:t>
            </w:r>
          </w:p>
        </w:tc>
        <w:tc>
          <w:tcPr>
            <w:tcW w:w="120" w:type="dxa"/>
            <w:vAlign w:val="bottom"/>
            <w:tcBorders>
              <w:bottom w:val="single" w:sz="8" w:color="CCFFCC"/>
            </w:tcBorders>
          </w:tcPr>
          <w:p>
            <w:pPr>
              <w:spacing w:after="0"/>
              <w:rPr>
                <w:sz w:val="18"/>
                <w:szCs w:val="18"/>
                <w:color w:val="auto"/>
              </w:rPr>
            </w:pPr>
          </w:p>
        </w:tc>
        <w:tc>
          <w:tcPr>
            <w:tcW w:w="1240" w:type="dxa"/>
            <w:vAlign w:val="bottom"/>
            <w:tcBorders>
              <w:bottom w:val="single" w:sz="8" w:color="CCFFCC"/>
            </w:tcBorders>
          </w:tcPr>
          <w:p>
            <w:pPr>
              <w:spacing w:after="0"/>
              <w:rPr>
                <w:sz w:val="18"/>
                <w:szCs w:val="18"/>
                <w:color w:val="auto"/>
              </w:rPr>
            </w:pPr>
          </w:p>
        </w:tc>
      </w:tr>
      <w:tr>
        <w:trPr>
          <w:trHeight w:val="226"/>
        </w:trPr>
        <w:tc>
          <w:tcPr>
            <w:tcW w:w="3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2,466</w:t>
            </w:r>
          </w:p>
        </w:tc>
        <w:tc>
          <w:tcPr>
            <w:tcW w:w="3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2,845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2,845</w:t>
            </w:r>
          </w:p>
        </w:tc>
        <w:tc>
          <w:tcPr>
            <w:tcW w:w="3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232 %</w:t>
            </w:r>
          </w:p>
        </w:tc>
      </w:tr>
    </w:tbl>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decreased by 13% to $2.5 million for the year ended December 31, 2020, from $2.8 million for the year ended December 31, 2019. Our consolidated effective tax rate was impacted by the statutory income tax rates applicable to each of the jurisdictions in which we operate. During 2020, we recognized a benefit of $0.6 million due to net operating loss and research and development credits carryback resulting from the CARES Act. The decrease in tax expense is primarily due to these factors.</w:t>
      </w:r>
    </w:p>
    <w:p>
      <w:pPr>
        <w:spacing w:after="0" w:line="7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Income tax expense increased by 232% to $2.8 million for the year ended December 31, 2019, from $0.9 million for the year ended December 31, 2018. Our consolidated effective tax rate was impacted by the statutory income tax rates applicable to each of the jurisdictions in which we operate. During 2018, we recognized a benefit of $2.0 million related to a settlement with the Israeli Tax Authority. As a result of the settlement, we recognized a benefit as the recorded liability was less than the final settlement. A benefit was also recorded for U.S. federal tax refunds that were recognized due to increased foreign tax credits and increased federal NOLs from foreign tax deductions. The increase in tax expense was primarily due to these factors.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$107.6 million for the year ended December 31, 2020 compared to a net loss of $96.1 million for the year ended December 31, 2019. Revenue increased approximately $75.0 million, operating expenses increased by approximately $77.4 million, the provision for income taxes decreased approximately $0.4 million, and other (expense) income net increased by $9.5 million, contributing to a net increase in net loss of approximately $11.5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$96.1 million for the year ended December 31, 2019 compared to a net loss of $25.0 million for the year ended December 31, 2018. Revenue increased approximately $41.8 million, operating expenses increased by approximately $105.1 million, the provision for income taxes increased approximately $2.0 million, and other (expense) income, net decreased by approximately $5.7 million, contributing to a net increase in net loss of approximately $71.0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Quarterly Results of Operations Data</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sets forth, for the periods indicated, the Company’s financial information for the eight most recent quarters ended December 31, 2020.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 This information should be read in conjunction with the consolidated financial statements, including the related notes, included herein.</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Quarter ended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3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Dec. 31,</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Sept. 30,</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March 31,</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Dec. 31,</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Sept. 30,</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w w:val="95"/>
              </w:rPr>
              <w:t>March 31,</w:t>
            </w:r>
          </w:p>
        </w:tc>
      </w:t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165"/>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gridSpan w:val="11"/>
          </w:tcPr>
          <w:p>
            <w:pPr>
              <w:ind w:left="500"/>
              <w:spacing w:after="0"/>
              <w:rPr>
                <w:sz w:val="20"/>
                <w:szCs w:val="20"/>
                <w:color w:val="auto"/>
              </w:rPr>
            </w:pPr>
            <w:r>
              <w:rPr>
                <w:rFonts w:ascii="Arial" w:cs="Arial" w:eastAsia="Arial" w:hAnsi="Arial"/>
                <w:sz w:val="13"/>
                <w:szCs w:val="13"/>
                <w:b w:val="1"/>
                <w:bCs w:val="1"/>
                <w:color w:val="auto"/>
              </w:rPr>
              <w:t>(in thousands, except share and per share data)</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1"/>
        </w:trPr>
        <w:tc>
          <w:tcPr>
            <w:tcW w:w="3620" w:type="dxa"/>
            <w:vAlign w:val="bottom"/>
            <w:shd w:val="clear" w:color="auto" w:fill="CCFFCC"/>
          </w:tcPr>
          <w:p>
            <w:pPr>
              <w:ind w:left="20"/>
              <w:spacing w:after="0"/>
              <w:rPr>
                <w:sz w:val="20"/>
                <w:szCs w:val="20"/>
                <w:color w:val="auto"/>
              </w:rPr>
            </w:pPr>
            <w:r>
              <w:rPr>
                <w:rFonts w:ascii="Arial" w:cs="Arial" w:eastAsia="Arial" w:hAnsi="Arial"/>
                <w:sz w:val="13"/>
                <w:szCs w:val="13"/>
                <w:b w:val="1"/>
                <w:bCs w:val="1"/>
                <w:color w:val="auto"/>
              </w:rPr>
              <w:t>Consolidated Statements of Operations Data:</w:t>
            </w:r>
          </w:p>
        </w:tc>
        <w:tc>
          <w:tcPr>
            <w:tcW w:w="120" w:type="dxa"/>
            <w:vAlign w:val="bottom"/>
            <w:tcBorders>
              <w:bottom w:val="single" w:sz="8" w:color="auto"/>
            </w:tcBorders>
            <w:shd w:val="clear" w:color="auto" w:fill="CCFFCC"/>
          </w:tcPr>
          <w:p>
            <w:pPr>
              <w:spacing w:after="0"/>
              <w:rPr>
                <w:sz w:val="15"/>
                <w:szCs w:val="15"/>
                <w:color w:val="auto"/>
              </w:rPr>
            </w:pPr>
          </w:p>
        </w:tc>
        <w:tc>
          <w:tcPr>
            <w:tcW w:w="720" w:type="dxa"/>
            <w:vAlign w:val="bottom"/>
            <w:tcBorders>
              <w:bottom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tcBorders>
              <w:bottom w:val="single" w:sz="8" w:color="auto"/>
            </w:tcBorders>
            <w:shd w:val="clear" w:color="auto" w:fill="CCFFCC"/>
          </w:tcPr>
          <w:p>
            <w:pPr>
              <w:spacing w:after="0"/>
              <w:rPr>
                <w:sz w:val="15"/>
                <w:szCs w:val="15"/>
                <w:color w:val="auto"/>
              </w:rPr>
            </w:pPr>
          </w:p>
        </w:tc>
        <w:tc>
          <w:tcPr>
            <w:tcW w:w="720" w:type="dxa"/>
            <w:vAlign w:val="bottom"/>
            <w:tcBorders>
              <w:bottom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tcBorders>
              <w:bottom w:val="single" w:sz="8" w:color="auto"/>
            </w:tcBorders>
            <w:shd w:val="clear" w:color="auto" w:fill="CCFFCC"/>
          </w:tcPr>
          <w:p>
            <w:pPr>
              <w:spacing w:after="0"/>
              <w:rPr>
                <w:sz w:val="15"/>
                <w:szCs w:val="15"/>
                <w:color w:val="auto"/>
              </w:rPr>
            </w:pPr>
          </w:p>
        </w:tc>
        <w:tc>
          <w:tcPr>
            <w:tcW w:w="700" w:type="dxa"/>
            <w:vAlign w:val="bottom"/>
            <w:tcBorders>
              <w:bottom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tcBorders>
              <w:bottom w:val="single" w:sz="8" w:color="auto"/>
            </w:tcBorders>
            <w:shd w:val="clear" w:color="auto" w:fill="CCFFCC"/>
          </w:tcPr>
          <w:p>
            <w:pPr>
              <w:spacing w:after="0"/>
              <w:rPr>
                <w:sz w:val="15"/>
                <w:szCs w:val="15"/>
                <w:color w:val="auto"/>
              </w:rPr>
            </w:pPr>
          </w:p>
        </w:tc>
        <w:tc>
          <w:tcPr>
            <w:tcW w:w="800" w:type="dxa"/>
            <w:vAlign w:val="bottom"/>
            <w:tcBorders>
              <w:bottom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tcBorders>
              <w:bottom w:val="single" w:sz="8" w:color="auto"/>
            </w:tcBorders>
            <w:shd w:val="clear" w:color="auto" w:fill="CCFFCC"/>
          </w:tcPr>
          <w:p>
            <w:pPr>
              <w:spacing w:after="0"/>
              <w:rPr>
                <w:sz w:val="15"/>
                <w:szCs w:val="15"/>
                <w:color w:val="auto"/>
              </w:rPr>
            </w:pPr>
          </w:p>
        </w:tc>
        <w:tc>
          <w:tcPr>
            <w:tcW w:w="700" w:type="dxa"/>
            <w:vAlign w:val="bottom"/>
            <w:tcBorders>
              <w:bottom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tcBorders>
              <w:bottom w:val="single" w:sz="8" w:color="auto"/>
            </w:tcBorders>
            <w:shd w:val="clear" w:color="auto" w:fill="CCFFCC"/>
          </w:tcPr>
          <w:p>
            <w:pPr>
              <w:spacing w:after="0"/>
              <w:rPr>
                <w:sz w:val="15"/>
                <w:szCs w:val="15"/>
                <w:color w:val="auto"/>
              </w:rPr>
            </w:pPr>
          </w:p>
        </w:tc>
        <w:tc>
          <w:tcPr>
            <w:tcW w:w="700" w:type="dxa"/>
            <w:vAlign w:val="bottom"/>
            <w:tcBorders>
              <w:bottom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tcBorders>
              <w:bottom w:val="single" w:sz="8" w:color="auto"/>
            </w:tcBorders>
            <w:shd w:val="clear" w:color="auto" w:fill="CCFFCC"/>
          </w:tcPr>
          <w:p>
            <w:pPr>
              <w:spacing w:after="0"/>
              <w:rPr>
                <w:sz w:val="15"/>
                <w:szCs w:val="15"/>
                <w:color w:val="auto"/>
              </w:rPr>
            </w:pPr>
          </w:p>
        </w:tc>
        <w:tc>
          <w:tcPr>
            <w:tcW w:w="720" w:type="dxa"/>
            <w:vAlign w:val="bottom"/>
            <w:tcBorders>
              <w:bottom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tcBorders>
              <w:bottom w:val="single" w:sz="8" w:color="auto"/>
            </w:tcBorders>
            <w:shd w:val="clear" w:color="auto" w:fill="CCFFCC"/>
          </w:tcPr>
          <w:p>
            <w:pPr>
              <w:spacing w:after="0"/>
              <w:rPr>
                <w:sz w:val="15"/>
                <w:szCs w:val="15"/>
                <w:color w:val="auto"/>
              </w:rPr>
            </w:pPr>
          </w:p>
        </w:tc>
        <w:tc>
          <w:tcPr>
            <w:tcW w:w="780" w:type="dxa"/>
            <w:vAlign w:val="bottom"/>
            <w:tcBorders>
              <w:bottom w:val="single" w:sz="8" w:color="auto"/>
            </w:tcBorders>
            <w:shd w:val="clear" w:color="auto" w:fill="CCFFCC"/>
          </w:tcPr>
          <w:p>
            <w:pPr>
              <w:spacing w:after="0"/>
              <w:rPr>
                <w:sz w:val="15"/>
                <w:szCs w:val="15"/>
                <w:color w:val="auto"/>
              </w:rPr>
            </w:pPr>
          </w:p>
        </w:tc>
      </w:tr>
      <w:tr>
        <w:trPr>
          <w:trHeight w:val="163"/>
        </w:trPr>
        <w:tc>
          <w:tcPr>
            <w:tcW w:w="362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102,125</w:t>
            </w: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94,804</w:t>
            </w:r>
          </w:p>
        </w:tc>
        <w:tc>
          <w:tcPr>
            <w:tcW w:w="1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91,603</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78,088</w:t>
            </w:r>
          </w:p>
        </w:tc>
        <w:tc>
          <w:tcPr>
            <w:tcW w:w="1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79,073</w:t>
            </w:r>
          </w:p>
        </w:tc>
        <w:tc>
          <w:tcPr>
            <w:tcW w:w="1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75,175</w:t>
            </w:r>
          </w:p>
        </w:tc>
        <w:tc>
          <w:tcPr>
            <w:tcW w:w="1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70,959</w:t>
            </w: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66,402</w:t>
            </w:r>
          </w:p>
        </w:tc>
      </w:tr>
      <w:tr>
        <w:trPr>
          <w:trHeight w:val="203"/>
        </w:trPr>
        <w:tc>
          <w:tcPr>
            <w:tcW w:w="36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r>
      <w:tr>
        <w:trPr>
          <w:trHeight w:val="168"/>
        </w:trPr>
        <w:tc>
          <w:tcPr>
            <w:tcW w:w="3620" w:type="dxa"/>
            <w:vAlign w:val="bottom"/>
          </w:tcPr>
          <w:p>
            <w:pPr>
              <w:ind w:left="20"/>
              <w:spacing w:after="0"/>
              <w:rPr>
                <w:sz w:val="20"/>
                <w:szCs w:val="20"/>
                <w:color w:val="auto"/>
              </w:rPr>
            </w:pPr>
            <w:r>
              <w:rPr>
                <w:rFonts w:ascii="Arial" w:cs="Arial" w:eastAsia="Arial" w:hAnsi="Arial"/>
                <w:sz w:val="13"/>
                <w:szCs w:val="13"/>
                <w:color w:val="auto"/>
              </w:rPr>
              <w:t>Costs and Expenses: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3"/>
        </w:trPr>
        <w:tc>
          <w:tcPr>
            <w:tcW w:w="3620" w:type="dxa"/>
            <w:vAlign w:val="bottom"/>
            <w:shd w:val="clear" w:color="auto" w:fill="CCFFCC"/>
          </w:tcPr>
          <w:p>
            <w:pPr>
              <w:ind w:left="140"/>
              <w:spacing w:after="0"/>
              <w:rPr>
                <w:sz w:val="20"/>
                <w:szCs w:val="20"/>
                <w:color w:val="auto"/>
              </w:rPr>
            </w:pPr>
            <w:r>
              <w:rPr>
                <w:rFonts w:ascii="Arial" w:cs="Arial" w:eastAsia="Arial" w:hAnsi="Arial"/>
                <w:sz w:val="13"/>
                <w:szCs w:val="13"/>
                <w:color w:val="auto"/>
              </w:rPr>
              <w:t>Cost of revenue</w:t>
            </w: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28,049</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27,692</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27,707</w:t>
            </w: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22,820</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22,060</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20,120</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18,049</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18,649</w:t>
            </w:r>
          </w:p>
        </w:tc>
      </w:tr>
      <w:tr>
        <w:trPr>
          <w:trHeight w:val="168"/>
        </w:trPr>
        <w:tc>
          <w:tcPr>
            <w:tcW w:w="3620" w:type="dxa"/>
            <w:vAlign w:val="bottom"/>
          </w:tcPr>
          <w:p>
            <w:pPr>
              <w:ind w:left="140"/>
              <w:spacing w:after="0"/>
              <w:rPr>
                <w:sz w:val="20"/>
                <w:szCs w:val="20"/>
                <w:color w:val="auto"/>
              </w:rPr>
            </w:pPr>
            <w:r>
              <w:rPr>
                <w:rFonts w:ascii="Arial" w:cs="Arial" w:eastAsia="Arial" w:hAnsi="Arial"/>
                <w:sz w:val="13"/>
                <w:szCs w:val="13"/>
                <w:color w:val="auto"/>
              </w:rPr>
              <w:t>Sales and marketing</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32,775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34,618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42,680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42,661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41,774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39,343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33,036</w:t>
            </w:r>
          </w:p>
        </w:tc>
      </w:tr>
      <w:tr>
        <w:trPr>
          <w:trHeight w:val="183"/>
        </w:trPr>
        <w:tc>
          <w:tcPr>
            <w:tcW w:w="3620" w:type="dxa"/>
            <w:vAlign w:val="bottom"/>
            <w:shd w:val="clear" w:color="auto" w:fill="CCFFCC"/>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12,844</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14,891</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16,353</w:t>
            </w: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16,469</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15,079</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13,958</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13,763</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14,167</w:t>
            </w:r>
          </w:p>
        </w:tc>
      </w:tr>
      <w:tr>
        <w:trPr>
          <w:trHeight w:val="168"/>
        </w:trPr>
        <w:tc>
          <w:tcPr>
            <w:tcW w:w="3620" w:type="dxa"/>
            <w:vAlign w:val="bottom"/>
          </w:tcPr>
          <w:p>
            <w:pPr>
              <w:ind w:left="140"/>
              <w:spacing w:after="0"/>
              <w:rPr>
                <w:sz w:val="20"/>
                <w:szCs w:val="20"/>
                <w:color w:val="auto"/>
              </w:rPr>
            </w:pPr>
            <w:r>
              <w:rPr>
                <w:rFonts w:ascii="Arial" w:cs="Arial" w:eastAsia="Arial" w:hAnsi="Arial"/>
                <w:sz w:val="13"/>
                <w:szCs w:val="13"/>
                <w:color w:val="auto"/>
              </w:rPr>
              <w:t>Product development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27,995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27,736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26,967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25,716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23,213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20,577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18,173</w:t>
            </w:r>
          </w:p>
        </w:tc>
      </w:tr>
      <w:tr>
        <w:trPr>
          <w:trHeight w:val="183"/>
        </w:trPr>
        <w:tc>
          <w:tcPr>
            <w:tcW w:w="3620" w:type="dxa"/>
            <w:vAlign w:val="bottom"/>
            <w:shd w:val="clear" w:color="auto" w:fill="CCFFCC"/>
          </w:tcPr>
          <w:p>
            <w:pPr>
              <w:ind w:left="140"/>
              <w:spacing w:after="0"/>
              <w:rPr>
                <w:sz w:val="20"/>
                <w:szCs w:val="20"/>
                <w:color w:val="auto"/>
              </w:rPr>
            </w:pPr>
            <w:r>
              <w:rPr>
                <w:rFonts w:ascii="Arial" w:cs="Arial" w:eastAsia="Arial" w:hAnsi="Arial"/>
                <w:sz w:val="13"/>
                <w:szCs w:val="13"/>
                <w:color w:val="auto"/>
              </w:rPr>
              <w:t>Restructuring costs</w:t>
            </w: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26,442</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3,190</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1,425</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279</w:t>
            </w:r>
          </w:p>
        </w:tc>
      </w:tr>
      <w:tr>
        <w:trPr>
          <w:trHeight w:val="169"/>
        </w:trPr>
        <w:tc>
          <w:tcPr>
            <w:tcW w:w="3620" w:type="dxa"/>
            <w:vAlign w:val="bottom"/>
            <w:tcBorders>
              <w:bottom w:val="single" w:sz="8" w:color="CCFFCC"/>
            </w:tcBorders>
          </w:tcPr>
          <w:p>
            <w:pPr>
              <w:ind w:left="140"/>
              <w:spacing w:after="0"/>
              <w:rPr>
                <w:sz w:val="20"/>
                <w:szCs w:val="20"/>
                <w:color w:val="auto"/>
              </w:rPr>
            </w:pPr>
            <w:r>
              <w:rPr>
                <w:rFonts w:ascii="Arial" w:cs="Arial" w:eastAsia="Arial" w:hAnsi="Arial"/>
                <w:sz w:val="13"/>
                <w:szCs w:val="13"/>
                <w:color w:val="auto"/>
              </w:rPr>
              <w:t>Amortization of purchased intangibles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w:t>
            </w:r>
          </w:p>
        </w:tc>
        <w:tc>
          <w:tcPr>
            <w:tcW w:w="1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w:t>
            </w:r>
          </w:p>
        </w:tc>
        <w:tc>
          <w:tcPr>
            <w:tcW w:w="1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r>
      <w:tr>
        <w:trPr>
          <w:trHeight w:val="175"/>
        </w:trPr>
        <w:tc>
          <w:tcPr>
            <w:tcW w:w="36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Total costs and expenses</w:t>
            </w:r>
          </w:p>
        </w:tc>
        <w:tc>
          <w:tcPr>
            <w:tcW w:w="120" w:type="dxa"/>
            <w:vAlign w:val="bottom"/>
            <w:tcBorders>
              <w:bottom w:val="single" w:sz="8" w:color="auto"/>
            </w:tcBorders>
            <w:shd w:val="clear" w:color="auto" w:fill="CCFFCC"/>
          </w:tcPr>
          <w:p>
            <w:pPr>
              <w:spacing w:after="0"/>
              <w:rPr>
                <w:sz w:val="15"/>
                <w:szCs w:val="15"/>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108,795</w:t>
            </w:r>
          </w:p>
        </w:tc>
        <w:tc>
          <w:tcPr>
            <w:tcW w:w="100" w:type="dxa"/>
            <w:vAlign w:val="bottom"/>
            <w:shd w:val="clear" w:color="auto" w:fill="CCFFCC"/>
          </w:tcPr>
          <w:p>
            <w:pPr>
              <w:spacing w:after="0"/>
              <w:rPr>
                <w:sz w:val="15"/>
                <w:szCs w:val="15"/>
                <w:color w:val="auto"/>
              </w:rPr>
            </w:pPr>
          </w:p>
        </w:tc>
        <w:tc>
          <w:tcPr>
            <w:tcW w:w="120" w:type="dxa"/>
            <w:vAlign w:val="bottom"/>
            <w:tcBorders>
              <w:bottom w:val="single" w:sz="8" w:color="auto"/>
            </w:tcBorders>
            <w:shd w:val="clear" w:color="auto" w:fill="CCFFCC"/>
          </w:tcPr>
          <w:p>
            <w:pPr>
              <w:spacing w:after="0"/>
              <w:rPr>
                <w:sz w:val="15"/>
                <w:szCs w:val="15"/>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129,947</w:t>
            </w:r>
          </w:p>
        </w:tc>
        <w:tc>
          <w:tcPr>
            <w:tcW w:w="100" w:type="dxa"/>
            <w:vAlign w:val="bottom"/>
            <w:shd w:val="clear" w:color="auto" w:fill="CCFFCC"/>
          </w:tcPr>
          <w:p>
            <w:pPr>
              <w:spacing w:after="0"/>
              <w:rPr>
                <w:sz w:val="15"/>
                <w:szCs w:val="15"/>
                <w:color w:val="auto"/>
              </w:rPr>
            </w:pPr>
          </w:p>
        </w:tc>
        <w:tc>
          <w:tcPr>
            <w:tcW w:w="140" w:type="dxa"/>
            <w:vAlign w:val="bottom"/>
            <w:tcBorders>
              <w:bottom w:val="single" w:sz="8" w:color="auto"/>
            </w:tcBorders>
            <w:shd w:val="clear" w:color="auto" w:fill="CCFFCC"/>
          </w:tcPr>
          <w:p>
            <w:pPr>
              <w:spacing w:after="0"/>
              <w:rPr>
                <w:sz w:val="15"/>
                <w:szCs w:val="15"/>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106,049</w:t>
            </w:r>
          </w:p>
        </w:tc>
        <w:tc>
          <w:tcPr>
            <w:tcW w:w="120" w:type="dxa"/>
            <w:vAlign w:val="bottom"/>
            <w:shd w:val="clear" w:color="auto" w:fill="CCFFCC"/>
          </w:tcPr>
          <w:p>
            <w:pPr>
              <w:spacing w:after="0"/>
              <w:rPr>
                <w:sz w:val="15"/>
                <w:szCs w:val="15"/>
                <w:color w:val="auto"/>
              </w:rPr>
            </w:pPr>
          </w:p>
        </w:tc>
        <w:tc>
          <w:tcPr>
            <w:tcW w:w="100" w:type="dxa"/>
            <w:vAlign w:val="bottom"/>
            <w:tcBorders>
              <w:bottom w:val="single" w:sz="8" w:color="auto"/>
            </w:tcBorders>
            <w:shd w:val="clear" w:color="auto" w:fill="CCFFCC"/>
          </w:tcPr>
          <w:p>
            <w:pPr>
              <w:spacing w:after="0"/>
              <w:rPr>
                <w:sz w:val="15"/>
                <w:szCs w:val="15"/>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111,280</w:t>
            </w:r>
          </w:p>
        </w:tc>
        <w:tc>
          <w:tcPr>
            <w:tcW w:w="100" w:type="dxa"/>
            <w:vAlign w:val="bottom"/>
            <w:shd w:val="clear" w:color="auto" w:fill="CCFFCC"/>
          </w:tcPr>
          <w:p>
            <w:pPr>
              <w:spacing w:after="0"/>
              <w:rPr>
                <w:sz w:val="15"/>
                <w:szCs w:val="15"/>
                <w:color w:val="auto"/>
              </w:rPr>
            </w:pPr>
          </w:p>
        </w:tc>
        <w:tc>
          <w:tcPr>
            <w:tcW w:w="140" w:type="dxa"/>
            <w:vAlign w:val="bottom"/>
            <w:tcBorders>
              <w:bottom w:val="single" w:sz="8" w:color="auto"/>
            </w:tcBorders>
            <w:shd w:val="clear" w:color="auto" w:fill="CCFFCC"/>
          </w:tcPr>
          <w:p>
            <w:pPr>
              <w:spacing w:after="0"/>
              <w:rPr>
                <w:sz w:val="15"/>
                <w:szCs w:val="15"/>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103,595</w:t>
            </w:r>
          </w:p>
        </w:tc>
        <w:tc>
          <w:tcPr>
            <w:tcW w:w="120" w:type="dxa"/>
            <w:vAlign w:val="bottom"/>
            <w:shd w:val="clear" w:color="auto" w:fill="CCFFCC"/>
          </w:tcPr>
          <w:p>
            <w:pPr>
              <w:spacing w:after="0"/>
              <w:rPr>
                <w:sz w:val="15"/>
                <w:szCs w:val="15"/>
                <w:color w:val="auto"/>
              </w:rPr>
            </w:pPr>
          </w:p>
        </w:tc>
        <w:tc>
          <w:tcPr>
            <w:tcW w:w="120" w:type="dxa"/>
            <w:vAlign w:val="bottom"/>
            <w:tcBorders>
              <w:bottom w:val="single" w:sz="8" w:color="auto"/>
            </w:tcBorders>
            <w:shd w:val="clear" w:color="auto" w:fill="CCFFCC"/>
          </w:tcPr>
          <w:p>
            <w:pPr>
              <w:spacing w:after="0"/>
              <w:rPr>
                <w:sz w:val="15"/>
                <w:szCs w:val="15"/>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98,301</w:t>
            </w:r>
          </w:p>
        </w:tc>
        <w:tc>
          <w:tcPr>
            <w:tcW w:w="120" w:type="dxa"/>
            <w:vAlign w:val="bottom"/>
            <w:shd w:val="clear" w:color="auto" w:fill="CCFFCC"/>
          </w:tcPr>
          <w:p>
            <w:pPr>
              <w:spacing w:after="0"/>
              <w:rPr>
                <w:sz w:val="15"/>
                <w:szCs w:val="15"/>
                <w:color w:val="auto"/>
              </w:rPr>
            </w:pPr>
          </w:p>
        </w:tc>
        <w:tc>
          <w:tcPr>
            <w:tcW w:w="120" w:type="dxa"/>
            <w:vAlign w:val="bottom"/>
            <w:tcBorders>
              <w:bottom w:val="single" w:sz="8" w:color="auto"/>
            </w:tcBorders>
            <w:shd w:val="clear" w:color="auto" w:fill="CCFFCC"/>
          </w:tcPr>
          <w:p>
            <w:pPr>
              <w:spacing w:after="0"/>
              <w:rPr>
                <w:sz w:val="15"/>
                <w:szCs w:val="15"/>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91,980</w:t>
            </w:r>
          </w:p>
        </w:tc>
        <w:tc>
          <w:tcPr>
            <w:tcW w:w="100" w:type="dxa"/>
            <w:vAlign w:val="bottom"/>
            <w:shd w:val="clear" w:color="auto" w:fill="CCFFCC"/>
          </w:tcPr>
          <w:p>
            <w:pPr>
              <w:spacing w:after="0"/>
              <w:rPr>
                <w:sz w:val="15"/>
                <w:szCs w:val="15"/>
                <w:color w:val="auto"/>
              </w:rPr>
            </w:pPr>
          </w:p>
        </w:tc>
        <w:tc>
          <w:tcPr>
            <w:tcW w:w="120" w:type="dxa"/>
            <w:vAlign w:val="bottom"/>
            <w:tcBorders>
              <w:bottom w:val="single" w:sz="8" w:color="auto"/>
            </w:tcBorders>
            <w:shd w:val="clear" w:color="auto" w:fill="CCFFCC"/>
          </w:tcPr>
          <w:p>
            <w:pPr>
              <w:spacing w:after="0"/>
              <w:rPr>
                <w:sz w:val="15"/>
                <w:szCs w:val="15"/>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84,765</w:t>
            </w:r>
          </w:p>
        </w:tc>
      </w:tr>
      <w:tr>
        <w:trPr>
          <w:trHeight w:val="161"/>
        </w:trPr>
        <w:tc>
          <w:tcPr>
            <w:tcW w:w="3620" w:type="dxa"/>
            <w:vAlign w:val="bottom"/>
          </w:tcPr>
          <w:p>
            <w:pPr>
              <w:ind w:left="20"/>
              <w:spacing w:after="0"/>
              <w:rPr>
                <w:sz w:val="20"/>
                <w:szCs w:val="20"/>
                <w:color w:val="auto"/>
              </w:rPr>
            </w:pPr>
            <w:r>
              <w:rPr>
                <w:rFonts w:ascii="Arial" w:cs="Arial" w:eastAsia="Arial" w:hAnsi="Arial"/>
                <w:sz w:val="13"/>
                <w:szCs w:val="13"/>
                <w:color w:val="auto"/>
              </w:rPr>
              <w:t>Loss from operations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(6,670)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(14,446)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(33,192)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(24,522)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(23,126)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(18,363)</w:t>
            </w:r>
          </w:p>
        </w:tc>
      </w:tr>
      <w:tr>
        <w:trPr>
          <w:trHeight w:val="197"/>
        </w:trPr>
        <w:tc>
          <w:tcPr>
            <w:tcW w:w="3620" w:type="dxa"/>
            <w:vAlign w:val="bottom"/>
            <w:shd w:val="clear" w:color="auto" w:fill="CCFFCC"/>
          </w:tcPr>
          <w:p>
            <w:pPr>
              <w:ind w:left="140"/>
              <w:spacing w:after="0"/>
              <w:rPr>
                <w:sz w:val="20"/>
                <w:szCs w:val="20"/>
                <w:color w:val="auto"/>
              </w:rPr>
            </w:pPr>
            <w:r>
              <w:rPr>
                <w:rFonts w:ascii="Arial" w:cs="Arial" w:eastAsia="Arial" w:hAnsi="Arial"/>
                <w:sz w:val="13"/>
                <w:szCs w:val="13"/>
                <w:color w:val="auto"/>
              </w:rPr>
              <w:t>Interest expense, net</w:t>
            </w: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(5,173)</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(3,159)</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(3,211)</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(2,791)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(2,535)</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(2,189)</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(667)</w:t>
            </w:r>
          </w:p>
        </w:tc>
      </w:tr>
      <w:tr>
        <w:trPr>
          <w:trHeight w:val="186"/>
        </w:trPr>
        <w:tc>
          <w:tcPr>
            <w:tcW w:w="3620" w:type="dxa"/>
            <w:vAlign w:val="bottom"/>
            <w:tcBorders>
              <w:bottom w:val="single" w:sz="8" w:color="CCFFCC"/>
            </w:tcBorders>
          </w:tcPr>
          <w:p>
            <w:pPr>
              <w:ind w:left="140"/>
              <w:spacing w:after="0"/>
              <w:rPr>
                <w:sz w:val="20"/>
                <w:szCs w:val="20"/>
                <w:color w:val="auto"/>
              </w:rPr>
            </w:pPr>
            <w:r>
              <w:rPr>
                <w:rFonts w:ascii="Arial" w:cs="Arial" w:eastAsia="Arial" w:hAnsi="Arial"/>
                <w:sz w:val="13"/>
                <w:szCs w:val="13"/>
                <w:color w:val="auto"/>
              </w:rPr>
              <w:t>Other (expense) income, net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Borders>
              <w:bottom w:val="single" w:sz="8" w:color="CCFFC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(1,309)</w:t>
            </w:r>
          </w:p>
        </w:tc>
        <w:tc>
          <w:tcPr>
            <w:tcW w:w="120" w:type="dxa"/>
            <w:vAlign w:val="bottom"/>
            <w:tcBorders>
              <w:bottom w:val="single" w:sz="8" w:color="CCFFC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Borders>
              <w:bottom w:val="single" w:sz="8" w:color="CCFFC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r>
      <w:tr>
        <w:trPr>
          <w:trHeight w:val="172"/>
        </w:trPr>
        <w:tc>
          <w:tcPr>
            <w:tcW w:w="36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Total Other (expense) income, net</w:t>
            </w:r>
          </w:p>
        </w:tc>
        <w:tc>
          <w:tcPr>
            <w:tcW w:w="12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(4,032)</w:t>
            </w:r>
          </w:p>
        </w:tc>
        <w:tc>
          <w:tcPr>
            <w:tcW w:w="10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(3,667)</w:t>
            </w:r>
          </w:p>
        </w:tc>
        <w:tc>
          <w:tcPr>
            <w:tcW w:w="100" w:type="dxa"/>
            <w:vAlign w:val="bottom"/>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(4,520)</w:t>
            </w:r>
          </w:p>
        </w:tc>
        <w:tc>
          <w:tcPr>
            <w:tcW w:w="120" w:type="dxa"/>
            <w:vAlign w:val="bottom"/>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(3,458)</w:t>
            </w:r>
          </w:p>
        </w:tc>
        <w:tc>
          <w:tcPr>
            <w:tcW w:w="100" w:type="dxa"/>
            <w:vAlign w:val="bottom"/>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(2,183)</w:t>
            </w:r>
          </w:p>
        </w:tc>
        <w:tc>
          <w:tcPr>
            <w:tcW w:w="12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(1,810)</w:t>
            </w:r>
          </w:p>
        </w:tc>
        <w:tc>
          <w:tcPr>
            <w:tcW w:w="12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(2,267)</w:t>
            </w:r>
          </w:p>
        </w:tc>
        <w:tc>
          <w:tcPr>
            <w:tcW w:w="10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66</w:t>
            </w:r>
          </w:p>
        </w:tc>
      </w:tr>
      <w:tr>
        <w:trPr>
          <w:trHeight w:val="163"/>
        </w:trPr>
        <w:tc>
          <w:tcPr>
            <w:tcW w:w="362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Loss before provision for income taxes (benefit from)</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(10,702)</w:t>
            </w: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(38,810)</w:t>
            </w:r>
          </w:p>
        </w:tc>
        <w:tc>
          <w:tcPr>
            <w:tcW w:w="1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(18,966)</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(36,649)</w:t>
            </w:r>
          </w:p>
        </w:tc>
        <w:tc>
          <w:tcPr>
            <w:tcW w:w="1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(26,705)</w:t>
            </w:r>
          </w:p>
        </w:tc>
        <w:tc>
          <w:tcPr>
            <w:tcW w:w="1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(24,936)</w:t>
            </w:r>
          </w:p>
        </w:tc>
        <w:tc>
          <w:tcPr>
            <w:tcW w:w="1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(23,288)</w:t>
            </w: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(18,297)</w:t>
            </w:r>
          </w:p>
        </w:tc>
      </w:tr>
      <w:tr>
        <w:trPr>
          <w:trHeight w:val="169"/>
        </w:trPr>
        <w:tc>
          <w:tcPr>
            <w:tcW w:w="3620" w:type="dxa"/>
            <w:vAlign w:val="bottom"/>
            <w:shd w:val="clear" w:color="auto" w:fill="CCFFCC"/>
          </w:tcPr>
          <w:p>
            <w:pPr>
              <w:ind w:left="20"/>
              <w:spacing w:after="0"/>
              <w:rPr>
                <w:sz w:val="20"/>
                <w:szCs w:val="20"/>
                <w:color w:val="auto"/>
              </w:rPr>
            </w:pPr>
            <w:r>
              <w:rPr>
                <w:rFonts w:ascii="Arial" w:cs="Arial" w:eastAsia="Arial" w:hAnsi="Arial"/>
                <w:sz w:val="13"/>
                <w:szCs w:val="13"/>
                <w:color w:val="auto"/>
              </w:rPr>
              <w:t>Provision for (benefit from) income taxes</w:t>
            </w:r>
          </w:p>
        </w:tc>
        <w:tc>
          <w:tcPr>
            <w:tcW w:w="12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2,553</w:t>
            </w:r>
          </w:p>
        </w:tc>
        <w:tc>
          <w:tcPr>
            <w:tcW w:w="10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617</w:t>
            </w:r>
          </w:p>
        </w:tc>
        <w:tc>
          <w:tcPr>
            <w:tcW w:w="12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936</w:t>
            </w:r>
          </w:p>
        </w:tc>
        <w:tc>
          <w:tcPr>
            <w:tcW w:w="12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699</w:t>
            </w:r>
          </w:p>
        </w:tc>
        <w:tc>
          <w:tcPr>
            <w:tcW w:w="10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593</w:t>
            </w:r>
          </w:p>
        </w:tc>
      </w:tr>
      <w:tr>
        <w:trPr>
          <w:trHeight w:val="176"/>
        </w:trPr>
        <w:tc>
          <w:tcPr>
            <w:tcW w:w="36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(13,255)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(38,710)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(18,627)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(37,001)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(27,322)</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(25,872)</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(23,987)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(18,890)</w:t>
            </w:r>
          </w:p>
        </w:tc>
      </w:tr>
      <w:tr>
        <w:trPr>
          <w:trHeight w:val="20"/>
        </w:trPr>
        <w:tc>
          <w:tcPr>
            <w:tcW w:w="362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36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r>
      <w:tr>
        <w:trPr>
          <w:trHeight w:val="168"/>
        </w:trPr>
        <w:tc>
          <w:tcPr>
            <w:tcW w:w="3620" w:type="dxa"/>
            <w:vAlign w:val="bottom"/>
          </w:tcPr>
          <w:p>
            <w:pPr>
              <w:ind w:left="20"/>
              <w:spacing w:after="0"/>
              <w:rPr>
                <w:sz w:val="20"/>
                <w:szCs w:val="20"/>
                <w:color w:val="auto"/>
              </w:rPr>
            </w:pPr>
            <w:r>
              <w:rPr>
                <w:rFonts w:ascii="Arial" w:cs="Arial" w:eastAsia="Arial" w:hAnsi="Arial"/>
                <w:sz w:val="13"/>
                <w:szCs w:val="13"/>
                <w:color w:val="auto"/>
              </w:rPr>
              <w:t>Net loss per share of 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8"/>
        </w:trPr>
        <w:tc>
          <w:tcPr>
            <w:tcW w:w="36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Basic</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(0.20)</w:t>
            </w: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(0.58)</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(0.28)</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(0.57)</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(0.43)</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(0.41)</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(0.38)</w:t>
            </w: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(0.31)</w:t>
            </w:r>
          </w:p>
        </w:tc>
      </w:tr>
      <w:tr>
        <w:trPr>
          <w:trHeight w:val="20"/>
        </w:trPr>
        <w:tc>
          <w:tcPr>
            <w:tcW w:w="36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80" w:type="dxa"/>
            <w:vAlign w:val="bottom"/>
            <w:tcBorders>
              <w:top w:val="single" w:sz="8" w:color="CCFFCC"/>
              <w:bottom w:val="single" w:sz="8" w:color="auto"/>
            </w:tcBorders>
          </w:tcPr>
          <w:p>
            <w:pPr>
              <w:spacing w:after="0" w:line="20" w:lineRule="exact"/>
              <w:rPr>
                <w:sz w:val="1"/>
                <w:szCs w:val="1"/>
                <w:color w:val="auto"/>
              </w:rPr>
            </w:pPr>
          </w:p>
        </w:tc>
      </w:tr>
      <w:tr>
        <w:trPr>
          <w:trHeight w:val="150"/>
        </w:trPr>
        <w:tc>
          <w:tcPr>
            <w:tcW w:w="3620" w:type="dxa"/>
            <w:vAlign w:val="bottom"/>
          </w:tcPr>
          <w:p>
            <w:pPr>
              <w:ind w:left="2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(0.20)</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(0.58)</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(0.28)</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(0.57)</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(0.43)</w:t>
            </w: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(0.38)</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(0.31)</w:t>
            </w:r>
          </w:p>
        </w:tc>
      </w:tr>
      <w:tr>
        <w:trPr>
          <w:trHeight w:val="20"/>
        </w:trPr>
        <w:tc>
          <w:tcPr>
            <w:tcW w:w="362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36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r>
      <w:tr>
        <w:trPr>
          <w:trHeight w:val="168"/>
        </w:trPr>
        <w:tc>
          <w:tcPr>
            <w:tcW w:w="3620" w:type="dxa"/>
            <w:vAlign w:val="bottom"/>
          </w:tcPr>
          <w:p>
            <w:pPr>
              <w:ind w:left="20"/>
              <w:spacing w:after="0"/>
              <w:rPr>
                <w:sz w:val="20"/>
                <w:szCs w:val="20"/>
                <w:color w:val="auto"/>
              </w:rPr>
            </w:pPr>
            <w:r>
              <w:rPr>
                <w:rFonts w:ascii="Arial" w:cs="Arial" w:eastAsia="Arial" w:hAnsi="Arial"/>
                <w:sz w:val="13"/>
                <w:szCs w:val="13"/>
                <w:color w:val="auto"/>
              </w:rPr>
              <w:t>Weighted-average shares used to compute net loss per share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8"/>
        </w:trPr>
        <w:tc>
          <w:tcPr>
            <w:tcW w:w="36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Basic</w:t>
            </w:r>
          </w:p>
        </w:tc>
        <w:tc>
          <w:tcPr>
            <w:tcW w:w="12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8"/>
              </w:rPr>
              <w:t>67,027,572</w:t>
            </w: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8"/>
              </w:rPr>
              <w:t>66,451,414</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5"/>
              </w:rPr>
              <w:t>65,650,782</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64,388,850</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5"/>
              </w:rPr>
              <w:t>63,556,205</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8"/>
              </w:rPr>
              <w:t>63,014,802</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8"/>
              </w:rPr>
              <w:t>62,350,787</w:t>
            </w: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61,422,227</w:t>
            </w:r>
          </w:p>
        </w:tc>
      </w:tr>
      <w:tr>
        <w:trPr>
          <w:trHeight w:val="20"/>
        </w:trPr>
        <w:tc>
          <w:tcPr>
            <w:tcW w:w="36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780" w:type="dxa"/>
            <w:vAlign w:val="bottom"/>
            <w:tcBorders>
              <w:top w:val="single" w:sz="8" w:color="CCFFCC"/>
              <w:bottom w:val="single" w:sz="8" w:color="auto"/>
            </w:tcBorders>
          </w:tcPr>
          <w:p>
            <w:pPr>
              <w:spacing w:after="0" w:line="20" w:lineRule="exact"/>
              <w:rPr>
                <w:sz w:val="1"/>
                <w:szCs w:val="1"/>
                <w:color w:val="auto"/>
              </w:rPr>
            </w:pPr>
          </w:p>
        </w:tc>
      </w:tr>
      <w:tr>
        <w:trPr>
          <w:trHeight w:val="149"/>
        </w:trPr>
        <w:tc>
          <w:tcPr>
            <w:tcW w:w="3620" w:type="dxa"/>
            <w:vAlign w:val="bottom"/>
          </w:tcPr>
          <w:p>
            <w:pPr>
              <w:ind w:left="2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67,027,572</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66,451,414</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65,650,782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64,388,850</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63,556,205</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63,014,802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62,350,787</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61,422,227</w:t>
            </w:r>
          </w:p>
        </w:tc>
      </w:tr>
      <w:tr>
        <w:trPr>
          <w:trHeight w:val="21"/>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74"/>
              <w:spacing w:after="0"/>
              <w:rPr>
                <w:sz w:val="20"/>
                <w:szCs w:val="20"/>
                <w:color w:val="auto"/>
              </w:rPr>
            </w:pPr>
            <w:r>
              <w:rPr>
                <w:rFonts w:ascii="Arial" w:cs="Arial" w:eastAsia="Arial" w:hAnsi="Arial"/>
                <w:sz w:val="16"/>
                <w:szCs w:val="16"/>
                <w:b w:val="1"/>
                <w:bCs w:val="1"/>
                <w:color w:val="auto"/>
                <w:w w:val="89"/>
              </w:rPr>
              <w:t>2019</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07"/>
        </w:trPr>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394"/>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75"/>
        </w:trPr>
        <w:tc>
          <w:tcPr>
            <w:tcW w:w="5640" w:type="dxa"/>
            <w:vAlign w:val="bottom"/>
            <w:gridSpan w:val="3"/>
          </w:tcPr>
          <w:p>
            <w:pPr>
              <w:ind w:left="300"/>
              <w:spacing w:after="0" w:line="175" w:lineRule="exact"/>
              <w:rPr>
                <w:sz w:val="20"/>
                <w:szCs w:val="20"/>
                <w:color w:val="auto"/>
              </w:rPr>
            </w:pPr>
            <w:r>
              <w:rPr>
                <w:rFonts w:ascii="Arial" w:cs="Arial" w:eastAsia="Arial" w:hAnsi="Arial"/>
                <w:sz w:val="18"/>
                <w:szCs w:val="18"/>
                <w:b w:val="1"/>
                <w:bCs w:val="1"/>
                <w:color w:val="auto"/>
              </w:rPr>
              <w:t>Consolidated Statements of Cash Flows Data:</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350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0"/>
        </w:trPr>
        <w:tc>
          <w:tcPr>
            <w:tcW w:w="56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Cash flows provided by (used in) operating activities</w:t>
            </w:r>
          </w:p>
        </w:tc>
        <w:tc>
          <w:tcPr>
            <w:tcW w:w="6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rPr>
              <w:t>33,605</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FFCC"/>
          </w:tcPr>
          <w:p>
            <w:pPr>
              <w:ind w:left="580"/>
              <w:spacing w:after="0"/>
              <w:rPr>
                <w:sz w:val="20"/>
                <w:szCs w:val="20"/>
                <w:color w:val="auto"/>
              </w:rPr>
            </w:pPr>
            <w:r>
              <w:rPr>
                <w:rFonts w:ascii="Arial" w:cs="Arial" w:eastAsia="Arial" w:hAnsi="Arial"/>
                <w:sz w:val="18"/>
                <w:szCs w:val="18"/>
                <w:color w:val="auto"/>
              </w:rPr>
              <w:t>(59,158)</w:t>
            </w:r>
          </w:p>
        </w:tc>
        <w:tc>
          <w:tcPr>
            <w:tcW w:w="4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4,779</w:t>
            </w:r>
          </w:p>
        </w:tc>
      </w:tr>
      <w:tr>
        <w:trPr>
          <w:trHeight w:val="230"/>
        </w:trPr>
        <w:tc>
          <w:tcPr>
            <w:tcW w:w="5640" w:type="dxa"/>
            <w:vAlign w:val="bottom"/>
            <w:gridSpan w:val="3"/>
          </w:tcPr>
          <w:p>
            <w:pPr>
              <w:ind w:left="300"/>
              <w:spacing w:after="0"/>
              <w:rPr>
                <w:sz w:val="20"/>
                <w:szCs w:val="20"/>
                <w:color w:val="auto"/>
              </w:rPr>
            </w:pPr>
            <w:r>
              <w:rPr>
                <w:rFonts w:ascii="Arial" w:cs="Arial" w:eastAsia="Arial" w:hAnsi="Arial"/>
                <w:sz w:val="18"/>
                <w:szCs w:val="18"/>
                <w:color w:val="auto"/>
              </w:rPr>
              <w:t>Cash flows used in investing activities</w:t>
            </w:r>
          </w:p>
        </w:tc>
        <w:tc>
          <w:tcPr>
            <w:tcW w:w="6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(43,476)</w:t>
            </w:r>
          </w:p>
        </w:tc>
        <w:tc>
          <w:tcPr>
            <w:tcW w:w="460" w:type="dxa"/>
            <w:vAlign w:val="bottom"/>
          </w:tcPr>
          <w:p>
            <w:pPr>
              <w:spacing w:after="0"/>
              <w:rPr>
                <w:sz w:val="19"/>
                <w:szCs w:val="19"/>
                <w:color w:val="auto"/>
              </w:rPr>
            </w:pPr>
          </w:p>
        </w:tc>
        <w:tc>
          <w:tcPr>
            <w:tcW w:w="1540" w:type="dxa"/>
            <w:vAlign w:val="bottom"/>
          </w:tcPr>
          <w:p>
            <w:pPr>
              <w:ind w:left="580"/>
              <w:spacing w:after="0"/>
              <w:rPr>
                <w:sz w:val="20"/>
                <w:szCs w:val="20"/>
                <w:color w:val="auto"/>
              </w:rPr>
            </w:pPr>
            <w:r>
              <w:rPr>
                <w:rFonts w:ascii="Arial" w:cs="Arial" w:eastAsia="Arial" w:hAnsi="Arial"/>
                <w:sz w:val="18"/>
                <w:szCs w:val="18"/>
                <w:color w:val="auto"/>
              </w:rPr>
              <w:t>(48,506)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(27,773)</w:t>
            </w:r>
          </w:p>
        </w:tc>
      </w:tr>
      <w:tr>
        <w:trPr>
          <w:trHeight w:val="229"/>
        </w:trPr>
        <w:tc>
          <w:tcPr>
            <w:tcW w:w="56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Cash flows provided by financing activities</w:t>
            </w:r>
          </w:p>
        </w:tc>
        <w:tc>
          <w:tcPr>
            <w:tcW w:w="620" w:type="dxa"/>
            <w:vAlign w:val="bottom"/>
            <w:shd w:val="clear" w:color="auto" w:fill="CCFFCC"/>
          </w:tcPr>
          <w:p>
            <w:pPr>
              <w:spacing w:after="0"/>
              <w:rPr>
                <w:sz w:val="19"/>
                <w:szCs w:val="19"/>
                <w:color w:val="auto"/>
              </w:rPr>
            </w:pPr>
          </w:p>
        </w:tc>
        <w:tc>
          <w:tcPr>
            <w:tcW w:w="11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rPr>
              <w:t>483,843</w:t>
            </w:r>
          </w:p>
        </w:tc>
        <w:tc>
          <w:tcPr>
            <w:tcW w:w="460" w:type="dxa"/>
            <w:vAlign w:val="bottom"/>
            <w:shd w:val="clear" w:color="auto" w:fill="CCFFCC"/>
          </w:tcPr>
          <w:p>
            <w:pPr>
              <w:spacing w:after="0"/>
              <w:rPr>
                <w:sz w:val="19"/>
                <w:szCs w:val="19"/>
                <w:color w:val="auto"/>
              </w:rPr>
            </w:pPr>
          </w:p>
        </w:tc>
        <w:tc>
          <w:tcPr>
            <w:tcW w:w="1540" w:type="dxa"/>
            <w:vAlign w:val="bottom"/>
            <w:shd w:val="clear" w:color="auto" w:fill="CCFFCC"/>
          </w:tcPr>
          <w:p>
            <w:pPr>
              <w:ind w:left="580"/>
              <w:spacing w:after="0"/>
              <w:rPr>
                <w:sz w:val="20"/>
                <w:szCs w:val="20"/>
                <w:color w:val="auto"/>
              </w:rPr>
            </w:pPr>
            <w:r>
              <w:rPr>
                <w:rFonts w:ascii="Arial" w:cs="Arial" w:eastAsia="Arial" w:hAnsi="Arial"/>
                <w:sz w:val="18"/>
                <w:szCs w:val="18"/>
                <w:color w:val="auto"/>
              </w:rPr>
              <w:t>217,851</w:t>
            </w:r>
          </w:p>
        </w:tc>
        <w:tc>
          <w:tcPr>
            <w:tcW w:w="40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33,926</w:t>
            </w:r>
          </w:p>
        </w:tc>
      </w:tr>
    </w:tbl>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 had approximately $654.2 million in cash and cash equivalents, an increase of approximately $477.6 million from December 31, 2019. The increase is primarily attributable to cash provided by financing activities relating to issuance of the 2026 Notes, as described in Note 7 of the Notes to the Consolidated Financial Statements, and the issuance of common stock. This was partially offset by purchases of capped calls, as described in Note 7 of the Notes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auto"/>
        </w:rPr>
        <w:t>the Consolidated Financial Statements, fixed assets for our co-location facilities, capitalization of internally developed software, debt issuance costs, and increases in prepaid expenses and accounts receivable.</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cash provided by operating activities was $33.6 million in the year ended December 31, 2020. Our net loss was $107.6 million, which includes the effect of non-cash expenses related to stock-based compensation, amortization of purchased intangibles and finance leases, depreciation, and provision for doubtful accounts, as well as increases in operating lease liability due to the transition to an employee centric model under which employees will work remotely, and increase in accrued expenses and decrease in accounts receivable. This was partially offset by increases in prepaid expenses and other current assets and decrease in deferred revenue. Net cash used in operating activities was $59.2 million in the year ended December 31, 2019. Our net loss was $96.1 million, which includes the effect of non-cash expenses related to stock-based compensation, amortization of purchased intangibles, depreciation, and provision for doubtful accounts, as well as increases in deferred revenue due to more of our customers moving to cash payments in advance on annual billings and in accounts payable and accrued expenses. This was partially offset by increases in prepaid expenses, other current assets and accounts receivable, and decrease in deferred tax liability.</w:t>
      </w:r>
    </w:p>
    <w:p>
      <w:pPr>
        <w:spacing w:after="0" w:line="7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cash used in investing activities was $43.5 million in the year ended December 31, 2020 due primarily to the purchase of fixed assets for our co-location facilities and capitalization of internally developed software. Net cash used in investing activities was $48.5 million in the year ended December 31, 2019 and consisted primarily of the purchase of fixed assets for our co-location facilities and capitalization of internally developed software.</w:t>
      </w:r>
    </w:p>
    <w:p>
      <w:pPr>
        <w:spacing w:after="0" w:line="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Net cash provided by financing activities was $483.8 million in the year ended December 31, 2020 due primarily to the proceeds from issuance of the 2026 Notes and proceeds from issuance of common stock in connection with the exercise of stock options by employees. This was partially offset by purchases of capped calls, debt issuance costs, and payment of our finance lease. The net proceeds of the 2026 Notes was approximately $506.6 million, after deducting initial purchaser debt issuance costs paid or payable by us, from issuance of the 2026 Notes, as described in Note 7 of the Notes to the Consolidated Financial Statements. Net cash provided by financing activities was $217.9 million in the year ended December 31, 2019 and consisted primarily of proceeds from issuance of the 2024 Notes and proceeds from issuance of common stock in connection with the exercise of stock options by employees. This was partially offset by purchases of capped calls, debt issuance costs, and repurchase of our common stock. The net proceeds of the 2024 Notes was approximately $221.4 million, after deducting initial purchaser debt issuance costs paid or payable by us, from issuance of the 2024 Notes, as described in Note 7 of the Notes to the Consolidated Financial Statements.</w:t>
      </w:r>
    </w:p>
    <w:p>
      <w:pPr>
        <w:spacing w:after="0" w:line="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lease facilities and certain equipment under agreements accounted for as operating and finance leases. These leases generally require us to pay all executory costs such as maintenance and insurance. Total lease cost for the years ended December 31, 2020, 2019 and 2018, was approximately $13.5 million, $13.0 million and $10.9 million, respectively.</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our principal commitments were approximately $24.4 million under various operating and finance leases, of which approximately $10.2 million is due in 2021. We currently expect that our principal commitments for the year ending December 31, 2021 will not exceed approximately $10.2 million in the aggregate.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December 31, 2020 are summarized as follows (amounts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8"/>
          </w:tcPr>
          <w:p>
            <w:pPr>
              <w:ind w:left="880"/>
              <w:spacing w:after="0"/>
              <w:rPr>
                <w:sz w:val="20"/>
                <w:szCs w:val="20"/>
                <w:color w:val="auto"/>
              </w:rPr>
            </w:pPr>
            <w:r>
              <w:rPr>
                <w:rFonts w:ascii="Arial" w:cs="Arial" w:eastAsia="Arial" w:hAnsi="Arial"/>
                <w:sz w:val="18"/>
                <w:szCs w:val="18"/>
                <w:b w:val="1"/>
                <w:bCs w:val="1"/>
                <w:color w:val="auto"/>
              </w:rPr>
              <w:t>Payments Due by Period</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7"/>
              </w:rPr>
              <w:t>Less Than</w:t>
            </w: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3 – 5 Years</w:t>
            </w:r>
          </w:p>
        </w:tc>
        <w:tc>
          <w:tcPr>
            <w:tcW w:w="140" w:type="dxa"/>
            <w:vAlign w:val="bottom"/>
          </w:tcPr>
          <w:p>
            <w:pPr>
              <w:spacing w:after="0"/>
              <w:rPr>
                <w:sz w:val="14"/>
                <w:szCs w:val="14"/>
                <w:color w:val="auto"/>
              </w:rPr>
            </w:pPr>
          </w:p>
        </w:tc>
        <w:tc>
          <w:tcPr>
            <w:tcW w:w="110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8"/>
              </w:rPr>
              <w:t>More Than</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CDFFCC"/>
            </w:tcBorders>
          </w:tcPr>
          <w:p>
            <w:pPr>
              <w:spacing w:after="0"/>
              <w:rPr>
                <w:sz w:val="19"/>
                <w:szCs w:val="19"/>
                <w:color w:val="auto"/>
              </w:rPr>
            </w:pPr>
          </w:p>
        </w:tc>
        <w:tc>
          <w:tcPr>
            <w:tcW w:w="1040" w:type="dxa"/>
            <w:vAlign w:val="bottom"/>
            <w:tcBorders>
              <w:bottom w:val="single" w:sz="8" w:color="CDFFCC"/>
            </w:tcBorders>
            <w:gridSpan w:val="2"/>
            <w:vMerge w:val="continue"/>
          </w:tcPr>
          <w:p>
            <w:pPr>
              <w:spacing w:after="0"/>
              <w:rPr>
                <w:sz w:val="19"/>
                <w:szCs w:val="19"/>
                <w:color w:val="auto"/>
              </w:rPr>
            </w:pPr>
          </w:p>
        </w:tc>
        <w:tc>
          <w:tcPr>
            <w:tcW w:w="160" w:type="dxa"/>
            <w:vAlign w:val="bottom"/>
            <w:tcBorders>
              <w:bottom w:val="single" w:sz="8" w:color="CDFFCC"/>
            </w:tcBorders>
          </w:tcPr>
          <w:p>
            <w:pPr>
              <w:spacing w:after="0"/>
              <w:rPr>
                <w:sz w:val="19"/>
                <w:szCs w:val="19"/>
                <w:color w:val="auto"/>
              </w:rPr>
            </w:pPr>
          </w:p>
        </w:tc>
        <w:tc>
          <w:tcPr>
            <w:tcW w:w="1160" w:type="dxa"/>
            <w:vAlign w:val="bottom"/>
            <w:tcBorders>
              <w:bottom w:val="single" w:sz="8" w:color="CDFFCC"/>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Borders>
              <w:bottom w:val="single" w:sz="8" w:color="CDFFCC"/>
            </w:tcBorders>
          </w:tcPr>
          <w:p>
            <w:pPr>
              <w:spacing w:after="0"/>
              <w:rPr>
                <w:sz w:val="19"/>
                <w:szCs w:val="19"/>
                <w:color w:val="auto"/>
              </w:rPr>
            </w:pPr>
          </w:p>
        </w:tc>
        <w:tc>
          <w:tcPr>
            <w:tcW w:w="1180" w:type="dxa"/>
            <w:vAlign w:val="bottom"/>
            <w:tcBorders>
              <w:bottom w:val="single" w:sz="8" w:color="CDFFCC"/>
            </w:tcBorders>
            <w:gridSpan w:val="2"/>
            <w:vMerge w:val="continue"/>
          </w:tcPr>
          <w:p>
            <w:pPr>
              <w:spacing w:after="0"/>
              <w:rPr>
                <w:sz w:val="19"/>
                <w:szCs w:val="19"/>
                <w:color w:val="auto"/>
              </w:rPr>
            </w:pPr>
          </w:p>
        </w:tc>
        <w:tc>
          <w:tcPr>
            <w:tcW w:w="160" w:type="dxa"/>
            <w:vAlign w:val="bottom"/>
            <w:tcBorders>
              <w:bottom w:val="single" w:sz="8" w:color="CDFFCC"/>
            </w:tcBorders>
          </w:tcPr>
          <w:p>
            <w:pPr>
              <w:spacing w:after="0"/>
              <w:rPr>
                <w:sz w:val="19"/>
                <w:szCs w:val="19"/>
                <w:color w:val="auto"/>
              </w:rPr>
            </w:pPr>
          </w:p>
        </w:tc>
        <w:tc>
          <w:tcPr>
            <w:tcW w:w="1200" w:type="dxa"/>
            <w:vAlign w:val="bottom"/>
            <w:tcBorders>
              <w:bottom w:val="single" w:sz="8" w:color="CDFFCC"/>
            </w:tcBorders>
            <w:gridSpan w:val="2"/>
            <w:vMerge w:val="continue"/>
          </w:tcPr>
          <w:p>
            <w:pPr>
              <w:spacing w:after="0"/>
              <w:rPr>
                <w:sz w:val="19"/>
                <w:szCs w:val="19"/>
                <w:color w:val="auto"/>
              </w:rPr>
            </w:pPr>
          </w:p>
        </w:tc>
        <w:tc>
          <w:tcPr>
            <w:tcW w:w="140" w:type="dxa"/>
            <w:vAlign w:val="bottom"/>
            <w:tcBorders>
              <w:bottom w:val="single" w:sz="8" w:color="CDFFCC"/>
            </w:tcBorders>
          </w:tcPr>
          <w:p>
            <w:pPr>
              <w:spacing w:after="0"/>
              <w:rPr>
                <w:sz w:val="19"/>
                <w:szCs w:val="19"/>
                <w:color w:val="auto"/>
              </w:rPr>
            </w:pPr>
          </w:p>
        </w:tc>
        <w:tc>
          <w:tcPr>
            <w:tcW w:w="1100" w:type="dxa"/>
            <w:vAlign w:val="bottom"/>
            <w:tcBorders>
              <w:bottom w:val="single" w:sz="8" w:color="CDFFCC"/>
            </w:tcBorders>
          </w:tcPr>
          <w:p>
            <w:pPr>
              <w:jc w:val="right"/>
              <w:ind w:right="25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4560" w:type="dxa"/>
            <w:vAlign w:val="bottom"/>
            <w:shd w:val="clear" w:color="auto" w:fill="CDFFCC"/>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DFFC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14,197</w:t>
            </w:r>
          </w:p>
        </w:tc>
        <w:tc>
          <w:tcPr>
            <w:tcW w:w="120" w:type="dxa"/>
            <w:vAlign w:val="bottom"/>
            <w:shd w:val="clear" w:color="auto" w:fill="CDFFCC"/>
          </w:tcPr>
          <w:p>
            <w:pPr>
              <w:spacing w:after="0"/>
              <w:rPr>
                <w:sz w:val="19"/>
                <w:szCs w:val="19"/>
                <w:color w:val="auto"/>
              </w:rPr>
            </w:pPr>
          </w:p>
        </w:tc>
        <w:tc>
          <w:tcPr>
            <w:tcW w:w="160" w:type="dxa"/>
            <w:vAlign w:val="bottom"/>
            <w:shd w:val="clear" w:color="auto" w:fill="CD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DFFCC"/>
          </w:tcPr>
          <w:p>
            <w:pPr>
              <w:jc w:val="right"/>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DFFCC"/>
          </w:tcPr>
          <w:p>
            <w:pPr>
              <w:spacing w:after="0"/>
              <w:rPr>
                <w:sz w:val="19"/>
                <w:szCs w:val="19"/>
                <w:color w:val="auto"/>
              </w:rPr>
            </w:pPr>
          </w:p>
        </w:tc>
        <w:tc>
          <w:tcPr>
            <w:tcW w:w="160" w:type="dxa"/>
            <w:vAlign w:val="bottom"/>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5,759</w:t>
            </w:r>
          </w:p>
        </w:tc>
        <w:tc>
          <w:tcPr>
            <w:tcW w:w="100" w:type="dxa"/>
            <w:vAlign w:val="bottom"/>
            <w:shd w:val="clear" w:color="auto" w:fill="CDFFCC"/>
          </w:tcPr>
          <w:p>
            <w:pPr>
              <w:spacing w:after="0"/>
              <w:rPr>
                <w:sz w:val="19"/>
                <w:szCs w:val="19"/>
                <w:color w:val="auto"/>
              </w:rPr>
            </w:pPr>
          </w:p>
        </w:tc>
        <w:tc>
          <w:tcPr>
            <w:tcW w:w="160" w:type="dxa"/>
            <w:vAlign w:val="bottom"/>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CDFFCC"/>
          </w:tcPr>
          <w:p>
            <w:pPr>
              <w:spacing w:after="0"/>
              <w:rPr>
                <w:sz w:val="19"/>
                <w:szCs w:val="19"/>
                <w:color w:val="auto"/>
              </w:rPr>
            </w:pPr>
          </w:p>
        </w:tc>
        <w:tc>
          <w:tcPr>
            <w:tcW w:w="140" w:type="dxa"/>
            <w:vAlign w:val="bottom"/>
            <w:shd w:val="clear" w:color="auto" w:fill="CD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560" w:type="dxa"/>
            <w:vAlign w:val="bottom"/>
            <w:shd w:val="clear" w:color="auto" w:fill="CDFFCC"/>
          </w:tcPr>
          <w:p>
            <w:pPr>
              <w:ind w:left="20"/>
              <w:spacing w:after="0" w:line="230"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3"/>
                <w:szCs w:val="23"/>
                <w:color w:val="auto"/>
                <w:vertAlign w:val="superscript"/>
              </w:rPr>
              <w:t>(1)</w:t>
            </w:r>
          </w:p>
        </w:tc>
        <w:tc>
          <w:tcPr>
            <w:tcW w:w="260" w:type="dxa"/>
            <w:vAlign w:val="bottom"/>
            <w:shd w:val="clear" w:color="auto" w:fill="CDFFC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D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D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D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D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DFFCC"/>
          </w:tcPr>
          <w:p>
            <w:pPr>
              <w:spacing w:after="0"/>
              <w:rPr>
                <w:sz w:val="21"/>
                <w:szCs w:val="21"/>
                <w:color w:val="auto"/>
              </w:rPr>
            </w:pPr>
          </w:p>
        </w:tc>
        <w:tc>
          <w:tcPr>
            <w:tcW w:w="140" w:type="dxa"/>
            <w:vAlign w:val="bottom"/>
            <w:shd w:val="clear" w:color="auto" w:fill="CD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517,500</w:t>
            </w:r>
          </w:p>
        </w:tc>
        <w:tc>
          <w:tcPr>
            <w:tcW w:w="0" w:type="dxa"/>
            <w:vAlign w:val="bottom"/>
          </w:tcPr>
          <w:p>
            <w:pPr>
              <w:spacing w:after="0"/>
              <w:rPr>
                <w:sz w:val="1"/>
                <w:szCs w:val="1"/>
                <w:color w:val="auto"/>
              </w:rPr>
            </w:pPr>
          </w:p>
        </w:tc>
      </w:tr>
      <w:tr>
        <w:trPr>
          <w:trHeight w:val="20"/>
        </w:trPr>
        <w:tc>
          <w:tcPr>
            <w:tcW w:w="4560" w:type="dxa"/>
            <w:vAlign w:val="bottom"/>
            <w:tcBorders>
              <w:top w:val="single" w:sz="8" w:color="CDFFCC"/>
              <w:bottom w:val="single" w:sz="8" w:color="CDFFCC"/>
            </w:tcBorders>
            <w:vMerge w:val="restart"/>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60" w:type="dxa"/>
            <w:vAlign w:val="bottom"/>
            <w:vMerge w:val="continue"/>
          </w:tcPr>
          <w:p>
            <w:pPr>
              <w:spacing w:after="0"/>
              <w:rPr>
                <w:sz w:val="17"/>
                <w:szCs w:val="17"/>
                <w:color w:val="auto"/>
              </w:rPr>
            </w:pPr>
          </w:p>
        </w:tc>
        <w:tc>
          <w:tcPr>
            <w:tcW w:w="260" w:type="dxa"/>
            <w:vAlign w:val="bottom"/>
          </w:tcPr>
          <w:p>
            <w:pPr>
              <w:jc w:val="right"/>
              <w:ind w:right="70"/>
              <w:spacing w:after="0" w:line="204"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4" w:lineRule="exact"/>
              <w:rPr>
                <w:sz w:val="20"/>
                <w:szCs w:val="20"/>
                <w:color w:val="auto"/>
              </w:rPr>
            </w:pPr>
            <w:r>
              <w:rPr>
                <w:rFonts w:ascii="Arial" w:cs="Arial" w:eastAsia="Arial" w:hAnsi="Arial"/>
                <w:sz w:val="18"/>
                <w:szCs w:val="18"/>
                <w:color w:val="auto"/>
              </w:rPr>
              <w:t>24,397</w:t>
            </w:r>
          </w:p>
        </w:tc>
        <w:tc>
          <w:tcPr>
            <w:tcW w:w="120" w:type="dxa"/>
            <w:vAlign w:val="bottom"/>
          </w:tcPr>
          <w:p>
            <w:pPr>
              <w:spacing w:after="0"/>
              <w:rPr>
                <w:sz w:val="17"/>
                <w:szCs w:val="17"/>
                <w:color w:val="auto"/>
              </w:rPr>
            </w:pPr>
          </w:p>
        </w:tc>
        <w:tc>
          <w:tcPr>
            <w:tcW w:w="16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10,191</w:t>
            </w:r>
          </w:p>
        </w:tc>
        <w:tc>
          <w:tcPr>
            <w:tcW w:w="100" w:type="dxa"/>
            <w:vAlign w:val="bottom"/>
          </w:tcPr>
          <w:p>
            <w:pPr>
              <w:spacing w:after="0"/>
              <w:rPr>
                <w:sz w:val="17"/>
                <w:szCs w:val="17"/>
                <w:color w:val="auto"/>
              </w:rPr>
            </w:pPr>
          </w:p>
        </w:tc>
        <w:tc>
          <w:tcPr>
            <w:tcW w:w="160" w:type="dxa"/>
            <w:vAlign w:val="bottom"/>
          </w:tcPr>
          <w:p>
            <w:pPr>
              <w:jc w:val="right"/>
              <w:spacing w:after="0" w:line="204"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4" w:lineRule="exact"/>
              <w:rPr>
                <w:sz w:val="20"/>
                <w:szCs w:val="20"/>
                <w:color w:val="auto"/>
              </w:rPr>
            </w:pPr>
            <w:r>
              <w:rPr>
                <w:rFonts w:ascii="Arial" w:cs="Arial" w:eastAsia="Arial" w:hAnsi="Arial"/>
                <w:sz w:val="18"/>
                <w:szCs w:val="18"/>
                <w:color w:val="auto"/>
              </w:rPr>
              <w:t>12,145</w:t>
            </w:r>
          </w:p>
        </w:tc>
        <w:tc>
          <w:tcPr>
            <w:tcW w:w="100" w:type="dxa"/>
            <w:vAlign w:val="bottom"/>
          </w:tcPr>
          <w:p>
            <w:pPr>
              <w:spacing w:after="0"/>
              <w:rPr>
                <w:sz w:val="17"/>
                <w:szCs w:val="17"/>
                <w:color w:val="auto"/>
              </w:rPr>
            </w:pPr>
          </w:p>
        </w:tc>
        <w:tc>
          <w:tcPr>
            <w:tcW w:w="160" w:type="dxa"/>
            <w:vAlign w:val="bottom"/>
          </w:tcPr>
          <w:p>
            <w:pPr>
              <w:jc w:val="right"/>
              <w:spacing w:after="0" w:line="204"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4" w:lineRule="exact"/>
              <w:rPr>
                <w:sz w:val="20"/>
                <w:szCs w:val="20"/>
                <w:color w:val="auto"/>
              </w:rPr>
            </w:pPr>
            <w:r>
              <w:rPr>
                <w:rFonts w:ascii="Arial" w:cs="Arial" w:eastAsia="Arial" w:hAnsi="Arial"/>
                <w:sz w:val="18"/>
                <w:szCs w:val="18"/>
                <w:color w:val="auto"/>
              </w:rPr>
              <w:t>231,798</w:t>
            </w:r>
          </w:p>
        </w:tc>
        <w:tc>
          <w:tcPr>
            <w:tcW w:w="120" w:type="dxa"/>
            <w:vAlign w:val="bottom"/>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517,763</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b w:val="1"/>
          <w:bCs w:val="1"/>
          <w:color w:val="auto"/>
          <w:vertAlign w:val="superscript"/>
        </w:rPr>
      </w:pPr>
      <w:r>
        <w:rPr>
          <w:rFonts w:ascii="Arial" w:cs="Arial" w:eastAsia="Arial" w:hAnsi="Arial"/>
          <w:sz w:val="12"/>
          <w:szCs w:val="12"/>
          <w:color w:val="auto"/>
        </w:rPr>
        <w:t>See Note 7 of the Notes to the Consolidated Financial Statements included elsewhere in this Form 10-K for a discussion of our convertible senior notes.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capital expenditures in 2020 were approximately $41.6 million, primarily related to software capitalization and to the continued expansion of our co-location facilities. Our total capital expenditures are not currently expected to exceed $47.3 million in 2021. We anticipate that our current cash and cash equivalents and cash from operations will be sufficient to fund these capital expenditures.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spacing w:after="0" w:line="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also have agreements whereby our executive officers and directors are indemnified for certain events or occurrences while the officer or director is, or was serving, at our request in such capacity. The maximum potential amount of future payments we could be required to make under these indemnification agreements is unlimited; however, we have a directors and officers insurance policy that reduces our exposure and enables us to recover a portion of any future amounts paid. As a result of our insurance policy coverage, we believe the estimated fair value of these indemnification agreements is minimal. Currently, we have no liabilities recorded for these agreements as of December 31, 2020.</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124" w:lineRule="exact"/>
        <w:rPr>
          <w:sz w:val="20"/>
          <w:szCs w:val="20"/>
          <w:color w:val="auto"/>
        </w:rPr>
      </w:pPr>
    </w:p>
    <w:p>
      <w:pPr>
        <w:jc w:val="both"/>
        <w:ind w:firstLine="249"/>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For further information on all of our significant accounting policies, see Note 1 of the Notes to the Consolidated Financial Statements under Item 8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our services. Revenues are recognized when control of these services is transferred to our customers, in an amount that reflects the consideration we expect to be entitled to in exchange for those services.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300" w:hanging="158"/>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1" w:name="page72"/>
    <w:bookmarkEnd w:id="71"/>
    <w:p>
      <w:pPr>
        <w:ind w:left="1140"/>
        <w:spacing w:after="0"/>
        <w:rPr>
          <w:sz w:val="20"/>
          <w:szCs w:val="20"/>
          <w:color w:val="auto"/>
        </w:rPr>
      </w:pPr>
      <w:r>
        <w:rPr>
          <w:rFonts w:ascii="Arial" w:cs="Arial" w:eastAsia="Arial" w:hAnsi="Arial"/>
          <w:sz w:val="18"/>
          <w:szCs w:val="18"/>
          <w:color w:val="auto"/>
        </w:rPr>
        <w:t>• Recognition of revenue when, or as, we satisfy a performance obligation.</w:t>
      </w:r>
    </w:p>
    <w:p>
      <w:pPr>
        <w:spacing w:after="0" w:line="225" w:lineRule="exact"/>
        <w:rPr>
          <w:sz w:val="20"/>
          <w:szCs w:val="20"/>
          <w:color w:val="auto"/>
        </w:rPr>
      </w:pPr>
    </w:p>
    <w:p>
      <w:pPr>
        <w:jc w:val="both"/>
        <w:ind w:right="20" w:firstLine="185"/>
        <w:spacing w:after="0" w:line="277" w:lineRule="auto"/>
        <w:rPr>
          <w:sz w:val="20"/>
          <w:szCs w:val="20"/>
          <w:color w:val="auto"/>
        </w:rPr>
      </w:pPr>
      <w:r>
        <w:rPr>
          <w:rFonts w:ascii="Arial" w:cs="Arial" w:eastAsia="Arial" w:hAnsi="Arial"/>
          <w:sz w:val="18"/>
          <w:szCs w:val="18"/>
          <w:color w:val="auto"/>
        </w:rPr>
        <w:t>Total revenue of $366.6 million, $291.6 million, and $249.8 million was recognized during the years ended December 31, 2020, December 31, 2019 and December 31,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Hosted Services Business revenue is reported at the amount that reflects the ultimate consideration expected to be received and primarily consist of fees that provide customers access to the Conversational Cloud,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(formerly “Pay for Performance”) arrangements in accordance with ASC-606, ‘‘Principal Agent Considerations,’’ we act as a principal in a transaction if we control the specified goods or services before they are transferred to the customer.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52" w:lineRule="exact"/>
        <w:rPr>
          <w:sz w:val="20"/>
          <w:szCs w:val="20"/>
          <w:color w:val="auto"/>
        </w:rPr>
      </w:pPr>
    </w:p>
    <w:p>
      <w:pPr>
        <w:jc w:val="both"/>
        <w:ind w:firstLine="251"/>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revenue is recognized at an amount net of Expert fees in accordance with ASC 606, “Principal Agent Considerations,” due primarily to the fact that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there was approximately $17.9 million of total unrecognized compensation cost related to nonvested stock options. That cost is expected to be recognized over a weighted average period of approximately 2.5 years. As of December 31, 2020, there was approximately $66.8 million of total unrecognized compensation cost related to nonvested restricted stock units. That cost is expected to be recognized over a weighted average period of approximately 2.8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2020, 2019 and 2018 . No single customer accounted for or exceeded 10% of our total accounts receivable in 2020 and 2018. Two customers exceeded 10% of our total accounts receivable in 2019. During 2020, we increased our allowance for doubtful accounts from approximately $3.1 million to approximately $5.3 million. A large proportion of receivables are due from larger corporate customers that typically have longer payment cycles.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The Company has determined that it operates as two reporting units and has selected September 30 as the date to perform its annual impairment test. In the valuation of goodwill, management must make assumptions regarding estimated future cash flows to be derived from the Company's business. If these estimates or their related assumptions change in the future, the Company may be required to record impairment for these assets.</w:t>
      </w:r>
    </w:p>
    <w:p>
      <w:pPr>
        <w:spacing w:after="0" w:line="21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the option to first perform a qualitative assessment to determine if it is more likely than not that the fair value of a reporting unit is less than its carrying amount. However, the Company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goodwill impairment charges have been recorded for any period presented.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 There was a loss on disposal of approximately $5.1 million in October 2020. The Company recognized accelerated depreciation of fixed assets that were determined to no longer be of future economic benefit to the Company based on the decision to vacate the leased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During the year ended December 31, 2020, there was an increase in the valuation allowance of $6.9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192"/>
        <w:spacing w:after="0" w:line="271" w:lineRule="auto"/>
        <w:rPr>
          <w:sz w:val="20"/>
          <w:szCs w:val="20"/>
          <w:color w:val="auto"/>
        </w:rPr>
      </w:pPr>
      <w:r>
        <w:rPr>
          <w:rFonts w:ascii="Arial" w:cs="Arial" w:eastAsia="Arial" w:hAnsi="Arial"/>
          <w:sz w:val="17"/>
          <w:szCs w:val="17"/>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under Item 8 of this Annual Report on Form 10-K for additional information on our legal proceedings and litigation.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Note 1 of the Notes to the Consolidated Financial Statements for a full description of 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Note 1 of the Notes to the Consolidated Financial Statements for a full description of recently adopted accounting pronouncements.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Rate Fluctuations</w:t>
      </w:r>
    </w:p>
    <w:p>
      <w:pPr>
        <w:spacing w:after="0" w:line="1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result of the scope of our Israeli operations, there is currency rate fluctuation risk associated with the exchange rate movement of the U.S. dollar against the New Israeli Shekel (“NIS”). For the year ended December 31, 2020, the U.S dollar appreciated as compared to the NIS by an average of 4% as compared to December 31, 2019. For the year ended December 31, 2020, expenses generated by our Israeli operations totaled approximately $72.6 million. Based on our exposure to NIS exchange rate fluctuation against a dollar as of December 31, 2018, a 1% increase or decrease in the value of the NIS would increase or decrease our income before income taxes by approximately $0.7 million.</w:t>
      </w:r>
    </w:p>
    <w:p>
      <w:pPr>
        <w:spacing w:after="0" w:line="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Risk</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accounts receivable are subject, in the normal course of business, to collection risks. We regularly assess these risks and have established policies and business practices to protect against the adverse effects of collection risks. During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4" w:name="page75"/>
    <w:bookmarkEnd w:id="74"/>
    <w:p>
      <w:pPr>
        <w:jc w:val="both"/>
        <w:spacing w:after="0" w:line="301" w:lineRule="auto"/>
        <w:rPr>
          <w:sz w:val="20"/>
          <w:szCs w:val="20"/>
          <w:color w:val="auto"/>
        </w:rPr>
      </w:pPr>
      <w:r>
        <w:rPr>
          <w:rFonts w:ascii="Arial" w:cs="Arial" w:eastAsia="Arial" w:hAnsi="Arial"/>
          <w:sz w:val="16"/>
          <w:szCs w:val="16"/>
          <w:color w:val="auto"/>
        </w:rPr>
        <w:t>we increased our allowance for doubtful accounts from $3.1 million to approximately $5.3 million. During 2019, we increased our allowance for doubtful accounts by approximately $2.3 million to approximately $3.1 million.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Rate Risk</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Borders>
              <w:bottom w:val="single" w:sz="8" w:color="CCFFCC"/>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Page</w:t>
            </w:r>
          </w:p>
        </w:tc>
      </w:tr>
      <w:tr>
        <w:trPr>
          <w:trHeight w:val="223"/>
        </w:trPr>
        <w:tc>
          <w:tcPr>
            <w:tcW w:w="9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Report of BDO USA, LLP, An Independent Registered Public Accounting Firm</w:t>
            </w:r>
          </w:p>
        </w:tc>
        <w:tc>
          <w:tcPr>
            <w:tcW w:w="1300" w:type="dxa"/>
            <w:vAlign w:val="bottom"/>
            <w:shd w:val="clear" w:color="auto" w:fill="CCFFCC"/>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73</w:t>
              </w:r>
            </w:hyperlink>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Consolidated Balance Sheets as of December 31, 2020 and 2019</w:t>
            </w:r>
          </w:p>
        </w:tc>
        <w:tc>
          <w:tcPr>
            <w:tcW w:w="130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75</w:t>
              </w:r>
            </w:hyperlink>
          </w:p>
        </w:tc>
      </w:tr>
      <w:tr>
        <w:trPr>
          <w:trHeight w:val="229"/>
        </w:trPr>
        <w:tc>
          <w:tcPr>
            <w:tcW w:w="9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Statements of Operations for each of the years ended December 31, 2020, 2019 and 2018</w:t>
            </w:r>
          </w:p>
        </w:tc>
        <w:tc>
          <w:tcPr>
            <w:tcW w:w="1300" w:type="dxa"/>
            <w:vAlign w:val="bottom"/>
            <w:shd w:val="clear" w:color="auto" w:fill="CCFFCC"/>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Consolidated Statements of Comprehensive Loss for each of the years ended December 31, 2020, 2019 and 2018</w:t>
            </w:r>
          </w:p>
        </w:tc>
        <w:tc>
          <w:tcPr>
            <w:tcW w:w="130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77</w:t>
              </w:r>
            </w:hyperlink>
          </w:p>
        </w:tc>
      </w:tr>
      <w:tr>
        <w:trPr>
          <w:trHeight w:val="229"/>
        </w:trPr>
        <w:tc>
          <w:tcPr>
            <w:tcW w:w="9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Statements of Stockholders’ Equity for each of the years ended December 31, 2020, 2019 and 2018</w:t>
            </w:r>
          </w:p>
        </w:tc>
        <w:tc>
          <w:tcPr>
            <w:tcW w:w="1300" w:type="dxa"/>
            <w:vAlign w:val="bottom"/>
            <w:shd w:val="clear" w:color="auto" w:fill="CCFFCC"/>
          </w:tcPr>
          <w:p>
            <w:pPr>
              <w:jc w:val="right"/>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78</w:t>
              </w:r>
            </w:hyperlink>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Consolidated Statements of Cash Flows for each of the years ended December 31, 2020, 2019 and 2018</w:t>
            </w:r>
          </w:p>
        </w:tc>
        <w:tc>
          <w:tcPr>
            <w:tcW w:w="1300" w:type="dxa"/>
            <w:vAlign w:val="bottom"/>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79</w:t>
              </w:r>
            </w:hyperlink>
          </w:p>
        </w:tc>
      </w:tr>
      <w:tr>
        <w:trPr>
          <w:trHeight w:val="230"/>
        </w:trPr>
        <w:tc>
          <w:tcPr>
            <w:tcW w:w="9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300" w:type="dxa"/>
            <w:vAlign w:val="bottom"/>
            <w:shd w:val="clear" w:color="auto" w:fill="CCFFCC"/>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6" w:name="page77"/>
    <w:bookmarkEnd w:id="7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We have audited the accompanying consolidated balance sheets of LivePerson, Inc. and subsidiaries (the “Company”) as of December 31, 2020 and 2019, the related consolidated statements of operations, comprehensive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accounting principles generally accepted in the United States of America.</w:t>
      </w:r>
    </w:p>
    <w:p>
      <w:pPr>
        <w:spacing w:after="0" w:line="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(“COSO”) and our report dated March 8, 2021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56" w:lineRule="exact"/>
        <w:rPr>
          <w:sz w:val="20"/>
          <w:szCs w:val="20"/>
          <w:color w:val="auto"/>
        </w:rPr>
      </w:pPr>
    </w:p>
    <w:p>
      <w:pPr>
        <w:ind w:right="360" w:firstLine="180"/>
        <w:spacing w:after="0" w:line="277" w:lineRule="auto"/>
        <w:rPr>
          <w:sz w:val="20"/>
          <w:szCs w:val="20"/>
          <w:color w:val="auto"/>
        </w:rPr>
      </w:pPr>
      <w:r>
        <w:rPr>
          <w:rFonts w:ascii="Arial" w:cs="Arial" w:eastAsia="Arial" w:hAnsi="Arial"/>
          <w:sz w:val="18"/>
          <w:szCs w:val="18"/>
          <w:color w:val="auto"/>
        </w:rPr>
        <w:t>On January 1, 2019, the Company changed its method of accounting for leases due to the adoption of Accounting Standards Codification Topic 842, Leases. The effects of the adoption are described in Note 1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Contracts with Multiple Performance Obligations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Note 1 to the consolidated financial statements, certain of the Company’s revenue contracts contain multiple performance obligations primarily relating to the sale of hosted subscription and professional services. For these revenue contracts, the Company accounts for the individual performance obligations separately if they are distinct. The transaction price is allocated to the performance obligations based on their relative standalone selling prices. The Company determines the standalone selling prices based on its overall pricing objectives, taking into consideration market conditions and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other factors, including the value of its contracts, the cloud applications sold, and the number and types of users within its contracts.</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identified revenue recognition related to contracts that contain multiple performance obligations as a critical audit matter. The determination of whether multiple services within a contract are distinct performance obligations that should be accounted for separately and the estimates of the standalone selling price for each distinct performance obligation require management to exercise significant judgment that includes a high degree of subjectivity. Auditing these elements involved especially challenging auditor judgment due to the nature and extent of audit effort required to address these matters.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58" w:lineRule="exact"/>
        <w:rPr>
          <w:sz w:val="20"/>
          <w:szCs w:val="20"/>
          <w:color w:val="auto"/>
        </w:rPr>
      </w:pPr>
    </w:p>
    <w:p>
      <w:pPr>
        <w:ind w:left="660" w:hanging="328"/>
        <w:spacing w:after="0" w:line="258"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Testing the design and operating effectiveness of certain controls relating to management’s determination of standalone selling prices for each of the performance obligations.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Evaluating management’s technical accounting positions and assessing the reasonableness of management’s judgments and assumptions in the determination of whether the products and services are distinct performance obligations and the determination of the standalone selling prices for each of the performance obligations.</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Testing the reasonableness of the identification of distinct performance obligations and determination of the standalone selling prices through review of a sample of revenue contracts.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described in Note 7 to the consolidated financial statements, the Company issued $517.5 million aggregate principal amount of 0% Convertible Senior Notes (the “2026 Notes”) in a private placement in 2020. In accounting for the issuance of the 2026 Notes, the Company separated the 2026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determined by deducting the fair value of the liability component from the par value of the 2026 Notes.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identified the accounting evaluation, including the related fair value determinations, of the 2026 Notes as a critical audit matter. The principal considerations for our determination were: (i) the evaluation of the potential derivatives that needed to be bifurcated, and (ii) considerations related to determination of the fair value of the 2026 Notes and the conversion option including complex valuation models and assumptions utilized by management. Auditing these elements involved especially challenging auditor judgment due to the nature and extent of audit effort required to address these matters, including the extent of specialized skill or knowledge needed.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52" w:lineRule="exact"/>
        <w:rPr>
          <w:sz w:val="20"/>
          <w:szCs w:val="20"/>
          <w:color w:val="auto"/>
        </w:rPr>
      </w:pPr>
    </w:p>
    <w:p>
      <w:pPr>
        <w:jc w:val="both"/>
        <w:ind w:left="660" w:hanging="328"/>
        <w:spacing w:after="0" w:line="25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 in technical accounting to assist in: (i) evaluating the relevant terms and conditions of the 2026 Notes' agreements, and (ii) assessing the appropriateness of conclusions reached by the Company with respect to the accounting for the 2026 Notes and identification, assessment and accounting for potential derivatives.</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 in valuation to assist in assessing the appropriateness of the valuation models utilized by management to determine the fair value of the 2026 Notes and assessing the reasonableness of assumptions incorporated into the valuation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8" w:name="page79"/>
    <w:bookmarkEnd w:id="78"/>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654,152</w:t>
            </w:r>
          </w:p>
        </w:tc>
        <w:tc>
          <w:tcPr>
            <w:tcW w:w="56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176,523</w:t>
            </w:r>
          </w:p>
        </w:tc>
        <w:tc>
          <w:tcPr>
            <w:tcW w:w="0" w:type="dxa"/>
            <w:vAlign w:val="bottom"/>
          </w:tcPr>
          <w:p>
            <w:pPr>
              <w:spacing w:after="0"/>
              <w:rPr>
                <w:sz w:val="1"/>
                <w:szCs w:val="1"/>
                <w:color w:val="auto"/>
              </w:rPr>
            </w:pPr>
          </w:p>
        </w:tc>
      </w:tr>
      <w:tr>
        <w:trPr>
          <w:trHeight w:val="176"/>
        </w:trPr>
        <w:tc>
          <w:tcPr>
            <w:tcW w:w="8180" w:type="dxa"/>
            <w:vAlign w:val="bottom"/>
          </w:tcPr>
          <w:p>
            <w:pPr>
              <w:ind w:left="180"/>
              <w:spacing w:after="0" w:line="176" w:lineRule="exact"/>
              <w:rPr>
                <w:sz w:val="20"/>
                <w:szCs w:val="20"/>
                <w:color w:val="auto"/>
              </w:rPr>
            </w:pPr>
            <w:r>
              <w:rPr>
                <w:rFonts w:ascii="Arial" w:cs="Arial" w:eastAsia="Arial" w:hAnsi="Arial"/>
                <w:sz w:val="18"/>
                <w:szCs w:val="18"/>
                <w:color w:val="auto"/>
                <w:w w:val="99"/>
              </w:rPr>
              <w:t>Accounts receivable, net of allowance for doubtful accounts of $5,344 and $3,070, in 2020 and 2019,</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80,423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87,620</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14,236</w:t>
            </w:r>
          </w:p>
        </w:tc>
        <w:tc>
          <w:tcPr>
            <w:tcW w:w="12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748,811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278,107</w:t>
            </w:r>
          </w:p>
        </w:tc>
        <w:tc>
          <w:tcPr>
            <w:tcW w:w="0" w:type="dxa"/>
            <w:vAlign w:val="bottom"/>
          </w:tcPr>
          <w:p>
            <w:pPr>
              <w:spacing w:after="0"/>
              <w:rPr>
                <w:sz w:val="1"/>
                <w:szCs w:val="1"/>
                <w:color w:val="auto"/>
              </w:rPr>
            </w:pPr>
          </w:p>
        </w:tc>
      </w:tr>
      <w:tr>
        <w:trPr>
          <w:trHeight w:val="230"/>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lease right of use asset</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106,055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76,236</w:t>
            </w:r>
          </w:p>
        </w:tc>
        <w:tc>
          <w:tcPr>
            <w:tcW w:w="0" w:type="dxa"/>
            <w:vAlign w:val="bottom"/>
          </w:tcPr>
          <w:p>
            <w:pPr>
              <w:spacing w:after="0"/>
              <w:rPr>
                <w:sz w:val="1"/>
                <w:szCs w:val="1"/>
                <w:color w:val="auto"/>
              </w:rPr>
            </w:pPr>
          </w:p>
        </w:tc>
      </w:tr>
      <w:tr>
        <w:trPr>
          <w:trHeight w:val="229"/>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Contract acquisition costs</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41,021</w:t>
            </w:r>
          </w:p>
        </w:tc>
        <w:tc>
          <w:tcPr>
            <w:tcW w:w="120" w:type="dxa"/>
            <w:vAlign w:val="bottom"/>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31,965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29"/>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95,192</w:t>
            </w: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94,987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29"/>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1,006,432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512,710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14,115</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29"/>
        </w:trPr>
        <w:tc>
          <w:tcPr>
            <w:tcW w:w="8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99,870</w:t>
            </w: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62,778</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88,848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88,751</w:t>
            </w:r>
          </w:p>
        </w:tc>
        <w:tc>
          <w:tcPr>
            <w:tcW w:w="0" w:type="dxa"/>
            <w:vAlign w:val="bottom"/>
          </w:tcPr>
          <w:p>
            <w:pPr>
              <w:spacing w:after="0"/>
              <w:rPr>
                <w:sz w:val="1"/>
                <w:szCs w:val="1"/>
                <w:color w:val="auto"/>
              </w:rPr>
            </w:pPr>
          </w:p>
        </w:tc>
      </w:tr>
      <w:tr>
        <w:trPr>
          <w:trHeight w:val="230"/>
        </w:trPr>
        <w:tc>
          <w:tcPr>
            <w:tcW w:w="8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Operating lease liability</w:t>
            </w:r>
          </w:p>
        </w:tc>
        <w:tc>
          <w:tcPr>
            <w:tcW w:w="3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5,718</w:t>
            </w:r>
          </w:p>
        </w:tc>
        <w:tc>
          <w:tcPr>
            <w:tcW w:w="12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208,551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170,433</w:t>
            </w:r>
          </w:p>
        </w:tc>
        <w:tc>
          <w:tcPr>
            <w:tcW w:w="0" w:type="dxa"/>
            <w:vAlign w:val="bottom"/>
          </w:tcPr>
          <w:p>
            <w:pPr>
              <w:spacing w:after="0"/>
              <w:rPr>
                <w:sz w:val="1"/>
                <w:szCs w:val="1"/>
                <w:color w:val="auto"/>
              </w:rPr>
            </w:pPr>
          </w:p>
        </w:tc>
      </w:tr>
      <w:tr>
        <w:trPr>
          <w:trHeight w:val="230"/>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Convertible senior notes,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538,432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179,012</w:t>
            </w:r>
          </w:p>
        </w:tc>
        <w:tc>
          <w:tcPr>
            <w:tcW w:w="0" w:type="dxa"/>
            <w:vAlign w:val="bottom"/>
          </w:tcPr>
          <w:p>
            <w:pPr>
              <w:spacing w:after="0"/>
              <w:rPr>
                <w:sz w:val="1"/>
                <w:szCs w:val="1"/>
                <w:color w:val="auto"/>
              </w:rPr>
            </w:pPr>
          </w:p>
        </w:tc>
      </w:tr>
      <w:tr>
        <w:trPr>
          <w:trHeight w:val="229"/>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6,304</w:t>
            </w: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12,865</w:t>
            </w:r>
          </w:p>
        </w:tc>
        <w:tc>
          <w:tcPr>
            <w:tcW w:w="0" w:type="dxa"/>
            <w:vAlign w:val="bottom"/>
          </w:tcPr>
          <w:p>
            <w:pPr>
              <w:spacing w:after="0"/>
              <w:rPr>
                <w:sz w:val="1"/>
                <w:szCs w:val="1"/>
                <w:color w:val="auto"/>
              </w:rPr>
            </w:pPr>
          </w:p>
        </w:tc>
      </w:tr>
      <w:tr>
        <w:trPr>
          <w:trHeight w:val="230"/>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tax liability</w:t>
            </w:r>
          </w:p>
        </w:tc>
        <w:tc>
          <w:tcPr>
            <w:tcW w:w="3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762,498</w:t>
            </w:r>
          </w:p>
        </w:tc>
        <w:tc>
          <w:tcPr>
            <w:tcW w:w="120" w:type="dxa"/>
            <w:vAlign w:val="bottom"/>
            <w:tcBorders>
              <w:bottom w:val="single" w:sz="8" w:color="CCFFC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364,175</w:t>
            </w:r>
          </w:p>
        </w:tc>
        <w:tc>
          <w:tcPr>
            <w:tcW w:w="0" w:type="dxa"/>
            <w:vAlign w:val="bottom"/>
          </w:tcPr>
          <w:p>
            <w:pPr>
              <w:spacing w:after="0"/>
              <w:rPr>
                <w:sz w:val="1"/>
                <w:szCs w:val="1"/>
                <w:color w:val="auto"/>
              </w:rPr>
            </w:pPr>
          </w:p>
        </w:tc>
      </w:tr>
      <w:tr>
        <w:trPr>
          <w:trHeight w:val="237"/>
        </w:trPr>
        <w:tc>
          <w:tcPr>
            <w:tcW w:w="81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9)</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Preferred stock, $0.001 par value - 5,000,000 shares authorized, none issued</w:t>
            </w:r>
          </w:p>
        </w:tc>
        <w:tc>
          <w:tcPr>
            <w:tcW w:w="34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180" w:type="dxa"/>
            <w:vAlign w:val="bottom"/>
            <w:shd w:val="clear" w:color="auto" w:fill="CCFFCC"/>
          </w:tcPr>
          <w:p>
            <w:pPr>
              <w:ind w:left="180"/>
              <w:spacing w:after="0" w:line="176" w:lineRule="exact"/>
              <w:rPr>
                <w:sz w:val="20"/>
                <w:szCs w:val="20"/>
                <w:color w:val="auto"/>
              </w:rPr>
            </w:pPr>
            <w:r>
              <w:rPr>
                <w:rFonts w:ascii="Arial" w:cs="Arial" w:eastAsia="Arial" w:hAnsi="Arial"/>
                <w:sz w:val="18"/>
                <w:szCs w:val="18"/>
                <w:color w:val="auto"/>
                <w:w w:val="99"/>
              </w:rPr>
              <w:t>Common stock, $0.001 par value - 200,000,000 and 200,000,000 shares authorized, 70,264,265 and</w:t>
            </w:r>
          </w:p>
        </w:tc>
        <w:tc>
          <w:tcPr>
            <w:tcW w:w="34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80" w:type="dxa"/>
            <w:vAlign w:val="bottom"/>
            <w:shd w:val="clear" w:color="auto" w:fill="CCFFCC"/>
          </w:tcPr>
          <w:p>
            <w:pPr>
              <w:ind w:left="180"/>
              <w:spacing w:after="0" w:line="176" w:lineRule="exact"/>
              <w:rPr>
                <w:sz w:val="20"/>
                <w:szCs w:val="20"/>
                <w:color w:val="auto"/>
              </w:rPr>
            </w:pPr>
            <w:r>
              <w:rPr>
                <w:rFonts w:ascii="Arial" w:cs="Arial" w:eastAsia="Arial" w:hAnsi="Arial"/>
                <w:sz w:val="18"/>
                <w:szCs w:val="18"/>
                <w:color w:val="auto"/>
                <w:w w:val="91"/>
              </w:rPr>
              <w:t>66,543,073 shares issued, and 67,554,435 and 63,833,243 shares outstanding as of December 31, 2020 and</w:t>
            </w:r>
          </w:p>
        </w:tc>
        <w:tc>
          <w:tcPr>
            <w:tcW w:w="340" w:type="dxa"/>
            <w:vAlign w:val="bottom"/>
            <w:shd w:val="clear" w:color="auto" w:fill="CCFFCC"/>
          </w:tcPr>
          <w:p>
            <w:pPr>
              <w:spacing w:after="0"/>
              <w:rPr>
                <w:sz w:val="15"/>
                <w:szCs w:val="15"/>
                <w:color w:val="auto"/>
              </w:rPr>
            </w:pPr>
          </w:p>
        </w:tc>
        <w:tc>
          <w:tcPr>
            <w:tcW w:w="116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960" w:type="dxa"/>
            <w:vAlign w:val="bottom"/>
            <w:vMerge w:val="restart"/>
            <w:shd w:val="clear" w:color="auto" w:fill="CCFFCC"/>
          </w:tcPr>
          <w:p>
            <w:pPr>
              <w:jc w:val="right"/>
              <w:ind w:right="9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8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2019, respectively</w:t>
            </w:r>
          </w:p>
        </w:tc>
        <w:tc>
          <w:tcPr>
            <w:tcW w:w="340" w:type="dxa"/>
            <w:vAlign w:val="bottom"/>
            <w:shd w:val="clear" w:color="auto" w:fill="CCFFCC"/>
          </w:tcPr>
          <w:p>
            <w:pPr>
              <w:spacing w:after="0"/>
              <w:rPr>
                <w:sz w:val="19"/>
                <w:szCs w:val="19"/>
                <w:color w:val="auto"/>
              </w:rPr>
            </w:pPr>
          </w:p>
        </w:tc>
        <w:tc>
          <w:tcPr>
            <w:tcW w:w="1160" w:type="dxa"/>
            <w:vAlign w:val="bottom"/>
            <w:vMerge w:val="continue"/>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vMerge w:val="continue"/>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635,672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436,557</w:t>
            </w:r>
          </w:p>
        </w:tc>
        <w:tc>
          <w:tcPr>
            <w:tcW w:w="0" w:type="dxa"/>
            <w:vAlign w:val="bottom"/>
          </w:tcPr>
          <w:p>
            <w:pPr>
              <w:spacing w:after="0"/>
              <w:rPr>
                <w:sz w:val="1"/>
                <w:szCs w:val="1"/>
                <w:color w:val="auto"/>
              </w:rPr>
            </w:pPr>
          </w:p>
        </w:tc>
      </w:tr>
      <w:tr>
        <w:trPr>
          <w:trHeight w:val="230"/>
        </w:trPr>
        <w:tc>
          <w:tcPr>
            <w:tcW w:w="8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Treasury stock, at cost; 2,709,830 shares</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(391,885)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(283,562)</w:t>
            </w:r>
          </w:p>
        </w:tc>
        <w:tc>
          <w:tcPr>
            <w:tcW w:w="0" w:type="dxa"/>
            <w:vAlign w:val="bottom"/>
          </w:tcPr>
          <w:p>
            <w:pPr>
              <w:spacing w:after="0"/>
              <w:rPr>
                <w:sz w:val="1"/>
                <w:szCs w:val="1"/>
                <w:color w:val="auto"/>
              </w:rPr>
            </w:pPr>
          </w:p>
        </w:tc>
      </w:tr>
      <w:tr>
        <w:trPr>
          <w:trHeight w:val="229"/>
        </w:trPr>
        <w:tc>
          <w:tcPr>
            <w:tcW w:w="8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243,934</w:t>
            </w:r>
          </w:p>
        </w:tc>
        <w:tc>
          <w:tcPr>
            <w:tcW w:w="120" w:type="dxa"/>
            <w:vAlign w:val="bottom"/>
            <w:tcBorders>
              <w:bottom w:val="single" w:sz="8" w:color="CCFFC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148,535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FFCC"/>
          </w:tcPr>
          <w:p>
            <w:pPr>
              <w:jc w:val="right"/>
              <w:ind w:right="91"/>
              <w:spacing w:after="0"/>
              <w:rPr>
                <w:sz w:val="20"/>
                <w:szCs w:val="20"/>
                <w:color w:val="auto"/>
              </w:rPr>
            </w:pPr>
            <w:r>
              <w:rPr>
                <w:rFonts w:ascii="Arial" w:cs="Arial" w:eastAsia="Arial" w:hAnsi="Arial"/>
                <w:sz w:val="18"/>
                <w:szCs w:val="18"/>
                <w:color w:val="auto"/>
              </w:rPr>
              <w:t>1,006,432</w:t>
            </w: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512,710</w:t>
            </w:r>
          </w:p>
        </w:tc>
        <w:tc>
          <w:tcPr>
            <w:tcW w:w="0" w:type="dxa"/>
            <w:vAlign w:val="bottom"/>
          </w:tcPr>
          <w:p>
            <w:pPr>
              <w:spacing w:after="0"/>
              <w:rPr>
                <w:sz w:val="1"/>
                <w:szCs w:val="1"/>
                <w:color w:val="auto"/>
              </w:rPr>
            </w:pPr>
          </w:p>
        </w:tc>
      </w:tr>
      <w:tr>
        <w:trPr>
          <w:trHeight w:val="20"/>
        </w:trPr>
        <w:tc>
          <w:tcPr>
            <w:tcW w:w="81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9" w:name="page80"/>
    <w:bookmarkEnd w:id="79"/>
    <w:p>
      <w:pPr>
        <w:ind w:left="514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ind w:left="100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2018</w:t>
            </w:r>
          </w:p>
        </w:tc>
      </w:tr>
      <w:tr>
        <w:trPr>
          <w:trHeight w:val="226"/>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366,620</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291,609</w:t>
            </w:r>
          </w:p>
        </w:tc>
        <w:tc>
          <w:tcPr>
            <w:tcW w:w="10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249,838</w:t>
            </w:r>
          </w:p>
        </w:tc>
      </w:tr>
      <w:tr>
        <w:trPr>
          <w:trHeight w:val="209"/>
        </w:trPr>
        <w:tc>
          <w:tcPr>
            <w:tcW w:w="6760" w:type="dxa"/>
            <w:vAlign w:val="bottom"/>
          </w:tcPr>
          <w:p>
            <w:pPr>
              <w:ind w:left="20"/>
              <w:spacing w:after="0" w:line="210" w:lineRule="exact"/>
              <w:rPr>
                <w:sz w:val="20"/>
                <w:szCs w:val="20"/>
                <w:color w:val="auto"/>
              </w:rPr>
            </w:pPr>
            <w:r>
              <w:rPr>
                <w:rFonts w:ascii="Arial" w:cs="Arial" w:eastAsia="Arial" w:hAnsi="Arial"/>
                <w:sz w:val="18"/>
                <w:szCs w:val="18"/>
                <w:color w:val="auto"/>
              </w:rPr>
              <w:t xml:space="preserve">Costs and expenses: </w:t>
            </w:r>
            <w:r>
              <w:rPr>
                <w:rFonts w:ascii="Arial" w:cs="Arial" w:eastAsia="Arial" w:hAnsi="Arial"/>
                <w:sz w:val="23"/>
                <w:szCs w:val="23"/>
                <w:color w:val="auto"/>
                <w:vertAlign w:val="superscript"/>
              </w:rPr>
              <w:t>(1) (2)</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760" w:type="dxa"/>
            <w:vAlign w:val="bottom"/>
            <w:shd w:val="clear" w:color="auto" w:fill="CCFFCC"/>
          </w:tcPr>
          <w:p>
            <w:pPr>
              <w:ind w:left="180"/>
              <w:spacing w:after="0" w:line="230"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(3)</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106,268</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78,878</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62,479</w:t>
            </w:r>
          </w:p>
        </w:tc>
      </w:tr>
      <w:tr>
        <w:trPr>
          <w:trHeight w:val="229"/>
        </w:trPr>
        <w:tc>
          <w:tcPr>
            <w:tcW w:w="67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156,814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103,344</w:t>
            </w:r>
          </w:p>
        </w:tc>
      </w:tr>
      <w:tr>
        <w:trPr>
          <w:trHeight w:val="229"/>
        </w:trPr>
        <w:tc>
          <w:tcPr>
            <w:tcW w:w="6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60,557</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56,967</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45,873</w:t>
            </w: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82,145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55,707</w:t>
            </w:r>
          </w:p>
        </w:tc>
      </w:tr>
      <w:tr>
        <w:trPr>
          <w:trHeight w:val="229"/>
        </w:trPr>
        <w:tc>
          <w:tcPr>
            <w:tcW w:w="6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Restructuring costs</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4,468</w:t>
            </w:r>
          </w:p>
        </w:tc>
      </w:tr>
      <w:tr>
        <w:trPr>
          <w:trHeight w:val="230"/>
        </w:trPr>
        <w:tc>
          <w:tcPr>
            <w:tcW w:w="67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r>
      <w:tr>
        <w:trPr>
          <w:trHeight w:val="223"/>
        </w:trPr>
        <w:tc>
          <w:tcPr>
            <w:tcW w:w="67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456,071</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378,641</w:t>
            </w:r>
          </w:p>
        </w:tc>
        <w:tc>
          <w:tcPr>
            <w:tcW w:w="10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273,541</w:t>
            </w: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(23,703)</w:t>
            </w:r>
          </w:p>
        </w:tc>
      </w:tr>
      <w:tr>
        <w:trPr>
          <w:trHeight w:val="229"/>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Interest (expense)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7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center"/>
              <w:ind w:left="556"/>
              <w:spacing w:after="0"/>
              <w:rPr>
                <w:sz w:val="20"/>
                <w:szCs w:val="20"/>
                <w:color w:val="auto"/>
              </w:rPr>
            </w:pPr>
            <w:r>
              <w:rPr>
                <w:rFonts w:ascii="Arial" w:cs="Arial" w:eastAsia="Arial" w:hAnsi="Arial"/>
                <w:sz w:val="18"/>
                <w:szCs w:val="18"/>
                <w:color w:val="auto"/>
                <w:w w:val="95"/>
              </w:rPr>
              <w:t>(493)</w:t>
            </w:r>
          </w:p>
        </w:tc>
      </w:tr>
      <w:tr>
        <w:trPr>
          <w:trHeight w:val="223"/>
        </w:trPr>
        <w:tc>
          <w:tcPr>
            <w:tcW w:w="676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56"/>
              <w:spacing w:after="0"/>
              <w:rPr>
                <w:sz w:val="20"/>
                <w:szCs w:val="20"/>
                <w:color w:val="auto"/>
              </w:rPr>
            </w:pPr>
            <w:r>
              <w:rPr>
                <w:rFonts w:ascii="Arial" w:cs="Arial" w:eastAsia="Arial" w:hAnsi="Arial"/>
                <w:sz w:val="18"/>
                <w:szCs w:val="18"/>
                <w:color w:val="auto"/>
                <w:w w:val="95"/>
              </w:rPr>
              <w:t>(471)</w:t>
            </w:r>
          </w:p>
        </w:tc>
      </w:tr>
      <w:tr>
        <w:trPr>
          <w:trHeight w:val="223"/>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(105,128)</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(93,226)</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(24,174)</w:t>
            </w:r>
          </w:p>
        </w:tc>
      </w:tr>
      <w:tr>
        <w:trPr>
          <w:trHeight w:val="229"/>
        </w:trPr>
        <w:tc>
          <w:tcPr>
            <w:tcW w:w="676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48"/>
        </w:trPr>
        <w:tc>
          <w:tcPr>
            <w:tcW w:w="6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(107,594)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(96,071)</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(25,032)</w:t>
            </w:r>
          </w:p>
        </w:tc>
      </w:tr>
      <w:tr>
        <w:trPr>
          <w:trHeight w:val="20"/>
        </w:trPr>
        <w:tc>
          <w:tcPr>
            <w:tcW w:w="67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 per share of common stock:</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676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6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67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r>
        <w:trPr>
          <w:trHeight w:val="217"/>
        </w:trPr>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Weighted-average shares used to compute net loss income per share:</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65,888,450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62,593,026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59,203,400</w:t>
            </w:r>
          </w:p>
        </w:tc>
      </w:tr>
      <w:tr>
        <w:trPr>
          <w:trHeight w:val="20"/>
        </w:trPr>
        <w:tc>
          <w:tcPr>
            <w:tcW w:w="676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6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65,888,450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62,593,026</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59,203,400</w:t>
            </w:r>
          </w:p>
        </w:tc>
      </w:tr>
      <w:tr>
        <w:trPr>
          <w:trHeight w:val="20"/>
        </w:trPr>
        <w:tc>
          <w:tcPr>
            <w:tcW w:w="67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7"/>
        </w:trPr>
        <w:tc>
          <w:tcPr>
            <w:tcW w:w="676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r>
      <w:tr>
        <w:trPr>
          <w:trHeight w:val="216"/>
        </w:trPr>
        <w:tc>
          <w:tcPr>
            <w:tcW w:w="6760" w:type="dxa"/>
            <w:vAlign w:val="bottom"/>
          </w:tcPr>
          <w:p>
            <w:pPr>
              <w:ind w:left="140"/>
              <w:spacing w:after="0" w:line="216"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Amounts include stock compensation expense, as follows: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7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6,511</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4,218</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996</w:t>
            </w:r>
          </w:p>
        </w:tc>
      </w:tr>
      <w:tr>
        <w:trPr>
          <w:trHeight w:val="213"/>
        </w:trPr>
        <w:tc>
          <w:tcPr>
            <w:tcW w:w="6760" w:type="dxa"/>
            <w:vAlign w:val="bottom"/>
          </w:tcPr>
          <w:p>
            <w:pPr>
              <w:ind w:left="48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center"/>
              <w:ind w:left="556"/>
              <w:spacing w:after="0"/>
              <w:rPr>
                <w:sz w:val="20"/>
                <w:szCs w:val="20"/>
                <w:color w:val="auto"/>
              </w:rPr>
            </w:pPr>
            <w:r>
              <w:rPr>
                <w:rFonts w:ascii="Arial" w:cs="Arial" w:eastAsia="Arial" w:hAnsi="Arial"/>
                <w:sz w:val="14"/>
                <w:szCs w:val="14"/>
                <w:color w:val="auto"/>
                <w:w w:val="91"/>
              </w:rPr>
              <w:t>5,374</w:t>
            </w:r>
          </w:p>
        </w:tc>
      </w:tr>
      <w:tr>
        <w:trPr>
          <w:trHeight w:val="219"/>
        </w:trPr>
        <w:tc>
          <w:tcPr>
            <w:tcW w:w="67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15,772</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12,216</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center"/>
              <w:ind w:left="556"/>
              <w:spacing w:after="0"/>
              <w:rPr>
                <w:sz w:val="20"/>
                <w:szCs w:val="20"/>
                <w:color w:val="auto"/>
              </w:rPr>
            </w:pPr>
            <w:r>
              <w:rPr>
                <w:rFonts w:ascii="Arial" w:cs="Arial" w:eastAsia="Arial" w:hAnsi="Arial"/>
                <w:sz w:val="14"/>
                <w:szCs w:val="14"/>
                <w:color w:val="auto"/>
                <w:w w:val="91"/>
              </w:rPr>
              <w:t>4,921</w:t>
            </w:r>
          </w:p>
        </w:tc>
      </w:tr>
      <w:tr>
        <w:trPr>
          <w:trHeight w:val="213"/>
        </w:trPr>
        <w:tc>
          <w:tcPr>
            <w:tcW w:w="6760" w:type="dxa"/>
            <w:vAlign w:val="bottom"/>
          </w:tcPr>
          <w:p>
            <w:pPr>
              <w:ind w:left="48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center"/>
              <w:ind w:left="556"/>
              <w:spacing w:after="0"/>
              <w:rPr>
                <w:sz w:val="20"/>
                <w:szCs w:val="20"/>
                <w:color w:val="auto"/>
              </w:rPr>
            </w:pPr>
            <w:r>
              <w:rPr>
                <w:rFonts w:ascii="Arial" w:cs="Arial" w:eastAsia="Arial" w:hAnsi="Arial"/>
                <w:sz w:val="14"/>
                <w:szCs w:val="14"/>
                <w:color w:val="auto"/>
                <w:w w:val="91"/>
              </w:rPr>
              <w:t>3,550</w:t>
            </w:r>
          </w:p>
        </w:tc>
      </w:tr>
      <w:tr>
        <w:trPr>
          <w:trHeight w:val="260"/>
        </w:trPr>
        <w:tc>
          <w:tcPr>
            <w:tcW w:w="676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r>
      <w:tr>
        <w:trPr>
          <w:trHeight w:val="216"/>
        </w:trPr>
        <w:tc>
          <w:tcPr>
            <w:tcW w:w="6760" w:type="dxa"/>
            <w:vAlign w:val="bottom"/>
          </w:tcPr>
          <w:p>
            <w:pPr>
              <w:ind w:left="140"/>
              <w:spacing w:after="0" w:line="216" w:lineRule="exact"/>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Amounts include depreciation and amortization expense, as follows: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7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10,082</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8,557</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center"/>
              <w:ind w:left="556"/>
              <w:spacing w:after="0"/>
              <w:rPr>
                <w:sz w:val="20"/>
                <w:szCs w:val="20"/>
                <w:color w:val="auto"/>
              </w:rPr>
            </w:pPr>
            <w:r>
              <w:rPr>
                <w:rFonts w:ascii="Arial" w:cs="Arial" w:eastAsia="Arial" w:hAnsi="Arial"/>
                <w:sz w:val="14"/>
                <w:szCs w:val="14"/>
                <w:color w:val="auto"/>
                <w:w w:val="91"/>
              </w:rPr>
              <w:t>7,831</w:t>
            </w:r>
          </w:p>
        </w:tc>
      </w:tr>
      <w:tr>
        <w:trPr>
          <w:trHeight w:val="213"/>
        </w:trPr>
        <w:tc>
          <w:tcPr>
            <w:tcW w:w="6760" w:type="dxa"/>
            <w:vAlign w:val="bottom"/>
          </w:tcPr>
          <w:p>
            <w:pPr>
              <w:ind w:left="48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center"/>
              <w:ind w:left="556"/>
              <w:spacing w:after="0"/>
              <w:rPr>
                <w:sz w:val="20"/>
                <w:szCs w:val="20"/>
                <w:color w:val="auto"/>
              </w:rPr>
            </w:pPr>
            <w:r>
              <w:rPr>
                <w:rFonts w:ascii="Arial" w:cs="Arial" w:eastAsia="Arial" w:hAnsi="Arial"/>
                <w:sz w:val="14"/>
                <w:szCs w:val="14"/>
                <w:color w:val="auto"/>
                <w:w w:val="91"/>
              </w:rPr>
              <w:t>1,520</w:t>
            </w:r>
          </w:p>
        </w:tc>
      </w:tr>
      <w:tr>
        <w:trPr>
          <w:trHeight w:val="219"/>
        </w:trPr>
        <w:tc>
          <w:tcPr>
            <w:tcW w:w="67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center"/>
              <w:ind w:left="556"/>
              <w:spacing w:after="0"/>
              <w:rPr>
                <w:sz w:val="20"/>
                <w:szCs w:val="20"/>
                <w:color w:val="auto"/>
              </w:rPr>
            </w:pPr>
            <w:r>
              <w:rPr>
                <w:rFonts w:ascii="Arial" w:cs="Arial" w:eastAsia="Arial" w:hAnsi="Arial"/>
                <w:sz w:val="14"/>
                <w:szCs w:val="14"/>
                <w:color w:val="auto"/>
                <w:w w:val="91"/>
              </w:rPr>
              <w:t>1,083</w:t>
            </w:r>
          </w:p>
        </w:tc>
      </w:tr>
      <w:tr>
        <w:trPr>
          <w:trHeight w:val="213"/>
        </w:trPr>
        <w:tc>
          <w:tcPr>
            <w:tcW w:w="6760" w:type="dxa"/>
            <w:vAlign w:val="bottom"/>
          </w:tcPr>
          <w:p>
            <w:pPr>
              <w:ind w:left="48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center"/>
              <w:ind w:left="556"/>
              <w:spacing w:after="0"/>
              <w:rPr>
                <w:sz w:val="20"/>
                <w:szCs w:val="20"/>
                <w:color w:val="auto"/>
              </w:rPr>
            </w:pPr>
            <w:r>
              <w:rPr>
                <w:rFonts w:ascii="Arial" w:cs="Arial" w:eastAsia="Arial" w:hAnsi="Arial"/>
                <w:sz w:val="14"/>
                <w:szCs w:val="14"/>
                <w:color w:val="auto"/>
                <w:w w:val="91"/>
              </w:rPr>
              <w:t>3,754</w:t>
            </w:r>
          </w:p>
        </w:tc>
      </w:tr>
      <w:tr>
        <w:trPr>
          <w:trHeight w:val="260"/>
        </w:trPr>
        <w:tc>
          <w:tcPr>
            <w:tcW w:w="676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080" w:type="dxa"/>
            <w:vAlign w:val="bottom"/>
            <w:shd w:val="clear" w:color="auto" w:fill="CCFFCC"/>
          </w:tcPr>
          <w:p>
            <w:pPr>
              <w:spacing w:after="0"/>
              <w:rPr>
                <w:sz w:val="22"/>
                <w:szCs w:val="22"/>
                <w:color w:val="auto"/>
              </w:rPr>
            </w:pPr>
          </w:p>
        </w:tc>
      </w:tr>
      <w:tr>
        <w:trPr>
          <w:trHeight w:val="216"/>
        </w:trPr>
        <w:tc>
          <w:tcPr>
            <w:tcW w:w="6760" w:type="dxa"/>
            <w:vAlign w:val="bottom"/>
          </w:tcPr>
          <w:p>
            <w:pPr>
              <w:ind w:left="140"/>
              <w:spacing w:after="0" w:line="216" w:lineRule="exact"/>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Amounts include amortization of purchased intangibles and finance leases, as follows: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7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1,913</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center"/>
              <w:ind w:left="556"/>
              <w:spacing w:after="0"/>
              <w:rPr>
                <w:sz w:val="20"/>
                <w:szCs w:val="20"/>
                <w:color w:val="auto"/>
              </w:rPr>
            </w:pPr>
            <w:r>
              <w:rPr>
                <w:rFonts w:ascii="Arial" w:cs="Arial" w:eastAsia="Arial" w:hAnsi="Arial"/>
                <w:sz w:val="14"/>
                <w:szCs w:val="14"/>
                <w:color w:val="auto"/>
                <w:w w:val="91"/>
              </w:rPr>
              <w:t>1,143</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0" w:name="page81"/>
    <w:bookmarkEnd w:id="80"/>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r>
      <w:tr>
        <w:trPr>
          <w:trHeight w:val="226"/>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(107,594)</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(96,071)</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(25,032)</w:t>
            </w:r>
          </w:p>
        </w:tc>
      </w:tr>
      <w:tr>
        <w:trPr>
          <w:trHeight w:val="229"/>
        </w:trPr>
        <w:tc>
          <w:tcPr>
            <w:tcW w:w="676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r>
      <w:tr>
        <w:trPr>
          <w:trHeight w:val="248"/>
        </w:trPr>
        <w:tc>
          <w:tcPr>
            <w:tcW w:w="6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(102,990)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(96,164)</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(26,928)</w:t>
            </w:r>
          </w:p>
        </w:tc>
      </w:tr>
      <w:tr>
        <w:trPr>
          <w:trHeight w:val="20"/>
        </w:trPr>
        <w:tc>
          <w:tcPr>
            <w:tcW w:w="67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1" w:name="page82"/>
    <w:bookmarkEnd w:id="81"/>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166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Common Stock</w:t>
            </w:r>
          </w:p>
        </w:tc>
        <w:tc>
          <w:tcPr>
            <w:tcW w:w="1680" w:type="dxa"/>
            <w:vAlign w:val="bottom"/>
            <w:gridSpan w:val="5"/>
            <w:vMerge w:val="restart"/>
          </w:tcPr>
          <w:p>
            <w:pPr>
              <w:ind w:left="4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Accumulated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2"/>
                <w:szCs w:val="12"/>
                <w:b w:val="1"/>
                <w:bCs w:val="1"/>
                <w:color w:val="auto"/>
                <w:w w:val="93"/>
              </w:rPr>
              <w:t>Other</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w w:val="99"/>
              </w:rPr>
              <w:t>Paid-in</w:t>
            </w:r>
          </w:p>
        </w:tc>
        <w:tc>
          <w:tcPr>
            <w:tcW w:w="900" w:type="dxa"/>
            <w:vAlign w:val="bottom"/>
            <w:gridSpan w:val="3"/>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0" w:type="dxa"/>
            <w:vAlign w:val="bottom"/>
            <w:gridSpan w:val="3"/>
            <w:vMerge w:val="restart"/>
          </w:tcPr>
          <w:p>
            <w:pPr>
              <w:jc w:val="center"/>
              <w:ind w:right="60"/>
              <w:spacing w:after="0" w:line="108" w:lineRule="exact"/>
              <w:rPr>
                <w:sz w:val="20"/>
                <w:szCs w:val="20"/>
                <w:color w:val="auto"/>
              </w:rPr>
            </w:pPr>
            <w:r>
              <w:rPr>
                <w:rFonts w:ascii="Arial" w:cs="Arial" w:eastAsia="Arial" w:hAnsi="Arial"/>
                <w:sz w:val="12"/>
                <w:szCs w:val="12"/>
                <w:b w:val="1"/>
                <w:bCs w:val="1"/>
                <w:color w:val="auto"/>
                <w:w w:val="86"/>
              </w:rPr>
              <w:t>Comprehensive</w:t>
            </w: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2"/>
                <w:szCs w:val="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
                <w:szCs w:val="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48"/>
        </w:trPr>
        <w:tc>
          <w:tcPr>
            <w:tcW w:w="4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2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8"/>
              </w:rPr>
              <w:t>Loss</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at December 31, 2017</w:t>
            </w: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4"/>
              </w:rPr>
              <w:t>59,663,969</w:t>
            </w:r>
          </w:p>
        </w:tc>
        <w:tc>
          <w:tcPr>
            <w:tcW w:w="8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auto"/>
            </w:tcBorders>
            <w:shd w:val="clear" w:color="auto" w:fill="CCFFCC"/>
          </w:tcPr>
          <w:p>
            <w:pPr>
              <w:spacing w:after="0"/>
              <w:rPr>
                <w:sz w:val="15"/>
                <w:szCs w:val="15"/>
                <w:color w:val="auto"/>
              </w:rPr>
            </w:pPr>
          </w:p>
        </w:tc>
        <w:tc>
          <w:tcPr>
            <w:tcW w:w="6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top w:val="single" w:sz="8" w:color="CCFFCC"/>
            </w:tcBorders>
            <w:shd w:val="clear" w:color="auto" w:fill="CCFFCC"/>
          </w:tcPr>
          <w:p>
            <w:pPr>
              <w:spacing w:after="0"/>
              <w:rPr>
                <w:sz w:val="15"/>
                <w:szCs w:val="15"/>
                <w:color w:val="auto"/>
              </w:rPr>
            </w:pP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7"/>
              </w:rPr>
              <w:t>(2,587,535)</w:t>
            </w:r>
          </w:p>
        </w:tc>
        <w:tc>
          <w:tcPr>
            <w:tcW w:w="8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640" w:type="dxa"/>
            <w:vAlign w:val="bottom"/>
            <w:tcBorders>
              <w:top w:val="single" w:sz="8" w:color="auto"/>
            </w:tcBorders>
            <w:shd w:val="clear" w:color="auto" w:fill="CCFFCC"/>
          </w:tcPr>
          <w:p>
            <w:pPr>
              <w:ind w:left="440"/>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spacing w:after="0"/>
              <w:rPr>
                <w:sz w:val="15"/>
                <w:szCs w:val="15"/>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305,676</w:t>
            </w:r>
          </w:p>
        </w:tc>
        <w:tc>
          <w:tcPr>
            <w:tcW w:w="10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spacing w:after="0"/>
              <w:rPr>
                <w:sz w:val="15"/>
                <w:szCs w:val="15"/>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(163,135)</w:t>
            </w:r>
          </w:p>
        </w:tc>
        <w:tc>
          <w:tcPr>
            <w:tcW w:w="8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auto"/>
            </w:tcBorders>
            <w:shd w:val="clear" w:color="auto" w:fill="CCFFCC"/>
          </w:tcPr>
          <w:p>
            <w:pPr>
              <w:spacing w:after="0"/>
              <w:rPr>
                <w:sz w:val="15"/>
                <w:szCs w:val="15"/>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(2,535)</w:t>
            </w:r>
          </w:p>
        </w:tc>
        <w:tc>
          <w:tcPr>
            <w:tcW w:w="80" w:type="dxa"/>
            <w:vAlign w:val="bottom"/>
            <w:tcBorders>
              <w:top w:val="single" w:sz="8" w:color="CCFFCC"/>
            </w:tcBorders>
            <w:shd w:val="clear" w:color="auto" w:fill="CCFFCC"/>
          </w:tcPr>
          <w:p>
            <w:pPr>
              <w:spacing w:after="0"/>
              <w:rPr>
                <w:sz w:val="15"/>
                <w:szCs w:val="15"/>
                <w:color w:val="auto"/>
              </w:rPr>
            </w:pPr>
          </w:p>
        </w:tc>
        <w:tc>
          <w:tcPr>
            <w:tcW w:w="220" w:type="dxa"/>
            <w:vAlign w:val="bottom"/>
            <w:tcBorders>
              <w:top w:val="single" w:sz="8" w:color="auto"/>
            </w:tcBorders>
            <w:shd w:val="clear" w:color="auto" w:fill="CCFFCC"/>
          </w:tcPr>
          <w:p>
            <w:pPr>
              <w:spacing w:after="0"/>
              <w:rPr>
                <w:sz w:val="15"/>
                <w:szCs w:val="15"/>
                <w:color w:val="auto"/>
              </w:rPr>
            </w:pPr>
          </w:p>
        </w:tc>
        <w:tc>
          <w:tcPr>
            <w:tcW w:w="7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140,063</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Common stock issued upon 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3,120,404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32,788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32,791</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Common stock issued upon vesting of restricted stock units</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361,539</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FFCC"/>
          </w:tcPr>
          <w:p>
            <w:pPr>
              <w:spacing w:after="0"/>
              <w:rPr>
                <w:sz w:val="16"/>
                <w:szCs w:val="16"/>
                <w:color w:val="auto"/>
              </w:rPr>
            </w:pP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14,841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14,841</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Common stock issued under Employee Stock Purchase Plan</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150,989</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2,480</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2,480</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Common stock repurchase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(93,750)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ASC 606 prior period adjustment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676</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Issuance of common stock in connection with acquisitions</w:t>
            </w:r>
          </w:p>
        </w:tc>
        <w:tc>
          <w:tcPr>
            <w:tcW w:w="740" w:type="dxa"/>
            <w:vAlign w:val="bottom"/>
          </w:tcPr>
          <w:p>
            <w:pPr>
              <w:jc w:val="right"/>
              <w:spacing w:after="0"/>
              <w:rPr>
                <w:sz w:val="20"/>
                <w:szCs w:val="20"/>
                <w:color w:val="auto"/>
              </w:rPr>
            </w:pPr>
            <w:r>
              <w:rPr>
                <w:rFonts w:ascii="Arial" w:cs="Arial" w:eastAsia="Arial" w:hAnsi="Arial"/>
                <w:sz w:val="14"/>
                <w:szCs w:val="14"/>
                <w:color w:val="auto"/>
              </w:rPr>
              <w:t>379,328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8,150</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(25,032)</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(25,032)</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186"/>
        </w:trPr>
        <w:tc>
          <w:tcPr>
            <w:tcW w:w="41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at December 31, 2018</w:t>
            </w: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4"/>
              </w:rPr>
              <w:t>63,676,229</w:t>
            </w:r>
          </w:p>
        </w:tc>
        <w:tc>
          <w:tcPr>
            <w:tcW w:w="8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6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64</w:t>
            </w:r>
          </w:p>
        </w:tc>
        <w:tc>
          <w:tcPr>
            <w:tcW w:w="80" w:type="dxa"/>
            <w:vAlign w:val="bottom"/>
            <w:tcBorders>
              <w:top w:val="single" w:sz="8" w:color="CCFFCC"/>
            </w:tcBorders>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7"/>
              </w:rPr>
              <w:t>(2,681,285)</w:t>
            </w:r>
          </w:p>
        </w:tc>
        <w:tc>
          <w:tcPr>
            <w:tcW w:w="8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auto"/>
            </w:tcBorders>
            <w:shd w:val="clear" w:color="auto" w:fill="CCFFCC"/>
          </w:tcPr>
          <w:p>
            <w:pPr>
              <w:spacing w:after="0"/>
              <w:rPr>
                <w:sz w:val="16"/>
                <w:szCs w:val="16"/>
                <w:color w:val="auto"/>
              </w:rPr>
            </w:pPr>
          </w:p>
        </w:tc>
        <w:tc>
          <w:tcPr>
            <w:tcW w:w="640" w:type="dxa"/>
            <w:vAlign w:val="bottom"/>
            <w:tcBorders>
              <w:top w:val="single" w:sz="8" w:color="auto"/>
            </w:tcBorders>
            <w:shd w:val="clear" w:color="auto" w:fill="CCFFCC"/>
          </w:tcPr>
          <w:p>
            <w:pPr>
              <w:ind w:left="440"/>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362,590</w:t>
            </w:r>
          </w:p>
        </w:tc>
        <w:tc>
          <w:tcPr>
            <w:tcW w:w="10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auto"/>
            </w:tcBorders>
            <w:shd w:val="clear" w:color="auto" w:fill="CCFFCC"/>
          </w:tcPr>
          <w:p>
            <w:pPr>
              <w:spacing w:after="0"/>
              <w:rPr>
                <w:sz w:val="16"/>
                <w:szCs w:val="16"/>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(187,491)</w:t>
            </w:r>
          </w:p>
        </w:tc>
        <w:tc>
          <w:tcPr>
            <w:tcW w:w="8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(4,431)</w:t>
            </w:r>
          </w:p>
        </w:tc>
        <w:tc>
          <w:tcPr>
            <w:tcW w:w="80" w:type="dxa"/>
            <w:vAlign w:val="bottom"/>
            <w:tcBorders>
              <w:top w:val="single" w:sz="8" w:color="CCFFCC"/>
            </w:tcBorders>
            <w:shd w:val="clear" w:color="auto" w:fill="CCFFCC"/>
          </w:tcPr>
          <w:p>
            <w:pPr>
              <w:spacing w:after="0"/>
              <w:rPr>
                <w:sz w:val="16"/>
                <w:szCs w:val="16"/>
                <w:color w:val="auto"/>
              </w:rPr>
            </w:pPr>
          </w:p>
        </w:tc>
        <w:tc>
          <w:tcPr>
            <w:tcW w:w="220" w:type="dxa"/>
            <w:vAlign w:val="bottom"/>
            <w:tcBorders>
              <w:top w:val="single" w:sz="8" w:color="auto"/>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170,729</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Common stock issued upon 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1,523,018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16,918</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Common stock issued upon vesting of restricted stock units</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1,197,576</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FFCC"/>
          </w:tcPr>
          <w:p>
            <w:pPr>
              <w:spacing w:after="0"/>
              <w:rPr>
                <w:sz w:val="16"/>
                <w:szCs w:val="16"/>
                <w:color w:val="auto"/>
              </w:rPr>
            </w:pP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25,083</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Common stock issued under Employee Stock Purchase Plan</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146,250</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4,142</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4,142</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Common stock repurchase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(28,545)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Equity component of convertible senior notes</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52,900</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52,900</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Equity component of convertible senior notes issuance costs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Purchase of capped call option</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(23,184)</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(23,184)</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(96,071)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(96,071)</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79"/>
        </w:trPr>
        <w:tc>
          <w:tcPr>
            <w:tcW w:w="416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66,543,073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(2,709,830)</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436,557</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(283,562)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(4,524)</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148,535</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Common stock issued upon exercise of stock options</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1,683,315</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FFCC"/>
          </w:tcPr>
          <w:p>
            <w:pPr>
              <w:spacing w:after="0"/>
              <w:rPr>
                <w:sz w:val="16"/>
                <w:szCs w:val="16"/>
                <w:color w:val="auto"/>
              </w:rPr>
            </w:pP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21,353</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21,354</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Common stock issued upon vesting of restricted stock units</w:t>
            </w:r>
          </w:p>
        </w:tc>
        <w:tc>
          <w:tcPr>
            <w:tcW w:w="740" w:type="dxa"/>
            <w:vAlign w:val="bottom"/>
          </w:tcPr>
          <w:p>
            <w:pPr>
              <w:jc w:val="right"/>
              <w:spacing w:after="0"/>
              <w:rPr>
                <w:sz w:val="20"/>
                <w:szCs w:val="20"/>
                <w:color w:val="auto"/>
              </w:rPr>
            </w:pPr>
            <w:r>
              <w:rPr>
                <w:rFonts w:ascii="Arial" w:cs="Arial" w:eastAsia="Arial" w:hAnsi="Arial"/>
                <w:sz w:val="14"/>
                <w:szCs w:val="14"/>
                <w:color w:val="auto"/>
              </w:rPr>
              <w:t>915,827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4160" w:type="dxa"/>
            <w:vAlign w:val="bottom"/>
            <w:shd w:val="clear" w:color="auto" w:fill="CCFFCC"/>
          </w:tcPr>
          <w:p>
            <w:pPr>
              <w:ind w:left="220"/>
              <w:spacing w:after="0" w:line="139" w:lineRule="exact"/>
              <w:rPr>
                <w:sz w:val="20"/>
                <w:szCs w:val="20"/>
                <w:color w:val="auto"/>
              </w:rPr>
            </w:pPr>
            <w:r>
              <w:rPr>
                <w:rFonts w:ascii="Arial" w:cs="Arial" w:eastAsia="Arial" w:hAnsi="Arial"/>
                <w:sz w:val="14"/>
                <w:szCs w:val="14"/>
                <w:color w:val="auto"/>
              </w:rPr>
              <w:t>Common stock as earnout payment in connection with</w:t>
            </w:r>
          </w:p>
        </w:tc>
        <w:tc>
          <w:tcPr>
            <w:tcW w:w="74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11,508</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720" w:type="dxa"/>
            <w:vAlign w:val="bottom"/>
            <w:gridSpan w:val="2"/>
            <w:vMerge w:val="restart"/>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66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8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70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89"/>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AdvantageTec Inc.</w:t>
            </w:r>
          </w:p>
        </w:tc>
        <w:tc>
          <w:tcPr>
            <w:tcW w:w="740" w:type="dxa"/>
            <w:vAlign w:val="bottom"/>
            <w:vMerge w:val="continue"/>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20" w:type="dxa"/>
            <w:vAlign w:val="bottom"/>
            <w:gridSpan w:val="2"/>
            <w:vMerge w:val="continue"/>
            <w:shd w:val="clear" w:color="auto" w:fill="CCFFCC"/>
          </w:tcPr>
          <w:p>
            <w:pPr>
              <w:spacing w:after="0"/>
              <w:rPr>
                <w:sz w:val="16"/>
                <w:szCs w:val="16"/>
                <w:color w:val="auto"/>
              </w:rPr>
            </w:pPr>
          </w:p>
        </w:tc>
        <w:tc>
          <w:tcPr>
            <w:tcW w:w="820" w:type="dxa"/>
            <w:vAlign w:val="bottom"/>
            <w:gridSpan w:val="2"/>
            <w:vMerge w:val="continue"/>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20" w:type="dxa"/>
            <w:vAlign w:val="bottom"/>
            <w:gridSpan w:val="2"/>
            <w:vMerge w:val="continue"/>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60" w:type="dxa"/>
            <w:vAlign w:val="bottom"/>
            <w:vMerge w:val="continue"/>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vMerge w:val="continue"/>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gridSpan w:val="2"/>
            <w:vMerge w:val="continue"/>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00" w:type="dxa"/>
            <w:vAlign w:val="bottom"/>
            <w:vMerge w:val="continue"/>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36,132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36,132</w:t>
            </w:r>
          </w:p>
        </w:tc>
        <w:tc>
          <w:tcPr>
            <w:tcW w:w="0" w:type="dxa"/>
            <w:vAlign w:val="bottom"/>
          </w:tcPr>
          <w:p>
            <w:pPr>
              <w:spacing w:after="0"/>
              <w:rPr>
                <w:sz w:val="1"/>
                <w:szCs w:val="1"/>
                <w:color w:val="auto"/>
              </w:rPr>
            </w:pPr>
          </w:p>
        </w:tc>
      </w:tr>
      <w:tr>
        <w:trPr>
          <w:trHeight w:val="138"/>
        </w:trPr>
        <w:tc>
          <w:tcPr>
            <w:tcW w:w="4160" w:type="dxa"/>
            <w:vAlign w:val="bottom"/>
            <w:shd w:val="clear" w:color="auto" w:fill="CCFFCC"/>
          </w:tcPr>
          <w:p>
            <w:pPr>
              <w:ind w:left="220"/>
              <w:spacing w:after="0" w:line="139" w:lineRule="exact"/>
              <w:rPr>
                <w:sz w:val="20"/>
                <w:szCs w:val="20"/>
                <w:color w:val="auto"/>
              </w:rPr>
            </w:pPr>
            <w:r>
              <w:rPr>
                <w:rFonts w:ascii="Arial" w:cs="Arial" w:eastAsia="Arial" w:hAnsi="Arial"/>
                <w:sz w:val="14"/>
                <w:szCs w:val="14"/>
                <w:color w:val="auto"/>
                <w:w w:val="96"/>
              </w:rPr>
              <w:t>Bonus cash payment settled in shares of the Company's common</w:t>
            </w:r>
          </w:p>
        </w:tc>
        <w:tc>
          <w:tcPr>
            <w:tcW w:w="74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991,905</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FFCC"/>
          </w:tcPr>
          <w:p>
            <w:pPr>
              <w:spacing w:after="0"/>
              <w:rPr>
                <w:sz w:val="12"/>
                <w:szCs w:val="12"/>
                <w:color w:val="auto"/>
              </w:rPr>
            </w:pPr>
          </w:p>
        </w:tc>
        <w:tc>
          <w:tcPr>
            <w:tcW w:w="820" w:type="dxa"/>
            <w:vAlign w:val="bottom"/>
            <w:gridSpan w:val="2"/>
            <w:vMerge w:val="restart"/>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720" w:type="dxa"/>
            <w:vAlign w:val="bottom"/>
            <w:gridSpan w:val="2"/>
            <w:vMerge w:val="restart"/>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66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24,656</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8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70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24,657</w:t>
            </w:r>
          </w:p>
        </w:tc>
        <w:tc>
          <w:tcPr>
            <w:tcW w:w="0" w:type="dxa"/>
            <w:vAlign w:val="bottom"/>
          </w:tcPr>
          <w:p>
            <w:pPr>
              <w:spacing w:after="0"/>
              <w:rPr>
                <w:sz w:val="1"/>
                <w:szCs w:val="1"/>
                <w:color w:val="auto"/>
              </w:rPr>
            </w:pPr>
          </w:p>
        </w:tc>
      </w:tr>
      <w:tr>
        <w:trPr>
          <w:trHeight w:val="189"/>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stock</w:t>
            </w:r>
          </w:p>
        </w:tc>
        <w:tc>
          <w:tcPr>
            <w:tcW w:w="740" w:type="dxa"/>
            <w:vAlign w:val="bottom"/>
            <w:vMerge w:val="continue"/>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640" w:type="dxa"/>
            <w:vAlign w:val="bottom"/>
            <w:vMerge w:val="continue"/>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20" w:type="dxa"/>
            <w:vAlign w:val="bottom"/>
            <w:gridSpan w:val="2"/>
            <w:vMerge w:val="continue"/>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20" w:type="dxa"/>
            <w:vAlign w:val="bottom"/>
            <w:gridSpan w:val="2"/>
            <w:vMerge w:val="continue"/>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60" w:type="dxa"/>
            <w:vAlign w:val="bottom"/>
            <w:vMerge w:val="continue"/>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vMerge w:val="continue"/>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gridSpan w:val="2"/>
            <w:vMerge w:val="continue"/>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00" w:type="dxa"/>
            <w:vAlign w:val="bottom"/>
            <w:vMerge w:val="continue"/>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ASU 2016-13 (Topic 326) Adjustment (See note 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Common stock issued under Employee Stock Purchase Plan</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118,637</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4,002</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4,002</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Equity component of convertible senior notes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162,534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162,534</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Equity component of convertible senior notes issuance costs</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(3,797)</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Purchase of capped call option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(46,058)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(46,058)</w:t>
            </w:r>
          </w:p>
        </w:tc>
        <w:tc>
          <w:tcPr>
            <w:tcW w:w="0" w:type="dxa"/>
            <w:vAlign w:val="bottom"/>
          </w:tcPr>
          <w:p>
            <w:pPr>
              <w:spacing w:after="0"/>
              <w:rPr>
                <w:sz w:val="1"/>
                <w:szCs w:val="1"/>
                <w:color w:val="auto"/>
              </w:rPr>
            </w:pPr>
          </w:p>
        </w:tc>
      </w:tr>
      <w:tr>
        <w:trPr>
          <w:trHeight w:val="192"/>
        </w:trPr>
        <w:tc>
          <w:tcPr>
            <w:tcW w:w="4160" w:type="dxa"/>
            <w:vAlign w:val="bottom"/>
            <w:shd w:val="clear" w:color="auto" w:fill="CCFFCC"/>
          </w:tcPr>
          <w:p>
            <w:pPr>
              <w:ind w:left="22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(107,594)</w:t>
            </w: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(107,594)</w:t>
            </w:r>
          </w:p>
        </w:tc>
        <w:tc>
          <w:tcPr>
            <w:tcW w:w="0" w:type="dxa"/>
            <w:vAlign w:val="bottom"/>
          </w:tcPr>
          <w:p>
            <w:pPr>
              <w:spacing w:after="0"/>
              <w:rPr>
                <w:sz w:val="1"/>
                <w:szCs w:val="1"/>
                <w:color w:val="auto"/>
              </w:rPr>
            </w:pPr>
          </w:p>
        </w:tc>
      </w:tr>
      <w:tr>
        <w:trPr>
          <w:trHeight w:val="186"/>
        </w:trPr>
        <w:tc>
          <w:tcPr>
            <w:tcW w:w="416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4,604</w:t>
            </w:r>
          </w:p>
        </w:tc>
        <w:tc>
          <w:tcPr>
            <w:tcW w:w="0" w:type="dxa"/>
            <w:vAlign w:val="bottom"/>
          </w:tcPr>
          <w:p>
            <w:pPr>
              <w:spacing w:after="0"/>
              <w:rPr>
                <w:sz w:val="1"/>
                <w:szCs w:val="1"/>
                <w:color w:val="auto"/>
              </w:rPr>
            </w:pPr>
          </w:p>
        </w:tc>
      </w:tr>
      <w:tr>
        <w:trPr>
          <w:trHeight w:val="211"/>
        </w:trPr>
        <w:tc>
          <w:tcPr>
            <w:tcW w:w="41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at December 31, 2020</w:t>
            </w: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4"/>
              </w:rPr>
              <w:t>70,264,265</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7"/>
              </w:rPr>
              <w:t>(2,709,830)</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FFCC"/>
          </w:tcPr>
          <w:p>
            <w:pPr>
              <w:ind w:left="440"/>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635,672</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ind w:right="13"/>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(391,885)</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80</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220" w:type="dxa"/>
            <w:vAlign w:val="bottom"/>
            <w:tcBorders>
              <w:top w:val="single" w:sz="8" w:color="auto"/>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243,934</w:t>
            </w:r>
          </w:p>
        </w:tc>
        <w:tc>
          <w:tcPr>
            <w:tcW w:w="0" w:type="dxa"/>
            <w:vAlign w:val="bottom"/>
          </w:tcPr>
          <w:p>
            <w:pPr>
              <w:spacing w:after="0"/>
              <w:rPr>
                <w:sz w:val="1"/>
                <w:szCs w:val="1"/>
                <w:color w:val="auto"/>
              </w:rPr>
            </w:pPr>
          </w:p>
        </w:tc>
      </w:tr>
      <w:tr>
        <w:trPr>
          <w:trHeight w:val="20"/>
        </w:trPr>
        <w:tc>
          <w:tcPr>
            <w:tcW w:w="416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64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64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6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66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32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199"/>
        </w:trPr>
        <w:tc>
          <w:tcPr>
            <w:tcW w:w="8320" w:type="dxa"/>
            <w:vAlign w:val="bottom"/>
            <w:shd w:val="clear" w:color="auto" w:fill="CCFFCC"/>
          </w:tcPr>
          <w:p>
            <w:pPr>
              <w:ind w:left="20"/>
              <w:spacing w:after="0"/>
              <w:rPr>
                <w:sz w:val="20"/>
                <w:szCs w:val="20"/>
                <w:color w:val="auto"/>
              </w:rPr>
            </w:pPr>
            <w:r>
              <w:rPr>
                <w:rFonts w:ascii="Arial" w:cs="Arial" w:eastAsia="Arial" w:hAnsi="Arial"/>
                <w:sz w:val="16"/>
                <w:szCs w:val="16"/>
                <w:color w:val="auto"/>
              </w:rPr>
              <w:t>OPERATING ACTIVITIES:</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(107,594)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(96,071)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(25,032)</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65,946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14,841</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22,826</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16,366</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14,188</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Loss on disposal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Amortization of tenant allowance</w:t>
            </w:r>
          </w:p>
        </w:tc>
        <w:tc>
          <w:tcPr>
            <w:tcW w:w="16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(326)</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Amortization of purchased intangibles and finance leases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2,813</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1,340</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956</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Accretion of debt discount on convertible senior notes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11,564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Provision for doubtful accounts, net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1,788</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(1,207)</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(309)</w:t>
            </w:r>
          </w:p>
        </w:tc>
      </w:tr>
      <w:tr>
        <w:trPr>
          <w:trHeight w:val="108"/>
        </w:trPr>
        <w:tc>
          <w:tcPr>
            <w:tcW w:w="8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16"/>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(43,757)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(9,662)</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(4,712)</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(12,993)</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Contract acquisition costs noncurrent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2,199</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22,931</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(10,882)</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19,005</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Decrease in net operating lease asset and liability</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8,276</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Deferred tax liability</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214</w:t>
            </w:r>
          </w:p>
        </w:tc>
      </w:tr>
      <w:tr>
        <w:trPr>
          <w:trHeight w:val="207"/>
        </w:trPr>
        <w:tc>
          <w:tcPr>
            <w:tcW w:w="8320" w:type="dxa"/>
            <w:vAlign w:val="bottom"/>
            <w:tcBorders>
              <w:bottom w:val="single" w:sz="8" w:color="CCFFCC"/>
            </w:tcBorders>
          </w:tcPr>
          <w:p>
            <w:pPr>
              <w:ind w:left="68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33,605</w:t>
            </w:r>
          </w:p>
        </w:tc>
        <w:tc>
          <w:tcPr>
            <w:tcW w:w="100" w:type="dxa"/>
            <w:vAlign w:val="bottom"/>
            <w:tcBorders>
              <w:bottom w:val="single" w:sz="8" w:color="CCFFC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(59,158)</w:t>
            </w:r>
          </w:p>
        </w:tc>
        <w:tc>
          <w:tcPr>
            <w:tcW w:w="120" w:type="dxa"/>
            <w:vAlign w:val="bottom"/>
            <w:tcBorders>
              <w:bottom w:val="single" w:sz="8" w:color="CCFFC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4,779</w:t>
            </w:r>
          </w:p>
        </w:tc>
      </w:tr>
      <w:tr>
        <w:trPr>
          <w:trHeight w:val="91"/>
        </w:trPr>
        <w:tc>
          <w:tcPr>
            <w:tcW w:w="8320" w:type="dxa"/>
            <w:vAlign w:val="bottom"/>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74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(41,641)</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(47,582)</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(21,938)</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Payments for acquisitions and intangible assets, net of cash acquired</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(7,286)</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Cash held as collateral</w:t>
            </w:r>
          </w:p>
        </w:tc>
        <w:tc>
          <w:tcPr>
            <w:tcW w:w="16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1,451</w:t>
            </w:r>
          </w:p>
        </w:tc>
      </w:tr>
      <w:tr>
        <w:trPr>
          <w:trHeight w:val="206"/>
        </w:trPr>
        <w:tc>
          <w:tcPr>
            <w:tcW w:w="8320" w:type="dxa"/>
            <w:vAlign w:val="bottom"/>
            <w:tcBorders>
              <w:bottom w:val="single" w:sz="8" w:color="CCFFCC"/>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(43,476)</w:t>
            </w:r>
          </w:p>
        </w:tc>
        <w:tc>
          <w:tcPr>
            <w:tcW w:w="100" w:type="dxa"/>
            <w:vAlign w:val="bottom"/>
            <w:tcBorders>
              <w:bottom w:val="single" w:sz="8" w:color="CCFFC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(48,506)</w:t>
            </w:r>
          </w:p>
        </w:tc>
        <w:tc>
          <w:tcPr>
            <w:tcW w:w="120" w:type="dxa"/>
            <w:vAlign w:val="bottom"/>
            <w:tcBorders>
              <w:bottom w:val="single" w:sz="8" w:color="CCFFC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(27,773)</w:t>
            </w:r>
          </w:p>
        </w:tc>
      </w:tr>
      <w:tr>
        <w:trPr>
          <w:trHeight w:val="91"/>
        </w:trPr>
        <w:tc>
          <w:tcPr>
            <w:tcW w:w="8320" w:type="dxa"/>
            <w:vAlign w:val="bottom"/>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74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Principal payments for financing leases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Repurchase of common stock</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Proceeds from issuance of common stock in connection with the exercise of options and ESPP</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25,355</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21,060</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35,271</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517,500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Payment of issuance costs in connection with convertible senior notes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(11,800)</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(8,635)</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Payment related to contingent consideration</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Purchase of capped call option</w:t>
            </w:r>
          </w:p>
        </w:tc>
        <w:tc>
          <w:tcPr>
            <w:tcW w:w="160" w:type="dxa"/>
            <w:vAlign w:val="bottom"/>
            <w:tcBorders>
              <w:bottom w:val="single" w:sz="8" w:color="auto"/>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(46,058)</w:t>
            </w:r>
          </w:p>
        </w:tc>
        <w:tc>
          <w:tcPr>
            <w:tcW w:w="1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(23,184)</w:t>
            </w:r>
          </w:p>
        </w:tc>
        <w:tc>
          <w:tcPr>
            <w:tcW w:w="1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20" w:type="dxa"/>
            <w:vAlign w:val="bottom"/>
            <w:tcBorders>
              <w:bottom w:val="single" w:sz="8" w:color="CCFFCC"/>
            </w:tcBorders>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483,843</w:t>
            </w:r>
          </w:p>
        </w:tc>
        <w:tc>
          <w:tcPr>
            <w:tcW w:w="100" w:type="dxa"/>
            <w:vAlign w:val="bottom"/>
            <w:tcBorders>
              <w:bottom w:val="single" w:sz="8" w:color="CCFFC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217,851</w:t>
            </w:r>
          </w:p>
        </w:tc>
        <w:tc>
          <w:tcPr>
            <w:tcW w:w="120" w:type="dxa"/>
            <w:vAlign w:val="bottom"/>
            <w:tcBorders>
              <w:bottom w:val="single" w:sz="8" w:color="CCFFC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33,926</w:t>
            </w:r>
          </w:p>
        </w:tc>
      </w:tr>
      <w:tr>
        <w:trPr>
          <w:trHeight w:val="213"/>
        </w:trPr>
        <w:tc>
          <w:tcPr>
            <w:tcW w:w="8320" w:type="dxa"/>
            <w:vAlign w:val="bottom"/>
            <w:shd w:val="clear" w:color="auto" w:fill="CCFFCC"/>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60" w:type="dxa"/>
            <w:vAlign w:val="bottom"/>
            <w:tcBorders>
              <w:bottom w:val="single" w:sz="8" w:color="auto"/>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3,657</w:t>
            </w:r>
          </w:p>
        </w:tc>
        <w:tc>
          <w:tcPr>
            <w:tcW w:w="10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(598)</w:t>
            </w:r>
          </w:p>
        </w:tc>
      </w:tr>
      <w:tr>
        <w:trPr>
          <w:trHeight w:val="206"/>
        </w:trPr>
        <w:tc>
          <w:tcPr>
            <w:tcW w:w="832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477,629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110,074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10,334</w:t>
            </w:r>
          </w:p>
        </w:tc>
      </w:tr>
      <w:tr>
        <w:trPr>
          <w:trHeight w:val="216"/>
        </w:trPr>
        <w:tc>
          <w:tcPr>
            <w:tcW w:w="83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AND CASH EQUIVALENTS - Beginning of the year</w:t>
            </w:r>
          </w:p>
        </w:tc>
        <w:tc>
          <w:tcPr>
            <w:tcW w:w="160" w:type="dxa"/>
            <w:vAlign w:val="bottom"/>
            <w:tcBorders>
              <w:bottom w:val="single" w:sz="8" w:color="auto"/>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176,523</w:t>
            </w:r>
          </w:p>
        </w:tc>
        <w:tc>
          <w:tcPr>
            <w:tcW w:w="10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66,449</w:t>
            </w:r>
          </w:p>
        </w:tc>
        <w:tc>
          <w:tcPr>
            <w:tcW w:w="1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56,115</w:t>
            </w:r>
          </w:p>
        </w:tc>
      </w:tr>
      <w:tr>
        <w:trPr>
          <w:trHeight w:val="212"/>
        </w:trPr>
        <w:tc>
          <w:tcPr>
            <w:tcW w:w="8320" w:type="dxa"/>
            <w:vAlign w:val="bottom"/>
          </w:tcPr>
          <w:p>
            <w:pPr>
              <w:ind w:left="20"/>
              <w:spacing w:after="0"/>
              <w:rPr>
                <w:sz w:val="20"/>
                <w:szCs w:val="20"/>
                <w:color w:val="auto"/>
              </w:rPr>
            </w:pPr>
            <w:r>
              <w:rPr>
                <w:rFonts w:ascii="Arial" w:cs="Arial" w:eastAsia="Arial" w:hAnsi="Arial"/>
                <w:sz w:val="16"/>
                <w:szCs w:val="16"/>
                <w:color w:val="auto"/>
              </w:rPr>
              <w:t>CASH AND CASH EQUIVALENTS - End of the year</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176,523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66,449</w:t>
            </w:r>
          </w:p>
        </w:tc>
      </w:tr>
      <w:tr>
        <w:trPr>
          <w:trHeight w:val="20"/>
        </w:trPr>
        <w:tc>
          <w:tcPr>
            <w:tcW w:w="8320" w:type="dxa"/>
            <w:vAlign w:val="bottom"/>
            <w:tcBorders>
              <w:bottom w:val="single" w:sz="8" w:color="CCFFC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75"/>
        </w:trPr>
        <w:tc>
          <w:tcPr>
            <w:tcW w:w="8320" w:type="dxa"/>
            <w:vAlign w:val="bottom"/>
            <w:shd w:val="clear" w:color="auto" w:fill="CCFFCC"/>
          </w:tcPr>
          <w:p>
            <w:pPr>
              <w:spacing w:after="0"/>
              <w:rPr>
                <w:sz w:val="6"/>
                <w:szCs w:val="6"/>
                <w:color w:val="auto"/>
              </w:rPr>
            </w:pPr>
          </w:p>
        </w:tc>
        <w:tc>
          <w:tcPr>
            <w:tcW w:w="160" w:type="dxa"/>
            <w:vAlign w:val="bottom"/>
            <w:shd w:val="clear" w:color="auto" w:fill="CCFFCC"/>
          </w:tcPr>
          <w:p>
            <w:pPr>
              <w:spacing w:after="0"/>
              <w:rPr>
                <w:sz w:val="6"/>
                <w:szCs w:val="6"/>
                <w:color w:val="auto"/>
              </w:rPr>
            </w:pPr>
          </w:p>
        </w:tc>
        <w:tc>
          <w:tcPr>
            <w:tcW w:w="740" w:type="dxa"/>
            <w:vAlign w:val="bottom"/>
            <w:shd w:val="clear" w:color="auto" w:fill="CCFFCC"/>
          </w:tcPr>
          <w:p>
            <w:pPr>
              <w:spacing w:after="0"/>
              <w:rPr>
                <w:sz w:val="6"/>
                <w:szCs w:val="6"/>
                <w:color w:val="auto"/>
              </w:rPr>
            </w:pPr>
          </w:p>
        </w:tc>
        <w:tc>
          <w:tcPr>
            <w:tcW w:w="100" w:type="dxa"/>
            <w:vAlign w:val="bottom"/>
            <w:shd w:val="clear" w:color="auto" w:fill="CCFFCC"/>
          </w:tcPr>
          <w:p>
            <w:pPr>
              <w:spacing w:after="0"/>
              <w:rPr>
                <w:sz w:val="6"/>
                <w:szCs w:val="6"/>
                <w:color w:val="auto"/>
              </w:rPr>
            </w:pPr>
          </w:p>
        </w:tc>
        <w:tc>
          <w:tcPr>
            <w:tcW w:w="200" w:type="dxa"/>
            <w:vAlign w:val="bottom"/>
            <w:shd w:val="clear" w:color="auto" w:fill="CCFFCC"/>
          </w:tcPr>
          <w:p>
            <w:pPr>
              <w:spacing w:after="0"/>
              <w:rPr>
                <w:sz w:val="6"/>
                <w:szCs w:val="6"/>
                <w:color w:val="auto"/>
              </w:rPr>
            </w:pPr>
          </w:p>
        </w:tc>
        <w:tc>
          <w:tcPr>
            <w:tcW w:w="700" w:type="dxa"/>
            <w:vAlign w:val="bottom"/>
            <w:shd w:val="clear" w:color="auto" w:fill="CCFFCC"/>
          </w:tcPr>
          <w:p>
            <w:pPr>
              <w:spacing w:after="0"/>
              <w:rPr>
                <w:sz w:val="6"/>
                <w:szCs w:val="6"/>
                <w:color w:val="auto"/>
              </w:rPr>
            </w:pPr>
          </w:p>
        </w:tc>
        <w:tc>
          <w:tcPr>
            <w:tcW w:w="120" w:type="dxa"/>
            <w:vAlign w:val="bottom"/>
            <w:shd w:val="clear" w:color="auto" w:fill="CCFFCC"/>
          </w:tcPr>
          <w:p>
            <w:pPr>
              <w:spacing w:after="0"/>
              <w:rPr>
                <w:sz w:val="6"/>
                <w:szCs w:val="6"/>
                <w:color w:val="auto"/>
              </w:rPr>
            </w:pPr>
          </w:p>
        </w:tc>
        <w:tc>
          <w:tcPr>
            <w:tcW w:w="200" w:type="dxa"/>
            <w:vAlign w:val="bottom"/>
            <w:shd w:val="clear" w:color="auto" w:fill="CCFFCC"/>
          </w:tcPr>
          <w:p>
            <w:pPr>
              <w:spacing w:after="0"/>
              <w:rPr>
                <w:sz w:val="6"/>
                <w:szCs w:val="6"/>
                <w:color w:val="auto"/>
              </w:rPr>
            </w:pPr>
          </w:p>
        </w:tc>
        <w:tc>
          <w:tcPr>
            <w:tcW w:w="700" w:type="dxa"/>
            <w:vAlign w:val="bottom"/>
            <w:shd w:val="clear" w:color="auto" w:fill="CCFFCC"/>
          </w:tcPr>
          <w:p>
            <w:pPr>
              <w:spacing w:after="0"/>
              <w:rPr>
                <w:sz w:val="6"/>
                <w:szCs w:val="6"/>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SUPPLEMENTAL DISCLOSURE OF OTHER CASH FLOW INFORMATION: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8320" w:type="dxa"/>
            <w:vAlign w:val="bottom"/>
            <w:shd w:val="clear" w:color="auto" w:fill="CCFFCC"/>
          </w:tcPr>
          <w:p>
            <w:pPr>
              <w:ind w:left="220"/>
              <w:spacing w:after="0"/>
              <w:rPr>
                <w:sz w:val="20"/>
                <w:szCs w:val="20"/>
                <w:color w:val="auto"/>
              </w:rPr>
            </w:pPr>
            <w:r>
              <w:rPr>
                <w:rFonts w:ascii="Arial" w:cs="Arial" w:eastAsia="Arial" w:hAnsi="Arial"/>
                <w:sz w:val="16"/>
                <w:szCs w:val="16"/>
                <w:color w:val="auto"/>
              </w:rPr>
              <w:t>Cash paid for income taxes</w:t>
            </w:r>
          </w:p>
        </w:tc>
        <w:tc>
          <w:tcPr>
            <w:tcW w:w="160" w:type="dxa"/>
            <w:vAlign w:val="bottom"/>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4,651</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3,304</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5,144</w:t>
            </w:r>
          </w:p>
        </w:tc>
      </w:tr>
      <w:tr>
        <w:trPr>
          <w:trHeight w:val="216"/>
        </w:trPr>
        <w:tc>
          <w:tcPr>
            <w:tcW w:w="8320" w:type="dxa"/>
            <w:vAlign w:val="bottom"/>
          </w:tcPr>
          <w:p>
            <w:pPr>
              <w:ind w:left="220"/>
              <w:spacing w:after="0"/>
              <w:rPr>
                <w:sz w:val="20"/>
                <w:szCs w:val="20"/>
                <w:color w:val="auto"/>
              </w:rPr>
            </w:pPr>
            <w:r>
              <w:rPr>
                <w:rFonts w:ascii="Arial" w:cs="Arial" w:eastAsia="Arial" w:hAnsi="Arial"/>
                <w:sz w:val="16"/>
                <w:szCs w:val="16"/>
                <w:color w:val="auto"/>
              </w:rPr>
              <w:t>Cash paid for interest</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320" w:type="dxa"/>
            <w:vAlign w:val="bottom"/>
            <w:tcBorders>
              <w:bottom w:val="single" w:sz="8" w:color="CCFFC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8320" w:type="dxa"/>
            <w:vAlign w:val="bottom"/>
            <w:shd w:val="clear" w:color="auto" w:fill="CCFFCC"/>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6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Purchase of property and equipment recorded in accounts payable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190</w:t>
            </w:r>
          </w:p>
        </w:tc>
      </w:tr>
    </w:tbl>
    <w:p>
      <w:pPr>
        <w:spacing w:after="0" w:line="200" w:lineRule="exact"/>
        <w:rPr>
          <w:sz w:val="20"/>
          <w:szCs w:val="20"/>
          <w:color w:val="auto"/>
        </w:rPr>
      </w:pP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8040" w:type="dxa"/>
            <w:vAlign w:val="bottom"/>
            <w:shd w:val="clear" w:color="auto" w:fill="CCFFCC"/>
          </w:tcPr>
          <w:p>
            <w:pPr>
              <w:ind w:left="220"/>
              <w:spacing w:after="0"/>
              <w:rPr>
                <w:sz w:val="20"/>
                <w:szCs w:val="20"/>
                <w:color w:val="auto"/>
              </w:rPr>
            </w:pPr>
            <w:r>
              <w:rPr>
                <w:rFonts w:ascii="Arial" w:cs="Arial" w:eastAsia="Arial" w:hAnsi="Arial"/>
                <w:sz w:val="16"/>
                <w:szCs w:val="16"/>
                <w:color w:val="auto"/>
              </w:rPr>
              <w:t>Leasehold improvements funded by landlord</w:t>
            </w:r>
          </w:p>
        </w:tc>
        <w:tc>
          <w:tcPr>
            <w:tcW w:w="52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1,551</w:t>
            </w:r>
          </w:p>
        </w:tc>
      </w:tr>
      <w:tr>
        <w:trPr>
          <w:trHeight w:val="216"/>
        </w:trPr>
        <w:tc>
          <w:tcPr>
            <w:tcW w:w="80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Right of use assets obtained in exchange for operating lease liabilities </w:t>
            </w:r>
            <w:r>
              <w:rPr>
                <w:rFonts w:ascii="Arial" w:cs="Arial" w:eastAsia="Arial" w:hAnsi="Arial"/>
                <w:sz w:val="21"/>
                <w:szCs w:val="21"/>
                <w:color w:val="auto"/>
                <w:vertAlign w:val="superscript"/>
              </w:rPr>
              <w:t>(1)</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21,588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40" w:type="dxa"/>
            <w:vAlign w:val="bottom"/>
            <w:shd w:val="clear" w:color="auto" w:fill="CCFFCC"/>
          </w:tcPr>
          <w:p>
            <w:pPr>
              <w:ind w:left="220"/>
              <w:spacing w:after="0"/>
              <w:rPr>
                <w:sz w:val="20"/>
                <w:szCs w:val="20"/>
                <w:color w:val="auto"/>
              </w:rPr>
            </w:pPr>
            <w:r>
              <w:rPr>
                <w:rFonts w:ascii="Arial" w:cs="Arial" w:eastAsia="Arial" w:hAnsi="Arial"/>
                <w:sz w:val="16"/>
                <w:szCs w:val="16"/>
                <w:color w:val="auto"/>
              </w:rPr>
              <w:t>Right of use assets obtained in exchange for finance lease liabilities</w:t>
            </w:r>
          </w:p>
        </w:tc>
        <w:tc>
          <w:tcPr>
            <w:tcW w:w="52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10,818</w:t>
            </w:r>
          </w:p>
        </w:tc>
        <w:tc>
          <w:tcPr>
            <w:tcW w:w="32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40" w:type="dxa"/>
            <w:vAlign w:val="bottom"/>
          </w:tcPr>
          <w:p>
            <w:pPr>
              <w:ind w:left="220"/>
              <w:spacing w:after="0"/>
              <w:rPr>
                <w:sz w:val="20"/>
                <w:szCs w:val="20"/>
                <w:color w:val="auto"/>
              </w:rPr>
            </w:pPr>
            <w:r>
              <w:rPr>
                <w:rFonts w:ascii="Arial" w:cs="Arial" w:eastAsia="Arial" w:hAnsi="Arial"/>
                <w:sz w:val="16"/>
                <w:szCs w:val="16"/>
                <w:color w:val="auto"/>
                <w:w w:val="95"/>
              </w:rPr>
              <w:t>Issuance of 38,462 shares of common stock in connection with the Conversable transaction on December 13, 2019</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40" w:type="dxa"/>
            <w:vAlign w:val="bottom"/>
            <w:shd w:val="clear" w:color="auto" w:fill="CCFFCC"/>
          </w:tcPr>
          <w:p>
            <w:pPr>
              <w:ind w:left="220"/>
              <w:spacing w:after="0"/>
              <w:rPr>
                <w:sz w:val="20"/>
                <w:szCs w:val="20"/>
                <w:color w:val="auto"/>
              </w:rPr>
            </w:pPr>
            <w:r>
              <w:rPr>
                <w:rFonts w:ascii="Arial" w:cs="Arial" w:eastAsia="Arial" w:hAnsi="Arial"/>
                <w:sz w:val="16"/>
                <w:szCs w:val="16"/>
                <w:color w:val="auto"/>
                <w:w w:val="99"/>
              </w:rPr>
              <w:t>Issuance of 85,861 shares of common stock in connection with the BotCentral transaction on January 24, 2018</w:t>
            </w:r>
          </w:p>
        </w:tc>
        <w:tc>
          <w:tcPr>
            <w:tcW w:w="52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8040" w:type="dxa"/>
            <w:vAlign w:val="bottom"/>
          </w:tcPr>
          <w:p>
            <w:pPr>
              <w:ind w:left="220"/>
              <w:spacing w:after="0"/>
              <w:rPr>
                <w:sz w:val="20"/>
                <w:szCs w:val="20"/>
                <w:color w:val="auto"/>
              </w:rPr>
            </w:pPr>
            <w:r>
              <w:rPr>
                <w:rFonts w:ascii="Arial" w:cs="Arial" w:eastAsia="Arial" w:hAnsi="Arial"/>
                <w:sz w:val="16"/>
                <w:szCs w:val="16"/>
                <w:color w:val="auto"/>
                <w:w w:val="94"/>
              </w:rPr>
              <w:t>Issuance of 115,385 shares of common stock in connection with the Conversable transaction on September 27, 2018</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2,850</w:t>
            </w:r>
          </w:p>
        </w:tc>
      </w:tr>
      <w:tr>
        <w:trPr>
          <w:trHeight w:val="219"/>
        </w:trPr>
        <w:tc>
          <w:tcPr>
            <w:tcW w:w="8040" w:type="dxa"/>
            <w:vAlign w:val="bottom"/>
            <w:shd w:val="clear" w:color="auto" w:fill="CCFFCC"/>
          </w:tcPr>
          <w:p>
            <w:pPr>
              <w:ind w:left="220"/>
              <w:spacing w:after="0"/>
              <w:rPr>
                <w:sz w:val="20"/>
                <w:szCs w:val="20"/>
                <w:color w:val="auto"/>
              </w:rPr>
            </w:pPr>
            <w:r>
              <w:rPr>
                <w:rFonts w:ascii="Arial" w:cs="Arial" w:eastAsia="Arial" w:hAnsi="Arial"/>
                <w:sz w:val="16"/>
                <w:szCs w:val="16"/>
                <w:color w:val="auto"/>
                <w:w w:val="95"/>
              </w:rPr>
              <w:t>Issuance of 178,082 shares of common stock in connection with the AdvantageTec transaction on October 11, 2018</w:t>
            </w:r>
          </w:p>
        </w:tc>
        <w:tc>
          <w:tcPr>
            <w:tcW w:w="52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4,300</w:t>
            </w:r>
          </w:p>
        </w:tc>
      </w:tr>
      <w:tr>
        <w:trPr>
          <w:trHeight w:val="213"/>
        </w:trPr>
        <w:tc>
          <w:tcPr>
            <w:tcW w:w="8040" w:type="dxa"/>
            <w:vAlign w:val="bottom"/>
          </w:tcPr>
          <w:p>
            <w:pPr>
              <w:ind w:left="220"/>
              <w:spacing w:after="0"/>
              <w:rPr>
                <w:sz w:val="20"/>
                <w:szCs w:val="20"/>
                <w:color w:val="auto"/>
              </w:rPr>
            </w:pPr>
            <w:r>
              <w:rPr>
                <w:rFonts w:ascii="Arial" w:cs="Arial" w:eastAsia="Arial" w:hAnsi="Arial"/>
                <w:sz w:val="16"/>
                <w:szCs w:val="16"/>
                <w:color w:val="auto"/>
                <w:w w:val="97"/>
              </w:rPr>
              <w:t>Fair value of contingent earn-out in connection with the acquisition of Conversable recorded in accrued expenses</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1,496</w:t>
            </w:r>
          </w:p>
        </w:tc>
      </w:tr>
      <w:tr>
        <w:trPr>
          <w:trHeight w:val="219"/>
        </w:trPr>
        <w:tc>
          <w:tcPr>
            <w:tcW w:w="8040" w:type="dxa"/>
            <w:vAlign w:val="bottom"/>
            <w:shd w:val="clear" w:color="auto" w:fill="CCFFCC"/>
          </w:tcPr>
          <w:p>
            <w:pPr>
              <w:ind w:left="220"/>
              <w:spacing w:after="0"/>
              <w:rPr>
                <w:sz w:val="20"/>
                <w:szCs w:val="20"/>
                <w:color w:val="auto"/>
              </w:rPr>
            </w:pPr>
            <w:r>
              <w:rPr>
                <w:rFonts w:ascii="Arial" w:cs="Arial" w:eastAsia="Arial" w:hAnsi="Arial"/>
                <w:sz w:val="16"/>
                <w:szCs w:val="16"/>
                <w:color w:val="auto"/>
                <w:w w:val="95"/>
              </w:rPr>
              <w:t>Fair value of contingent earn-out in connection with the acquisition of AdvantageTec recorded in accrued expenses</w:t>
            </w:r>
          </w:p>
        </w:tc>
        <w:tc>
          <w:tcPr>
            <w:tcW w:w="52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876</w:t>
            </w:r>
          </w:p>
        </w:tc>
      </w:tr>
      <w:tr>
        <w:trPr>
          <w:trHeight w:val="213"/>
        </w:trPr>
        <w:tc>
          <w:tcPr>
            <w:tcW w:w="8040" w:type="dxa"/>
            <w:vAlign w:val="bottom"/>
          </w:tcPr>
          <w:p>
            <w:pPr>
              <w:ind w:left="220"/>
              <w:spacing w:after="0"/>
              <w:rPr>
                <w:sz w:val="20"/>
                <w:szCs w:val="20"/>
                <w:color w:val="auto"/>
              </w:rPr>
            </w:pPr>
            <w:r>
              <w:rPr>
                <w:rFonts w:ascii="Arial" w:cs="Arial" w:eastAsia="Arial" w:hAnsi="Arial"/>
                <w:sz w:val="16"/>
                <w:szCs w:val="16"/>
                <w:color w:val="auto"/>
              </w:rPr>
              <w:t>Issuance of 11,508 shares of common stock as earn-out payment in connection with AdvantageTec Inc.</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40" w:type="dxa"/>
            <w:vAlign w:val="bottom"/>
            <w:shd w:val="clear" w:color="auto" w:fill="CCFFCC"/>
          </w:tcPr>
          <w:p>
            <w:pPr>
              <w:ind w:left="220"/>
              <w:spacing w:after="0"/>
              <w:rPr>
                <w:sz w:val="20"/>
                <w:szCs w:val="20"/>
                <w:color w:val="auto"/>
              </w:rPr>
            </w:pPr>
            <w:r>
              <w:rPr>
                <w:rFonts w:ascii="Arial" w:cs="Arial" w:eastAsia="Arial" w:hAnsi="Arial"/>
                <w:sz w:val="16"/>
                <w:szCs w:val="16"/>
                <w:color w:val="auto"/>
              </w:rPr>
              <w:t>Issuance of 991,905 shares of common stock to settle cash awards</w:t>
            </w:r>
          </w:p>
        </w:tc>
        <w:tc>
          <w:tcPr>
            <w:tcW w:w="52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24,657</w:t>
            </w:r>
          </w:p>
        </w:tc>
        <w:tc>
          <w:tcPr>
            <w:tcW w:w="32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54" w:lineRule="exact"/>
        <w:rPr>
          <w:sz w:val="20"/>
          <w:szCs w:val="20"/>
          <w:color w:val="auto"/>
        </w:rPr>
      </w:pPr>
    </w:p>
    <w:p>
      <w:pPr>
        <w:ind w:left="220" w:right="320" w:firstLine="8"/>
        <w:spacing w:after="0"/>
        <w:tabs>
          <w:tab w:leader="none" w:pos="369" w:val="left"/>
        </w:tabs>
        <w:numPr>
          <w:ilvl w:val="0"/>
          <w:numId w:val="51"/>
        </w:numPr>
        <w:rPr>
          <w:rFonts w:ascii="Arial" w:cs="Arial" w:eastAsia="Arial" w:hAnsi="Arial"/>
          <w:sz w:val="17"/>
          <w:szCs w:val="17"/>
          <w:color w:val="auto"/>
          <w:vertAlign w:val="superscript"/>
        </w:rPr>
      </w:pPr>
      <w:r>
        <w:rPr>
          <w:rFonts w:ascii="Arial" w:cs="Arial" w:eastAsia="Arial" w:hAnsi="Arial"/>
          <w:sz w:val="13"/>
          <w:szCs w:val="13"/>
          <w:color w:val="auto"/>
        </w:rPr>
        <w:t>Includes leases that commenced during the year ended December 31, 2020, as well as balances related to leases in existence as of the date of the adoption of Topic 842.</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5" w:name="page86"/>
    <w:bookmarkEnd w:id="8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121"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In light of the COVID-19 pandemic and the company’s strong performance working remotely, LivePerson has adopted an “employee-centric” workforce model that does not rely on traditional offices.</w:t>
      </w:r>
    </w:p>
    <w:p>
      <w:pPr>
        <w:spacing w:after="0" w:line="79" w:lineRule="exact"/>
        <w:rPr>
          <w:sz w:val="20"/>
          <w:szCs w:val="20"/>
          <w:color w:val="auto"/>
        </w:rPr>
      </w:pPr>
    </w:p>
    <w:p>
      <w:pPr>
        <w:jc w:val="both"/>
        <w:ind w:firstLine="199"/>
        <w:spacing w:after="0" w:line="287" w:lineRule="auto"/>
        <w:rPr>
          <w:sz w:val="20"/>
          <w:szCs w:val="20"/>
          <w:color w:val="auto"/>
        </w:rPr>
      </w:pPr>
      <w:r>
        <w:rPr>
          <w:rFonts w:ascii="Arial" w:cs="Arial" w:eastAsia="Arial" w:hAnsi="Arial"/>
          <w:sz w:val="16"/>
          <w:szCs w:val="16"/>
          <w:color w:val="auto"/>
        </w:rPr>
        <w:t>LivePerson, Inc. (“LivePerson”, the “Company”, “we” or “our”) makes life easier for people and brands everywhere through trusted Conversational AI.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64" w:lineRule="exact"/>
        <w:rPr>
          <w:sz w:val="20"/>
          <w:szCs w:val="20"/>
          <w:color w:val="auto"/>
        </w:rPr>
      </w:pPr>
    </w:p>
    <w:p>
      <w:pPr>
        <w:jc w:val="both"/>
        <w:ind w:firstLine="222"/>
        <w:spacing w:after="0" w:line="254" w:lineRule="auto"/>
        <w:rPr>
          <w:sz w:val="20"/>
          <w:szCs w:val="20"/>
          <w:color w:val="auto"/>
        </w:rPr>
      </w:pPr>
      <w:r>
        <w:rPr>
          <w:rFonts w:ascii="Arial" w:cs="Arial" w:eastAsia="Arial" w:hAnsi="Arial"/>
          <w:sz w:val="18"/>
          <w:szCs w:val="18"/>
          <w:color w:val="auto"/>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short message service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84"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94"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87"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LivePerson and its wholly-owned subsidiaries. All significant intercompany balances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the consolidated financial statements in accordance with accounting principles generally accepted in the United States of America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Significant items subject to such estimates and assumptions include revenue recognition, stock-based compensation, accounts receivable, the valuation of goodwill and intangible assets, income taxes and legal contingencies.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 which approximate fair value at December 31, 2020 because of the short-term nature of these instruments. The Company invests its cash and cash equivalents with financial institutions that it believes are of high quality, and the Company performs periodic evaluations of these instruments and the relative credit standings of the institutions with which it invests. At certain times, the Company’s cash balances with any one financial institution may exceed Federal Deposit Insurance Corporation insurance limits. The Company believes it mitigates its risk by depositing its cash balances with high credit, quality financial institutions.</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performs ongoing credit evaluations of its customers’ financial condition (except for customers who purchase the LivePerson services by credit card via Internet download) and has established an allowance for doubtful accounts based upon factors surrounding the credit risk of customers, historical trends and other information. Concentration of credit risk is limited due to the Company’s large number of customers. No single customer accounted for or exceeded 10% of revenue in 2020, 2019 and 2018 No single customer accounted for or exceeded 10% of the Company’s total accounts receivable in 2020 and 2018. Two customers exceeded 10% of the Company's total accounts receivable in 2019.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firstLine="180"/>
        <w:spacing w:after="0" w:line="273" w:lineRule="auto"/>
        <w:rPr>
          <w:sz w:val="20"/>
          <w:szCs w:val="20"/>
          <w:color w:val="auto"/>
        </w:rPr>
      </w:pPr>
      <w:r>
        <w:rPr>
          <w:rFonts w:ascii="Arial" w:cs="Arial" w:eastAsia="Arial" w:hAnsi="Arial"/>
          <w:sz w:val="17"/>
          <w:szCs w:val="17"/>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income (loss) in stockholders’ equity. Foreign exchange transaction gain or losses are included in Other Income (Expense), net in the accompanying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highly liquid securities with original maturities of three months or less when acquired to be cash equivalents. Cash equivalents, which primarily consist of money market funds, are recorded at cost, which approximates fair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doubtful accounts is as follows (amounts in thousands):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359"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Additions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ASU 2016-13</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Beginning</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Charged to</w:t>
            </w:r>
          </w:p>
        </w:tc>
        <w:tc>
          <w:tcPr>
            <w:tcW w:w="1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Deductions /</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7"/>
              </w:rPr>
              <w:t>Costs and</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(Topic 326)</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Balance</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85"/>
              </w:rPr>
              <w:t>Expenses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Write-Offs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90"/>
              </w:rPr>
              <w:t>Adjustment</w:t>
            </w:r>
          </w:p>
        </w:tc>
        <w:tc>
          <w:tcPr>
            <w:tcW w:w="140" w:type="dxa"/>
            <w:vAlign w:val="bottom"/>
          </w:tcPr>
          <w:p>
            <w:pPr>
              <w:spacing w:after="0"/>
              <w:rPr>
                <w:sz w:val="18"/>
                <w:szCs w:val="18"/>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Ending Balance</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1,788</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FFC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1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2,276</w:t>
            </w:r>
          </w:p>
        </w:tc>
        <w:tc>
          <w:tcPr>
            <w:tcW w:w="14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(1,365)</w:t>
            </w:r>
          </w:p>
        </w:tc>
        <w:tc>
          <w:tcPr>
            <w:tcW w:w="1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0"/>
        </w:trPr>
        <w:tc>
          <w:tcPr>
            <w:tcW w:w="2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000" w:type="dxa"/>
            <w:vAlign w:val="bottom"/>
            <w:tcBorders>
              <w:top w:val="single" w:sz="8" w:color="CCFFCC"/>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0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CCFFCC"/>
              <w:bottom w:val="single" w:sz="8" w:color="auto"/>
            </w:tcBorders>
          </w:tcPr>
          <w:p>
            <w:pPr>
              <w:spacing w:after="0" w:line="20" w:lineRule="exact"/>
              <w:rPr>
                <w:sz w:val="1"/>
                <w:szCs w:val="1"/>
                <w:color w:val="auto"/>
              </w:rPr>
            </w:pPr>
          </w:p>
        </w:tc>
        <w:tc>
          <w:tcPr>
            <w:tcW w:w="7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00" w:type="dxa"/>
            <w:vAlign w:val="bottom"/>
          </w:tcPr>
          <w:p>
            <w:pPr>
              <w:ind w:left="20"/>
              <w:spacing w:after="0" w:line="203"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3,070</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3,211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(1,666)</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729</w:t>
            </w:r>
          </w:p>
        </w:tc>
        <w:tc>
          <w:tcPr>
            <w:tcW w:w="140" w:type="dxa"/>
            <w:vAlign w:val="bottom"/>
          </w:tcPr>
          <w:p>
            <w:pPr>
              <w:spacing w:after="0"/>
              <w:rPr>
                <w:sz w:val="17"/>
                <w:szCs w:val="17"/>
                <w:color w:val="auto"/>
              </w:rPr>
            </w:pPr>
          </w:p>
        </w:tc>
        <w:tc>
          <w:tcPr>
            <w:tcW w:w="3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and amortization is calculated using the straight-line method over the estimated useful lives of the related assets, generally three to five years for equipment and software. Leasehold improvements are amortized using the straight-line method over the shorter of the lease term or the estimated useful life of the asset. Depreciation expense, which includes amortization of internal use software totaled $22.8 million, $16.4 million, and $14.2 million for the years ended December 31, 2020, 2019 and 2018,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 Development Costs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Financial Accounting Standards Board (“FASB”) Accounting Standards Codification (“ASC”) 350-40, ‘‘Internal-Use Software’’, the Company capitalizes its costs to develop its internal 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five years. Costs incurred prior to meeting these criteria, together with costs incurred for training and maintenance, are expensed as incurred.</w:t>
      </w:r>
    </w:p>
    <w:p>
      <w:pPr>
        <w:spacing w:after="0" w:line="84" w:lineRule="exact"/>
        <w:rPr>
          <w:sz w:val="20"/>
          <w:szCs w:val="20"/>
          <w:color w:val="auto"/>
        </w:rPr>
      </w:pPr>
    </w:p>
    <w:p>
      <w:pPr>
        <w:jc w:val="both"/>
        <w:ind w:firstLine="222"/>
        <w:spacing w:after="0" w:line="277" w:lineRule="auto"/>
        <w:rPr>
          <w:sz w:val="20"/>
          <w:szCs w:val="20"/>
          <w:color w:val="auto"/>
        </w:rPr>
      </w:pPr>
      <w:r>
        <w:rPr>
          <w:rFonts w:ascii="Arial" w:cs="Arial" w:eastAsia="Arial" w:hAnsi="Arial"/>
          <w:sz w:val="18"/>
          <w:szCs w:val="18"/>
          <w:color w:val="auto"/>
        </w:rPr>
        <w:t>The Company capitalized internal-use software costs of $33.9 million, $29.1 million, and $11.7 million for the years ended December 31, 2020, 2019 and 2018,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The Company has determined that it operates as two reporting units and has selected September 30 as the date to perform its annual impairment test. In the valuation of goodwill, management must make assumptions regarding estimated future cash flows to be derived from the Company's business. If these estimates or their related assumptions change in the future, the Company may be required to record impairment for these assets.</w:t>
      </w:r>
    </w:p>
    <w:p>
      <w:pPr>
        <w:spacing w:after="0" w:line="21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the option to first perform a qualitative assessment to determine if it is more likely than not that the fair value of a reporting unit is less than its carrying amount. However, the Company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goodwill impairment charges have been recorded for any period presented.</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assets with estimable useful lives are amortized over their respective estimated useful lives to their estimated residual values, and reviewed for impairment in accordance with ASC 360-10-35, “Accounting for Impairment or Disposal of Long-Lived Assets.”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Acquired intangible assets consist of identifiable intangible assets, primarily developed technology and customer relationships, resulting from our acquisitions. Intangible assets are recorded at fair value on the date of acquisition.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Business combinations are accounted for using the acquisition method and accordingly, the assets acquired (including identified intangible assets), the liabilities assumed and any noncontrolling interest in the acquired business are recorded at their acquisition date fair values. The Company’s acquisition model typically provides for an initial payment at closing and for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future additional contingent purchase price obligations. Contingent purchase price obligations are recorded as deferred acquisition consideration on the balance sheet at the acquisition date fair value and are remeasured at each reporting period. Changes in such estimated values are recorded in the results of operations. For further information, see Note 8 of the Notes to the Consolidated Financial Statements included herein.</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each acquisition, the Company undertakes a detailed review to identify other intangible assets and a valuation is performed for all such identified assets. The Company uses several market participant measurements to determine estimated value. This approach includes consideration of similar and recent transactions, as well as utilizing discounted expected cash flow methodologies. A substantial portion of the intangible asset value that the Company acquires is the specialized know-how of the workforce, which is treated as part of goodwill and is not required to be valued separately. The majority of the value of the identifiable intangible assets acquired is derived from customer relationships, including the related customer contracts, as well as trade names. In executing the Company’s overall acquisition strategy, one of the primary drivers in identifying and executing a specific transaction is the existence of, or the ability to, expand the existing client relationships. The expected benefits of the Company’s acquisitions are typically shared across multiple agencies and regions.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 There was a loss on disposal of approximately $5.1 million in September 2020. The Company recognized accelerated depreciation of fixed assets that were determined to no longer be of future economic benefit to the Company based on the decision to vacate the leased office space. Please refer to Note 14 for additional information regarding this shift to an employee-centric working model.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1300" w:hanging="158"/>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00" w:hanging="158"/>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jc w:val="both"/>
        <w:ind w:right="20" w:firstLine="185"/>
        <w:spacing w:after="0" w:line="277" w:lineRule="auto"/>
        <w:rPr>
          <w:sz w:val="20"/>
          <w:szCs w:val="20"/>
          <w:color w:val="auto"/>
        </w:rPr>
      </w:pPr>
      <w:r>
        <w:rPr>
          <w:rFonts w:ascii="Arial" w:cs="Arial" w:eastAsia="Arial" w:hAnsi="Arial"/>
          <w:sz w:val="18"/>
          <w:szCs w:val="18"/>
          <w:color w:val="auto"/>
        </w:rPr>
        <w:t>Total revenue of $366.6 million, $291.6 million, and $249.8 million was recognized during the years ended December 31, 2020, December 31, 2019 and December 31, 2018, respectively.</w:t>
      </w:r>
    </w:p>
    <w:p>
      <w:pPr>
        <w:spacing w:after="0" w:line="170" w:lineRule="exact"/>
        <w:rPr>
          <w:sz w:val="20"/>
          <w:szCs w:val="20"/>
          <w:color w:val="auto"/>
        </w:rPr>
      </w:pPr>
    </w:p>
    <w:p>
      <w:pPr>
        <w:jc w:val="both"/>
        <w:ind w:firstLine="291"/>
        <w:spacing w:after="0" w:line="263" w:lineRule="auto"/>
        <w:rPr>
          <w:sz w:val="20"/>
          <w:szCs w:val="20"/>
          <w:color w:val="auto"/>
        </w:rPr>
      </w:pPr>
      <w:r>
        <w:rPr>
          <w:rFonts w:ascii="Arial" w:cs="Arial" w:eastAsia="Arial" w:hAnsi="Arial"/>
          <w:sz w:val="18"/>
          <w:szCs w:val="18"/>
          <w:color w:val="auto"/>
        </w:rPr>
        <w:t>The Company has made the following accounting policy election and elected to use a practical expedient specific to certain revenue streams, as permitted by the FASB, in applying Topic 606. The Company utilizes the right-to-invoice practical expedient with regard to the recognition of revenue upon the invoicing of certain revenue streams, as revenue for those streams are billed monthly.</w:t>
      </w:r>
    </w:p>
    <w:p>
      <w:pPr>
        <w:spacing w:after="0" w:line="211" w:lineRule="exact"/>
        <w:rPr>
          <w:sz w:val="20"/>
          <w:szCs w:val="20"/>
          <w:color w:val="auto"/>
        </w:rPr>
      </w:pPr>
    </w:p>
    <w:p>
      <w:pPr>
        <w:jc w:val="both"/>
        <w:ind w:firstLine="237"/>
        <w:spacing w:after="0" w:line="259" w:lineRule="auto"/>
        <w:rPr>
          <w:sz w:val="20"/>
          <w:szCs w:val="20"/>
          <w:color w:val="auto"/>
        </w:rPr>
      </w:pPr>
      <w:r>
        <w:rPr>
          <w:rFonts w:ascii="Arial" w:cs="Arial" w:eastAsia="Arial" w:hAnsi="Arial"/>
          <w:sz w:val="18"/>
          <w:szCs w:val="18"/>
          <w:color w:val="auto"/>
        </w:rPr>
        <w:t>Under Topic 606, the Company defers all incremental commission costs ("contract acquisition costs") to obtain the contract. The contract acquisition costs, which are comprised of prepaid sales commissions, have balances at December 31, 2020 and 2019 of $41.0 million and $32.0 million, respectively. The Company amortizes these costs over the related period of benefit using the customer expected life that the Company determined to be three to five years which is consistent with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 to the customer of the services to which the asset relates. The Company classifies contract acquisition costs as long-term unless they have an original amortization period of one year or less.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Hosted Services Business revenue is reported at the amount that reflects the ultimate consideration expected to be received and primarily consist of fees that provide customers access to the Conversational Cloud,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(formerly “Pay for Performance”) arrangements in accordance with ASC-606, ‘‘Principal Agent Considerations’’, the Company acts as a principal in a transaction if it controls the specified goods or services before they are transferred to the customer.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252" w:lineRule="exact"/>
        <w:rPr>
          <w:sz w:val="20"/>
          <w:szCs w:val="20"/>
          <w:color w:val="auto"/>
        </w:rPr>
      </w:pPr>
    </w:p>
    <w:p>
      <w:pPr>
        <w:jc w:val="both"/>
        <w:ind w:firstLine="185"/>
        <w:spacing w:after="0" w:line="254" w:lineRule="auto"/>
        <w:rPr>
          <w:sz w:val="20"/>
          <w:szCs w:val="20"/>
          <w:color w:val="auto"/>
        </w:rPr>
      </w:pPr>
      <w:r>
        <w:rPr>
          <w:rFonts w:ascii="Arial" w:cs="Arial" w:eastAsia="Arial" w:hAnsi="Arial"/>
          <w:sz w:val="18"/>
          <w:szCs w:val="18"/>
          <w:color w:val="auto"/>
        </w:rPr>
        <w:t>As of December 31, 2020, the aggregate amount of the total transaction price allocated in contracts with original duration of greater than one year to the remaining performance obligations was $285.7 million. Approximately 90%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one year or less. Such remaining performance obligations represent unsatisfied or partially unsatisfied performance obligation pursuant to ASC 606.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52" w:lineRule="exact"/>
        <w:rPr>
          <w:sz w:val="20"/>
          <w:szCs w:val="20"/>
          <w:color w:val="auto"/>
        </w:rPr>
      </w:pPr>
    </w:p>
    <w:p>
      <w:pPr>
        <w:jc w:val="both"/>
        <w:ind w:firstLine="189"/>
        <w:spacing w:after="0" w:line="296" w:lineRule="auto"/>
        <w:rPr>
          <w:sz w:val="20"/>
          <w:szCs w:val="20"/>
          <w:color w:val="auto"/>
        </w:rPr>
      </w:pPr>
      <w:r>
        <w:rPr>
          <w:rFonts w:ascii="Arial" w:cs="Arial" w:eastAsia="Arial" w:hAnsi="Arial"/>
          <w:sz w:val="16"/>
          <w:szCs w:val="16"/>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52" w:lineRule="exact"/>
        <w:rPr>
          <w:sz w:val="20"/>
          <w:szCs w:val="20"/>
          <w:color w:val="auto"/>
        </w:rPr>
      </w:pPr>
    </w:p>
    <w:p>
      <w:pPr>
        <w:jc w:val="both"/>
        <w:ind w:firstLine="214"/>
        <w:spacing w:after="0" w:line="263" w:lineRule="auto"/>
        <w:rPr>
          <w:sz w:val="20"/>
          <w:szCs w:val="20"/>
          <w:color w:val="auto"/>
        </w:rPr>
      </w:pPr>
      <w:r>
        <w:rPr>
          <w:rFonts w:ascii="Arial" w:cs="Arial" w:eastAsia="Arial" w:hAnsi="Arial"/>
          <w:sz w:val="18"/>
          <w:szCs w:val="18"/>
          <w:color w:val="auto"/>
        </w:rPr>
        <w:t>The Company records deferred revenues when cash payments are received or due in advance of its performance. The decrease in the deferred revenue balance for the year ended December 31, 2020 is primarily driven by satisfying our performance obligations and the revenue recognized of approximately $103.2 million that were included in the deferred revenue balance as of December 31, 2019.</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deferred revenue by revenue source (amounts in thousands):</w:t>
      </w:r>
    </w:p>
    <w:p>
      <w:pPr>
        <w:spacing w:after="0" w:line="131"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Borders>
              <w:bottom w:val="single" w:sz="8" w:color="CCFFCC"/>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FFC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r>
      <w:tr>
        <w:trPr>
          <w:trHeight w:val="211"/>
        </w:trPr>
        <w:tc>
          <w:tcPr>
            <w:tcW w:w="8220" w:type="dxa"/>
            <w:vAlign w:val="bottom"/>
            <w:shd w:val="clear" w:color="auto" w:fill="CCFFCC"/>
          </w:tcPr>
          <w:p>
            <w:pPr>
              <w:ind w:left="20"/>
              <w:spacing w:after="0"/>
              <w:rPr>
                <w:sz w:val="20"/>
                <w:szCs w:val="20"/>
                <w:color w:val="auto"/>
              </w:rPr>
            </w:pPr>
            <w:r>
              <w:rPr>
                <w:rFonts w:ascii="Arial" w:cs="Arial" w:eastAsia="Arial" w:hAnsi="Arial"/>
                <w:sz w:val="16"/>
                <w:szCs w:val="16"/>
                <w:color w:val="auto"/>
              </w:rPr>
              <w:t>Hosted services – Business</w:t>
            </w:r>
          </w:p>
        </w:tc>
        <w:tc>
          <w:tcPr>
            <w:tcW w:w="960" w:type="dxa"/>
            <w:vAlign w:val="bottom"/>
            <w:shd w:val="clear" w:color="auto" w:fill="CCFFCC"/>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8"/>
              </w:rPr>
              <w:t>86,144</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82,892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Hosted services – Consumer</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16"/>
        </w:trPr>
        <w:tc>
          <w:tcPr>
            <w:tcW w:w="8220" w:type="dxa"/>
            <w:vAlign w:val="bottom"/>
            <w:shd w:val="clear" w:color="auto" w:fill="CCFFCC"/>
          </w:tcPr>
          <w:p>
            <w:pPr>
              <w:ind w:left="20"/>
              <w:spacing w:after="0"/>
              <w:rPr>
                <w:sz w:val="20"/>
                <w:szCs w:val="20"/>
                <w:color w:val="auto"/>
              </w:rPr>
            </w:pPr>
            <w:r>
              <w:rPr>
                <w:rFonts w:ascii="Arial" w:cs="Arial" w:eastAsia="Arial" w:hAnsi="Arial"/>
                <w:sz w:val="16"/>
                <w:szCs w:val="16"/>
                <w:color w:val="auto"/>
              </w:rPr>
              <w:t>Professional services – Business</w:t>
            </w:r>
          </w:p>
        </w:tc>
        <w:tc>
          <w:tcPr>
            <w:tcW w:w="960" w:type="dxa"/>
            <w:vAlign w:val="bottom"/>
            <w:tcBorders>
              <w:bottom w:val="single" w:sz="8" w:color="auto"/>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5,172</w:t>
            </w: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Total deferred revenue - short term</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88,848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88,751</w:t>
            </w:r>
          </w:p>
        </w:tc>
      </w:tr>
      <w:tr>
        <w:trPr>
          <w:trHeight w:val="20"/>
        </w:trPr>
        <w:tc>
          <w:tcPr>
            <w:tcW w:w="8220" w:type="dxa"/>
            <w:vAlign w:val="bottom"/>
            <w:tcBorders>
              <w:bottom w:val="single" w:sz="8" w:color="CCFFC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Hosted services – Business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20" w:type="dxa"/>
            <w:vAlign w:val="bottom"/>
            <w:shd w:val="clear" w:color="auto" w:fill="CCFFCC"/>
          </w:tcPr>
          <w:p>
            <w:pPr>
              <w:ind w:left="20"/>
              <w:spacing w:after="0"/>
              <w:rPr>
                <w:sz w:val="20"/>
                <w:szCs w:val="20"/>
                <w:color w:val="auto"/>
              </w:rPr>
            </w:pPr>
            <w:r>
              <w:rPr>
                <w:rFonts w:ascii="Arial" w:cs="Arial" w:eastAsia="Arial" w:hAnsi="Arial"/>
                <w:sz w:val="16"/>
                <w:szCs w:val="16"/>
                <w:color w:val="auto"/>
              </w:rPr>
              <w:t>Professional services – Business</w:t>
            </w:r>
          </w:p>
        </w:tc>
        <w:tc>
          <w:tcPr>
            <w:tcW w:w="960" w:type="dxa"/>
            <w:vAlign w:val="bottom"/>
            <w:tcBorders>
              <w:bottom w:val="single" w:sz="8" w:color="auto"/>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438</w:t>
            </w: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Total deferred revenue - long term</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Company's revenues disaggregated by revenue source (amounts in thousands):</w:t>
      </w:r>
    </w:p>
    <w:p>
      <w:pPr>
        <w:spacing w:after="0" w:line="145"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Borders>
              <w:bottom w:val="single" w:sz="8" w:color="CCFFC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FFCC"/>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FFC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r>
      <w:tr>
        <w:trPr>
          <w:trHeight w:val="211"/>
        </w:trPr>
        <w:tc>
          <w:tcPr>
            <w:tcW w:w="682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286,588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225,705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197,474</w:t>
            </w:r>
          </w:p>
        </w:tc>
      </w:tr>
      <w:tr>
        <w:trPr>
          <w:trHeight w:val="219"/>
        </w:trPr>
        <w:tc>
          <w:tcPr>
            <w:tcW w:w="6820" w:type="dxa"/>
            <w:vAlign w:val="bottom"/>
            <w:shd w:val="clear" w:color="auto" w:fill="CCFFCC"/>
          </w:tcPr>
          <w:p>
            <w:pPr>
              <w:ind w:left="140"/>
              <w:spacing w:after="0"/>
              <w:rPr>
                <w:sz w:val="20"/>
                <w:szCs w:val="20"/>
                <w:color w:val="auto"/>
              </w:rPr>
            </w:pPr>
            <w:r>
              <w:rPr>
                <w:rFonts w:ascii="Arial" w:cs="Arial" w:eastAsia="Arial" w:hAnsi="Arial"/>
                <w:sz w:val="16"/>
                <w:szCs w:val="16"/>
                <w:color w:val="auto"/>
              </w:rPr>
              <w:t>Hosted services – Consumer</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ind w:right="1"/>
              <w:spacing w:after="0"/>
              <w:rPr>
                <w:sz w:val="20"/>
                <w:szCs w:val="20"/>
                <w:color w:val="auto"/>
              </w:rPr>
            </w:pPr>
            <w:r>
              <w:rPr>
                <w:rFonts w:ascii="Arial" w:cs="Arial" w:eastAsia="Arial" w:hAnsi="Arial"/>
                <w:sz w:val="16"/>
                <w:szCs w:val="16"/>
                <w:color w:val="auto"/>
              </w:rPr>
              <w:t>29,764</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24,480</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19,553</w:t>
            </w:r>
          </w:p>
        </w:tc>
      </w:tr>
      <w:tr>
        <w:trPr>
          <w:trHeight w:val="213"/>
        </w:trPr>
        <w:tc>
          <w:tcPr>
            <w:tcW w:w="682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Professional services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50,268</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41,424</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32,811</w:t>
            </w:r>
          </w:p>
        </w:tc>
      </w:tr>
      <w:tr>
        <w:trPr>
          <w:trHeight w:val="238"/>
        </w:trPr>
        <w:tc>
          <w:tcPr>
            <w:tcW w:w="68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366,620</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291,609</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249,838</w:t>
            </w:r>
          </w:p>
        </w:tc>
      </w:tr>
      <w:tr>
        <w:trPr>
          <w:trHeight w:val="20"/>
        </w:trPr>
        <w:tc>
          <w:tcPr>
            <w:tcW w:w="68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52" w:lineRule="exact"/>
        <w:rPr>
          <w:sz w:val="20"/>
          <w:szCs w:val="20"/>
          <w:color w:val="auto"/>
        </w:rPr>
      </w:pPr>
    </w:p>
    <w:p>
      <w:pPr>
        <w:jc w:val="both"/>
        <w:ind w:firstLine="267"/>
        <w:spacing w:after="0" w:line="263"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years ended (amounts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0"/>
        </w:trPr>
        <w:tc>
          <w:tcPr>
            <w:tcW w:w="68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r>
      <w:tr>
        <w:trPr>
          <w:trHeight w:val="226"/>
        </w:trPr>
        <w:tc>
          <w:tcPr>
            <w:tcW w:w="68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230,557</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170,815</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146,702</w:t>
            </w:r>
          </w:p>
        </w:tc>
      </w:tr>
      <w:tr>
        <w:trPr>
          <w:trHeight w:val="230"/>
        </w:trPr>
        <w:tc>
          <w:tcPr>
            <w:tcW w:w="6820" w:type="dxa"/>
            <w:vAlign w:val="bottom"/>
            <w:tcBorders>
              <w:bottom w:val="single" w:sz="8" w:color="CCFFCC"/>
            </w:tcBorders>
          </w:tcPr>
          <w:p>
            <w:pPr>
              <w:ind w:left="20"/>
              <w:spacing w:after="0" w:line="230" w:lineRule="exact"/>
              <w:rPr>
                <w:sz w:val="20"/>
                <w:szCs w:val="20"/>
                <w:color w:val="auto"/>
              </w:rPr>
            </w:pPr>
            <w:r>
              <w:rPr>
                <w:rFonts w:ascii="Arial" w:cs="Arial" w:eastAsia="Arial" w:hAnsi="Arial"/>
                <w:sz w:val="18"/>
                <w:szCs w:val="18"/>
                <w:color w:val="auto"/>
              </w:rPr>
              <w:t xml:space="preserve">Other Americas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13,420</w:t>
            </w:r>
          </w:p>
        </w:tc>
        <w:tc>
          <w:tcPr>
            <w:tcW w:w="10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11,462</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w:t>
            </w:r>
          </w:p>
        </w:tc>
      </w:tr>
      <w:tr>
        <w:trPr>
          <w:trHeight w:val="223"/>
        </w:trPr>
        <w:tc>
          <w:tcPr>
            <w:tcW w:w="68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Total Americas</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243,977</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182,277</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154,017</w:t>
            </w:r>
          </w:p>
        </w:tc>
      </w:tr>
      <w:tr>
        <w:trPr>
          <w:trHeight w:val="230"/>
        </w:trPr>
        <w:tc>
          <w:tcPr>
            <w:tcW w:w="682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EMEA</w:t>
            </w:r>
            <w:r>
              <w:rPr>
                <w:rFonts w:ascii="Arial" w:cs="Arial" w:eastAsia="Arial" w:hAnsi="Arial"/>
                <w:sz w:val="10"/>
                <w:szCs w:val="10"/>
                <w:color w:val="auto"/>
              </w:rPr>
              <w:t xml:space="preserve"> (2) (4)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71,318</w:t>
            </w:r>
          </w:p>
        </w:tc>
      </w:tr>
      <w:tr>
        <w:trPr>
          <w:trHeight w:val="229"/>
        </w:trPr>
        <w:tc>
          <w:tcPr>
            <w:tcW w:w="6820" w:type="dxa"/>
            <w:vAlign w:val="bottom"/>
            <w:shd w:val="clear" w:color="auto" w:fill="CCFFCC"/>
          </w:tcPr>
          <w:p>
            <w:pPr>
              <w:ind w:left="20"/>
              <w:spacing w:after="0" w:line="23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39,317</w:t>
            </w:r>
          </w:p>
        </w:tc>
        <w:tc>
          <w:tcPr>
            <w:tcW w:w="10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31,031</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24,503</w:t>
            </w:r>
          </w:p>
        </w:tc>
      </w:tr>
      <w:tr>
        <w:trPr>
          <w:trHeight w:val="223"/>
        </w:trPr>
        <w:tc>
          <w:tcPr>
            <w:tcW w:w="68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249,838</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Canada, Latin America and South America</w:t>
      </w:r>
    </w:p>
    <w:p>
      <w:pPr>
        <w:ind w:left="180" w:hanging="172"/>
        <w:spacing w:after="0" w:line="187" w:lineRule="auto"/>
        <w:tabs>
          <w:tab w:leader="none" w:pos="180"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Europe, the Middle East and Africa (“EMEA”)</w:t>
      </w:r>
    </w:p>
    <w:p>
      <w:pPr>
        <w:ind w:left="180" w:hanging="172"/>
        <w:spacing w:after="0" w:line="191" w:lineRule="auto"/>
        <w:tabs>
          <w:tab w:leader="none" w:pos="180"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Asia-Pacific (“APAC”)</w:t>
      </w:r>
    </w:p>
    <w:p>
      <w:pPr>
        <w:spacing w:after="0" w:line="10" w:lineRule="exact"/>
        <w:rPr>
          <w:rFonts w:ascii="Arial" w:cs="Arial" w:eastAsia="Arial" w:hAnsi="Arial"/>
          <w:sz w:val="21"/>
          <w:szCs w:val="21"/>
          <w:color w:val="auto"/>
          <w:vertAlign w:val="superscript"/>
        </w:rPr>
      </w:pPr>
    </w:p>
    <w:p>
      <w:pPr>
        <w:ind w:right="120" w:firstLine="8"/>
        <w:spacing w:after="0" w:line="326" w:lineRule="auto"/>
        <w:tabs>
          <w:tab w:leader="none" w:pos="149" w:val="left"/>
        </w:tabs>
        <w:numPr>
          <w:ilvl w:val="0"/>
          <w:numId w:val="53"/>
        </w:numPr>
        <w:rPr>
          <w:rFonts w:ascii="Arial" w:cs="Arial" w:eastAsia="Arial" w:hAnsi="Arial"/>
          <w:sz w:val="17"/>
          <w:szCs w:val="17"/>
          <w:color w:val="auto"/>
          <w:vertAlign w:val="superscript"/>
        </w:rPr>
      </w:pPr>
      <w:r>
        <w:rPr>
          <w:rFonts w:ascii="Arial" w:cs="Arial" w:eastAsia="Arial" w:hAnsi="Arial"/>
          <w:sz w:val="13"/>
          <w:szCs w:val="13"/>
          <w:color w:val="auto"/>
        </w:rPr>
        <w:t>Includes revenue from the United Kingdom of $53.4 million, $50.4 million, and $46.5 million for the years ended December 31, 2020</w:t>
      </w:r>
      <w:r>
        <w:rPr>
          <w:rFonts w:ascii="Arial" w:cs="Arial" w:eastAsia="Arial" w:hAnsi="Arial"/>
          <w:sz w:val="14"/>
          <w:szCs w:val="14"/>
          <w:color w:val="auto"/>
        </w:rPr>
        <w:t>,</w:t>
      </w:r>
      <w:r>
        <w:rPr>
          <w:rFonts w:ascii="Arial" w:cs="Arial" w:eastAsia="Arial" w:hAnsi="Arial"/>
          <w:sz w:val="13"/>
          <w:szCs w:val="13"/>
          <w:color w:val="auto"/>
        </w:rPr>
        <w:t xml:space="preserve"> 2019, and 2018, respectively. and from the Netherlands of $3.2 million, $10.0 million, and $8.7 million for the years ended December 31, 2020</w:t>
      </w:r>
      <w:r>
        <w:rPr>
          <w:rFonts w:ascii="Arial" w:cs="Arial" w:eastAsia="Arial" w:hAnsi="Arial"/>
          <w:sz w:val="14"/>
          <w:szCs w:val="14"/>
          <w:color w:val="auto"/>
        </w:rPr>
        <w:t>,</w:t>
      </w:r>
      <w:r>
        <w:rPr>
          <w:rFonts w:ascii="Arial" w:cs="Arial" w:eastAsia="Arial" w:hAnsi="Arial"/>
          <w:sz w:val="13"/>
          <w:szCs w:val="13"/>
          <w:color w:val="auto"/>
        </w:rPr>
        <w:t xml:space="preserve"> 2019, and 2018,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8"/>
          <w:szCs w:val="18"/>
          <w:i w:val="1"/>
          <w:iCs w:val="1"/>
          <w:color w:val="auto"/>
        </w:rPr>
        <w:t>Hosted Services- Business Revenue.</w:t>
      </w:r>
    </w:p>
    <w:p>
      <w:pPr>
        <w:spacing w:after="0" w:line="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 (amounts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Accounts</w:t>
            </w: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Unbilled</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Contract</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Deferred Revenue</w:t>
            </w: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Deferred Revenue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Acquisition Costs</w:t>
            </w:r>
          </w:p>
        </w:tc>
        <w:tc>
          <w:tcPr>
            <w:tcW w:w="126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Receivable (1)</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Receivable (1)</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(noncurrent)</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(long term)</w:t>
            </w:r>
          </w:p>
        </w:tc>
        <w:tc>
          <w:tcPr>
            <w:tcW w:w="0" w:type="dxa"/>
            <w:vAlign w:val="bottom"/>
          </w:tcPr>
          <w:p>
            <w:pPr>
              <w:spacing w:after="0"/>
              <w:rPr>
                <w:sz w:val="1"/>
                <w:szCs w:val="1"/>
                <w:color w:val="auto"/>
              </w:rPr>
            </w:pPr>
          </w:p>
        </w:tc>
      </w:tr>
      <w:tr>
        <w:trPr>
          <w:trHeight w:val="211"/>
        </w:trPr>
        <w:tc>
          <w:tcPr>
            <w:tcW w:w="494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Opening Balance as of December 31, 2019</w:t>
            </w: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FFCC"/>
          </w:tcPr>
          <w:p>
            <w:pPr>
              <w:ind w:left="540"/>
              <w:spacing w:after="0"/>
              <w:rPr>
                <w:sz w:val="20"/>
                <w:szCs w:val="20"/>
                <w:color w:val="auto"/>
              </w:rPr>
            </w:pPr>
            <w:r>
              <w:rPr>
                <w:rFonts w:ascii="Arial" w:cs="Arial" w:eastAsia="Arial" w:hAnsi="Arial"/>
                <w:sz w:val="16"/>
                <w:szCs w:val="16"/>
                <w:color w:val="auto"/>
                <w:w w:val="98"/>
              </w:rPr>
              <w:t>70,318</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17,302</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31,965</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88,751</w:t>
            </w: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FFCC"/>
          </w:tcPr>
          <w:p>
            <w:pPr>
              <w:ind w:left="680"/>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Increase (decrease), net</w:t>
            </w:r>
          </w:p>
        </w:tc>
        <w:tc>
          <w:tcPr>
            <w:tcW w:w="140" w:type="dxa"/>
            <w:vAlign w:val="bottom"/>
          </w:tcPr>
          <w:p>
            <w:pPr>
              <w:spacing w:after="0"/>
              <w:rPr>
                <w:sz w:val="18"/>
                <w:szCs w:val="18"/>
                <w:color w:val="auto"/>
              </w:rPr>
            </w:pPr>
          </w:p>
        </w:tc>
        <w:tc>
          <w:tcPr>
            <w:tcW w:w="1040" w:type="dxa"/>
            <w:vAlign w:val="bottom"/>
          </w:tcPr>
          <w:p>
            <w:pPr>
              <w:ind w:left="540"/>
              <w:spacing w:after="0"/>
              <w:rPr>
                <w:sz w:val="20"/>
                <w:szCs w:val="20"/>
                <w:color w:val="auto"/>
              </w:rPr>
            </w:pPr>
            <w:r>
              <w:rPr>
                <w:rFonts w:ascii="Arial" w:cs="Arial" w:eastAsia="Arial" w:hAnsi="Arial"/>
                <w:sz w:val="16"/>
                <w:szCs w:val="16"/>
                <w:color w:val="auto"/>
                <w:w w:val="94"/>
              </w:rPr>
              <w:t>(8,517)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700"/>
              <w:spacing w:after="0"/>
              <w:rPr>
                <w:sz w:val="20"/>
                <w:szCs w:val="20"/>
                <w:color w:val="auto"/>
              </w:rPr>
            </w:pPr>
            <w:r>
              <w:rPr>
                <w:rFonts w:ascii="Arial" w:cs="Arial" w:eastAsia="Arial" w:hAnsi="Arial"/>
                <w:sz w:val="16"/>
                <w:szCs w:val="16"/>
                <w:color w:val="auto"/>
                <w:w w:val="98"/>
              </w:rPr>
              <w:t>(29)</w:t>
            </w:r>
          </w:p>
        </w:tc>
        <w:tc>
          <w:tcPr>
            <w:tcW w:w="0" w:type="dxa"/>
            <w:vAlign w:val="bottom"/>
          </w:tcPr>
          <w:p>
            <w:pPr>
              <w:spacing w:after="0"/>
              <w:rPr>
                <w:sz w:val="1"/>
                <w:szCs w:val="1"/>
                <w:color w:val="auto"/>
              </w:rPr>
            </w:pPr>
          </w:p>
        </w:tc>
      </w:tr>
      <w:tr>
        <w:trPr>
          <w:trHeight w:val="244"/>
        </w:trPr>
        <w:tc>
          <w:tcPr>
            <w:tcW w:w="49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Ending Balance as of December 31, 2020</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FFCC"/>
          </w:tcPr>
          <w:p>
            <w:pPr>
              <w:ind w:left="540"/>
              <w:spacing w:after="0"/>
              <w:rPr>
                <w:sz w:val="20"/>
                <w:szCs w:val="20"/>
                <w:color w:val="auto"/>
              </w:rPr>
            </w:pPr>
            <w:r>
              <w:rPr>
                <w:rFonts w:ascii="Arial" w:cs="Arial" w:eastAsia="Arial" w:hAnsi="Arial"/>
                <w:sz w:val="16"/>
                <w:szCs w:val="16"/>
                <w:color w:val="auto"/>
                <w:w w:val="98"/>
              </w:rPr>
              <w:t>61,801</w:t>
            </w: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18,622</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41,021</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88,848</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FFCC"/>
          </w:tcPr>
          <w:p>
            <w:pPr>
              <w:ind w:left="68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
        </w:trPr>
        <w:tc>
          <w:tcPr>
            <w:tcW w:w="49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0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0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These accounts include the $0.7 million adjustment in connection with the adoption of ASU 2016-13 (Topic 326).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expenses the cost of advertising and promoting its services as incurred in the sales and marketing expense on the consolidated statement of operations. Such costs totaled approximately $29.1 million, $28.6 million, and $17.4 million for the years ended December 31, 2020, 2019 and 2018,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218"/>
        <w:spacing w:after="0" w:line="277" w:lineRule="auto"/>
        <w:rPr>
          <w:sz w:val="20"/>
          <w:szCs w:val="20"/>
          <w:color w:val="auto"/>
        </w:rPr>
      </w:pPr>
      <w:r>
        <w:rPr>
          <w:rFonts w:ascii="Arial" w:cs="Arial" w:eastAsia="Arial" w:hAnsi="Arial"/>
          <w:sz w:val="18"/>
          <w:szCs w:val="18"/>
          <w:color w:val="auto"/>
        </w:rPr>
        <w:t>In accordance with ASC Topic 718 -10, "Stock Compensation", the Company measures stock based awards at fair value and recognizes compensation expense for all share-based payment awards made to its employees and directors, including employee stock options.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estimates the fair value of stock options granted using the Black-Scholes valuation model. This model requires the Company to make estimates and assumptions including, among other things, estimates regarding the length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time an employee will retain vested stock options before exercising them, the estimated volatility of its common stock price and the number of options that will be forfeited prior to vesting. The fair value is then recognized on a straight line basis over the requisite service period of the award, which is generally three to four years. Changes in these estimates and assumptions can materially affect the determination of the fair value of the stock-based compensation and consequently, the related amount recognized in the consolidated statement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records rent expense on a straight-line basis over the term of the related lease. The difference between the rent expense recognized for financial reporting purposes and the actual payments made in accordance with the lease agreement is recognized as deferred rent liability included in other liabilities on the Company’s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Valuation allowances are established, when necessary, to reduce deferred tax assets to the amount expected to be realized.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220, ‘‘Comprehensive Income’’, the Company reports by major components and as a single total, the change in its net assets during the period from non-owner sources. Comprehensive income (loss) consists of net income (loss), and accumulated other comprehensive income (loss), which includes certain changes in equity that are excluded from net income (loss). The Company’s comprehensive loss for all periods presented is related to the effect of foreign currency translation.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August 2020, the Financial Accounting Standards Board (“FASB”) issued ASU 2020-06, “Debt - Debt with Conversion and Other Options (Subtopic 470-20) and Derivatives and Hedging - Contracts in Entity's Own Equity (Subtopic 815-40): Accounting for Convertible Instruments and Contracts in an Entity's Own Equity”, which simplifies the accounting for convertible instruments by eliminating existing accounting models that require separation of a cash conversion or beneficial conversion feature from the host contract. Accordingly, a convertible debt instrument will be accounted as a single liability measured at its amortized cost and a convertible preferred stock will be accounted as a single equity instrument measured at its historical cost, as long as no other embedded features require bifurcation as derivatives and the convertible debt was not issued at a substantial premium. The ASU also simplifies the derivative scope exception for accounting for contracts in an entity's own equity by:</w:t>
      </w:r>
    </w:p>
    <w:p>
      <w:pPr>
        <w:spacing w:after="0" w:line="204"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removing certain conditions required to meet the settlement criterion</w:t>
      </w:r>
    </w:p>
    <w:p>
      <w:pPr>
        <w:spacing w:after="0" w:line="23" w:lineRule="exact"/>
        <w:rPr>
          <w:rFonts w:ascii="Arial" w:cs="Arial" w:eastAsia="Arial" w:hAnsi="Arial"/>
          <w:sz w:val="18"/>
          <w:szCs w:val="18"/>
          <w:color w:val="auto"/>
        </w:rPr>
      </w:pPr>
    </w:p>
    <w:p>
      <w:pPr>
        <w:ind w:left="660" w:right="2820" w:hanging="652"/>
        <w:spacing w:after="0" w:line="250"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clarifying that Instruments that are not indexed to the issuer's own stock must be remeasured at fair value through earnings at each reporting period; and</w:t>
      </w:r>
    </w:p>
    <w:p>
      <w:pPr>
        <w:ind w:left="660" w:right="2300" w:hanging="652"/>
        <w:spacing w:after="0" w:line="323"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clarifying the scope of reassessment guidance and disclosure requirements in Subtopic 815-40. The ASU also makes targeted improvements to the disclosure requirements for convertible instruments and earnings-per-share guidance.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SEC filers, excluding smaller reporting companies, the ASU is effective for fiscal years beginning after December 15, 2021, including interim periods within those fiscal years. The ASU specifies that the guidance should be adopted as of the beginning of the annual fiscal year. The Company is assessing and evaluating the impact ASU 2020-06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272" w:lineRule="exact"/>
        <w:rPr>
          <w:sz w:val="20"/>
          <w:szCs w:val="20"/>
          <w:color w:val="auto"/>
        </w:rPr>
      </w:pPr>
    </w:p>
    <w:p>
      <w:pPr>
        <w:jc w:val="both"/>
        <w:ind w:firstLine="221"/>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is intended to simplify the accounting for income taxes by removing certain exceptions and by updating accounting requirements around franchise taxes, goodwill recognized for tax purposes, the allocation of current and deferred tax expense among legal entities, among other minor changes. The ASU is effective for fiscal years beginning after December 15, 2020, including interim periods within those fiscal years. Early adoption is permitted. The Company is assessing what impact ASU 2019-12 will have on its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2016, the FASB issued Accounting Standards Update ASU 2016-13, “Financial Instruments-Credit Losses (Topic 326)”, in order to improve financial reporting of expected credit losses on financial instruments and other commitments to extend credit. ASU 2016-13 requires that an entity measure and recognize expected credit losses for financial assets held at amortized cost and replaces the incurred loss impairment methodology in prior GAAP with a methodology that requires consideration of a broader range of information to estimate credit losses. Such required disclosures include, but are not limited to, the Company's methodology for estimating its allowance for credit losses. The Company adopted ASU 2016-13 effective January 1, 2020 and applied the guidance using a modified retrospective approach requiring that the Company recognize the cumulative effect of initially applying the impairment standard as an adjustment to opening accumulated deficit for the incremental increase in its allowance for credit losses as of January 1, 2020 over its allowance for bad debts as of December, 31, 2019, which amounted to $0.7 million. The Company will continue to actively monitor the impact of the recent COVID-19 pandemic on expected credit losses. As of December 31, 2020, there has not been an impact to accounts receivable from the recent pandemic.</w:t>
      </w:r>
    </w:p>
    <w:p>
      <w:pPr>
        <w:spacing w:after="0" w:line="185" w:lineRule="exact"/>
        <w:rPr>
          <w:sz w:val="20"/>
          <w:szCs w:val="20"/>
          <w:color w:val="auto"/>
        </w:rPr>
      </w:pPr>
    </w:p>
    <w:p>
      <w:pPr>
        <w:jc w:val="both"/>
        <w:ind w:firstLine="213"/>
        <w:spacing w:after="0" w:line="255" w:lineRule="auto"/>
        <w:rPr>
          <w:sz w:val="20"/>
          <w:szCs w:val="20"/>
          <w:color w:val="auto"/>
        </w:rPr>
      </w:pPr>
      <w:r>
        <w:rPr>
          <w:rFonts w:ascii="Arial" w:cs="Arial" w:eastAsia="Arial" w:hAnsi="Arial"/>
          <w:sz w:val="18"/>
          <w:szCs w:val="18"/>
          <w:color w:val="auto"/>
        </w:rPr>
        <w:t>In January 2017, the FASB issued Accounting Standards Update ASU 2017-04, “Simplifying the Test for Goodwill Impairment”, which eliminates the computation of the implied fair value of goodwill to measure a goodwill impairment charge. Instead, entities will record a goodwill impairment charge based on the excess of a reporting unit’s carrying amount over its fair value. The guidance is effective for interim and annual reporting periods beginning after December 15, 2019, with early adoption permitted. The Company adopted ASU 2017-04 in the first quarter of 2020 which reduced the complexity surrounding the evaluation of goodwill for impairment. The adoption of this guidance did not have a material impact on the Company’s consolidated financial statements.</w:t>
      </w:r>
    </w:p>
    <w:p>
      <w:pPr>
        <w:spacing w:after="0" w:line="219" w:lineRule="exact"/>
        <w:rPr>
          <w:sz w:val="20"/>
          <w:szCs w:val="20"/>
          <w:color w:val="auto"/>
        </w:rPr>
      </w:pPr>
    </w:p>
    <w:p>
      <w:pPr>
        <w:jc w:val="both"/>
        <w:ind w:firstLine="206"/>
        <w:spacing w:after="0" w:line="291" w:lineRule="auto"/>
        <w:rPr>
          <w:sz w:val="20"/>
          <w:szCs w:val="20"/>
          <w:color w:val="auto"/>
        </w:rPr>
      </w:pPr>
      <w:r>
        <w:rPr>
          <w:rFonts w:ascii="Arial" w:cs="Arial" w:eastAsia="Arial" w:hAnsi="Arial"/>
          <w:sz w:val="16"/>
          <w:szCs w:val="16"/>
          <w:color w:val="auto"/>
        </w:rPr>
        <w:t>In August 2018, the FASB issued ASU 2018-15, “Customer’s Accounting for Implementation Costs Incurred in a Cloud Computing Arrangement That Is a Service Contract,” which clarifies the accounting for implementation costs in cloud computing arrangements. The new standard aligns the treatment of implementation costs incurred by customers in cloud computing arrangements that are service contracts with the treatment of similar costs incurred to develop or obtain internal-use software. Under the new standard, implementation costs are deferred and presented in the same financial statement caption on the condensed consolidated balance sheet as a prepayment of related arrangement fees. The deferred costs are recognized over the term of the arrangement in the same financial statement caption in the condensed consolidated income statement as the related fees of the arrangement. The Company adopted ASU 2018-15 in the first quarter of 2020 and the impact of the adoption was not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Diluted net loss per common share for the year ended December 31, 2020 does not include the effect of options to purchase 7,283,938 shares of common stock as the effect of their inclusion is anti-dilutive. Diluted net loss per common share for the year ended December 31, 2019 does not include the effect of options to purchase 8,848,907 shares of common stock as the effect of their inclusion is anti-dilutive. Diluted net loss per common share for the year ended December 31, 2018 does not include the effect of options to purchase 8,957,672 shares of common stock as the effect of their inclusion is anti-dilutive.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earnings per share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320" w:type="dxa"/>
            <w:vAlign w:val="bottom"/>
            <w:tcBorders>
              <w:bottom w:val="single" w:sz="8" w:color="auto"/>
            </w:tcBorders>
            <w:gridSpan w:val="5"/>
          </w:tcPr>
          <w:p>
            <w:pPr>
              <w:ind w:left="132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FFCC"/>
            </w:tcBorders>
          </w:tcPr>
          <w:p>
            <w:pPr>
              <w:spacing w:after="0"/>
              <w:rPr>
                <w:sz w:val="18"/>
                <w:szCs w:val="18"/>
                <w:color w:val="auto"/>
              </w:rPr>
            </w:pPr>
          </w:p>
        </w:tc>
        <w:tc>
          <w:tcPr>
            <w:tcW w:w="14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FFCC"/>
            </w:tcBorders>
          </w:tcPr>
          <w:p>
            <w:pPr>
              <w:spacing w:after="0"/>
              <w:rPr>
                <w:sz w:val="18"/>
                <w:szCs w:val="18"/>
                <w:color w:val="auto"/>
              </w:rPr>
            </w:pP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r>
      <w:tr>
        <w:trPr>
          <w:trHeight w:val="226"/>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65,888,450</w:t>
            </w:r>
          </w:p>
        </w:tc>
        <w:tc>
          <w:tcPr>
            <w:tcW w:w="100" w:type="dxa"/>
            <w:vAlign w:val="bottom"/>
            <w:shd w:val="clear" w:color="auto" w:fill="CCFFCC"/>
          </w:tcPr>
          <w:p>
            <w:pPr>
              <w:spacing w:after="0"/>
              <w:rPr>
                <w:sz w:val="19"/>
                <w:szCs w:val="19"/>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62,593,026</w:t>
            </w: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59,203,400</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Effect of assumed exercised options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Diluted</w:t>
            </w: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65,888,450</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62,593,026</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300" w:type="dxa"/>
            <w:vAlign w:val="bottom"/>
            <w:tcBorders>
              <w:top w:val="single" w:sz="8" w:color="auto"/>
              <w:bottom w:val="single" w:sz="8" w:color="auto"/>
            </w:tcBorders>
            <w:shd w:val="clear" w:color="auto" w:fill="CCFFCC"/>
          </w:tcPr>
          <w:p>
            <w:pPr>
              <w:spacing w:after="0"/>
              <w:rPr>
                <w:sz w:val="21"/>
                <w:szCs w:val="21"/>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59,203,400</w:t>
            </w:r>
          </w:p>
        </w:tc>
      </w:tr>
      <w:tr>
        <w:trPr>
          <w:trHeight w:val="20"/>
        </w:trPr>
        <w:tc>
          <w:tcPr>
            <w:tcW w:w="676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1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the Conversational Cloud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2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2020, based on the Company’s internal financial reporting system utilized by the Company’s chief operating decision maker, follows (amounts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r>
      <w:tr>
        <w:trPr>
          <w:trHeight w:val="212"/>
        </w:trPr>
        <w:tc>
          <w:tcPr>
            <w:tcW w:w="600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Hosted services – Business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286,588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286,588</w:t>
            </w:r>
          </w:p>
        </w:tc>
      </w:tr>
      <w:tr>
        <w:trPr>
          <w:trHeight w:val="229"/>
        </w:trPr>
        <w:tc>
          <w:tcPr>
            <w:tcW w:w="60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Hosted services – Consumer</w:t>
            </w: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29,764</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29,764</w:t>
            </w:r>
          </w:p>
        </w:tc>
      </w:tr>
      <w:tr>
        <w:trPr>
          <w:trHeight w:val="229"/>
        </w:trPr>
        <w:tc>
          <w:tcPr>
            <w:tcW w:w="6000" w:type="dxa"/>
            <w:vAlign w:val="bottom"/>
          </w:tcPr>
          <w:p>
            <w:pPr>
              <w:ind w:left="180"/>
              <w:spacing w:after="0"/>
              <w:rPr>
                <w:sz w:val="20"/>
                <w:szCs w:val="20"/>
                <w:color w:val="auto"/>
              </w:rPr>
            </w:pPr>
            <w:r>
              <w:rPr>
                <w:rFonts w:ascii="Arial" w:cs="Arial" w:eastAsia="Arial" w:hAnsi="Arial"/>
                <w:sz w:val="18"/>
                <w:szCs w:val="18"/>
                <w:color w:val="auto"/>
              </w:rPr>
              <w:t>Professional services – Business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50,268</w:t>
            </w:r>
          </w:p>
        </w:tc>
      </w:tr>
      <w:tr>
        <w:trPr>
          <w:trHeight w:val="223"/>
        </w:trPr>
        <w:tc>
          <w:tcPr>
            <w:tcW w:w="6000" w:type="dxa"/>
            <w:vAlign w:val="bottom"/>
            <w:tcBorders>
              <w:top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FFCC"/>
          </w:tcPr>
          <w:p>
            <w:pPr>
              <w:spacing w:after="0"/>
              <w:rPr>
                <w:sz w:val="19"/>
                <w:szCs w:val="19"/>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336,856</w:t>
            </w: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29,764</w:t>
            </w: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366,620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99,394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106,268</w:t>
            </w:r>
          </w:p>
        </w:tc>
      </w:tr>
      <w:tr>
        <w:trPr>
          <w:trHeight w:val="229"/>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128,752</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21,021</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149,773</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w:t>
            </w:r>
          </w:p>
        </w:tc>
      </w:tr>
      <w:tr>
        <w:trPr>
          <w:trHeight w:val="230"/>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Unallocated corporate expenses</w:t>
            </w: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198,391</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198,391</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107,071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(89,451)</w:t>
            </w:r>
          </w:p>
        </w:tc>
      </w:tr>
      <w:tr>
        <w:trPr>
          <w:trHeight w:val="21"/>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2019, based on the Company’s internal financial reporting system utilized by the Company’s chief operating decision maker, follows (amounts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r>
      <w:tr>
        <w:trPr>
          <w:trHeight w:val="213"/>
        </w:trPr>
        <w:tc>
          <w:tcPr>
            <w:tcW w:w="602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rPr>
              <w:t>Hosted services – Business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225,705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225,705</w:t>
            </w:r>
          </w:p>
        </w:tc>
      </w:tr>
      <w:tr>
        <w:trPr>
          <w:trHeight w:val="229"/>
        </w:trPr>
        <w:tc>
          <w:tcPr>
            <w:tcW w:w="6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Hosted services – Consumer</w:t>
            </w:r>
          </w:p>
        </w:tc>
        <w:tc>
          <w:tcPr>
            <w:tcW w:w="20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24,480</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24,480</w:t>
            </w: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Professional services – Business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41,424</w:t>
            </w:r>
          </w:p>
        </w:tc>
      </w:tr>
      <w:tr>
        <w:trPr>
          <w:trHeight w:val="223"/>
        </w:trPr>
        <w:tc>
          <w:tcPr>
            <w:tcW w:w="6020" w:type="dxa"/>
            <w:vAlign w:val="bottom"/>
            <w:tcBorders>
              <w:top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FFCC"/>
          </w:tcPr>
          <w:p>
            <w:pPr>
              <w:spacing w:after="0"/>
              <w:rPr>
                <w:sz w:val="19"/>
                <w:szCs w:val="19"/>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267,129</w:t>
            </w: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24,480</w:t>
            </w: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291,609</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78,878</w:t>
            </w:r>
          </w:p>
        </w:tc>
      </w:tr>
      <w:tr>
        <w:trPr>
          <w:trHeight w:val="229"/>
        </w:trPr>
        <w:tc>
          <w:tcPr>
            <w:tcW w:w="6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140,880</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15,934</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156,814</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1,794</w:t>
            </w:r>
          </w:p>
        </w:tc>
      </w:tr>
      <w:tr>
        <w:trPr>
          <w:trHeight w:val="230"/>
        </w:trPr>
        <w:tc>
          <w:tcPr>
            <w:tcW w:w="6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Unallocated corporate expenses</w:t>
            </w:r>
          </w:p>
        </w:tc>
        <w:tc>
          <w:tcPr>
            <w:tcW w:w="20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141,155</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141,155</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(141,155)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(87,032)</w:t>
            </w: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2018, based on the Company’s internal financial reporting system utilized by the Company’s chief operating decision maker, follows (amounts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Business</w:t>
            </w: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r>
      <w:tr>
        <w:trPr>
          <w:trHeight w:val="213"/>
        </w:trPr>
        <w:tc>
          <w:tcPr>
            <w:tcW w:w="642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r>
      <w:tr>
        <w:trPr>
          <w:trHeight w:val="229"/>
        </w:trPr>
        <w:tc>
          <w:tcPr>
            <w:tcW w:w="6420" w:type="dxa"/>
            <w:vAlign w:val="bottom"/>
          </w:tcPr>
          <w:p>
            <w:pPr>
              <w:ind w:left="180"/>
              <w:spacing w:after="0"/>
              <w:rPr>
                <w:sz w:val="20"/>
                <w:szCs w:val="20"/>
                <w:color w:val="auto"/>
              </w:rPr>
            </w:pPr>
            <w:r>
              <w:rPr>
                <w:rFonts w:ascii="Arial" w:cs="Arial" w:eastAsia="Arial" w:hAnsi="Arial"/>
                <w:sz w:val="18"/>
                <w:szCs w:val="18"/>
                <w:color w:val="auto"/>
              </w:rPr>
              <w:t>Hosted services – Business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197,474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197,474</w:t>
            </w:r>
          </w:p>
        </w:tc>
      </w:tr>
      <w:tr>
        <w:trPr>
          <w:trHeight w:val="230"/>
        </w:trPr>
        <w:tc>
          <w:tcPr>
            <w:tcW w:w="6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Hosted services – Consumer</w:t>
            </w:r>
          </w:p>
        </w:tc>
        <w:tc>
          <w:tcPr>
            <w:tcW w:w="18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19,553</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19,553</w:t>
            </w: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Professional services – Business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32,811</w:t>
            </w:r>
          </w:p>
        </w:tc>
      </w:tr>
      <w:tr>
        <w:trPr>
          <w:trHeight w:val="223"/>
        </w:trPr>
        <w:tc>
          <w:tcPr>
            <w:tcW w:w="6420" w:type="dxa"/>
            <w:vAlign w:val="bottom"/>
            <w:tcBorders>
              <w:top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CCFFCC"/>
          </w:tcPr>
          <w:p>
            <w:pPr>
              <w:spacing w:after="0"/>
              <w:rPr>
                <w:sz w:val="19"/>
                <w:szCs w:val="19"/>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230,285</w:t>
            </w:r>
          </w:p>
        </w:tc>
        <w:tc>
          <w:tcPr>
            <w:tcW w:w="1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19,553</w:t>
            </w:r>
          </w:p>
        </w:tc>
        <w:tc>
          <w:tcPr>
            <w:tcW w:w="10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spacing w:after="0"/>
              <w:rPr>
                <w:sz w:val="19"/>
                <w:szCs w:val="19"/>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249,838</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62,479</w:t>
            </w:r>
          </w:p>
        </w:tc>
      </w:tr>
      <w:tr>
        <w:trPr>
          <w:trHeight w:val="230"/>
        </w:trPr>
        <w:tc>
          <w:tcPr>
            <w:tcW w:w="6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94,339</w:t>
            </w: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103,344</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29"/>
        </w:trPr>
        <w:tc>
          <w:tcPr>
            <w:tcW w:w="6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Unallocated corporate expenses</w:t>
            </w:r>
          </w:p>
        </w:tc>
        <w:tc>
          <w:tcPr>
            <w:tcW w:w="18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106,048</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106,048</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75,856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(23,703)</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267"/>
        <w:spacing w:after="0" w:line="263"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long-lived assets by geographic region for the periods presented (amounts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10"/>
        </w:trPr>
        <w:tc>
          <w:tcPr>
            <w:tcW w:w="836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6"/>
        </w:trPr>
        <w:tc>
          <w:tcPr>
            <w:tcW w:w="8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202,275</w:t>
            </w:r>
          </w:p>
        </w:tc>
        <w:tc>
          <w:tcPr>
            <w:tcW w:w="100" w:type="dxa"/>
            <w:vAlign w:val="bottom"/>
            <w:shd w:val="clear" w:color="auto" w:fill="CCFFCC"/>
          </w:tcPr>
          <w:p>
            <w:pPr>
              <w:spacing w:after="0"/>
              <w:rPr>
                <w:sz w:val="19"/>
                <w:szCs w:val="19"/>
                <w:color w:val="auto"/>
              </w:rPr>
            </w:pPr>
          </w:p>
        </w:tc>
        <w:tc>
          <w:tcPr>
            <w:tcW w:w="4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177,776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Israel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16,680</w:t>
            </w:r>
          </w:p>
        </w:tc>
      </w:tr>
      <w:tr>
        <w:trPr>
          <w:trHeight w:val="230"/>
        </w:trPr>
        <w:tc>
          <w:tcPr>
            <w:tcW w:w="8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Australia</w:t>
            </w:r>
          </w:p>
        </w:tc>
        <w:tc>
          <w:tcPr>
            <w:tcW w:w="30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13,765</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7,705</w:t>
            </w:r>
          </w:p>
        </w:tc>
      </w:tr>
      <w:tr>
        <w:trPr>
          <w:trHeight w:val="229"/>
        </w:trPr>
        <w:tc>
          <w:tcPr>
            <w:tcW w:w="8360" w:type="dxa"/>
            <w:vAlign w:val="bottom"/>
            <w:shd w:val="clear" w:color="auto" w:fill="CCFFCC"/>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FFCC"/>
          </w:tcPr>
          <w:p>
            <w:pPr>
              <w:spacing w:after="0"/>
              <w:rPr>
                <w:sz w:val="19"/>
                <w:szCs w:val="19"/>
                <w:color w:val="auto"/>
              </w:rPr>
            </w:pPr>
          </w:p>
        </w:tc>
        <w:tc>
          <w:tcPr>
            <w:tcW w:w="46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18,677</w:t>
            </w: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long-lived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257,621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234,603</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United Kingdom, Germany, Japan, France, Italy, Spain, Canada, and Singapore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10"/>
        </w:trPr>
        <w:tc>
          <w:tcPr>
            <w:tcW w:w="828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FFC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226"/>
        </w:trPr>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Computer equipment and software</w:t>
            </w: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107,666</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92,493</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Furniture, equipment and building improvements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16,487</w:t>
            </w:r>
          </w:p>
        </w:tc>
      </w:tr>
      <w:tr>
        <w:trPr>
          <w:trHeight w:val="230"/>
        </w:trPr>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Internal-use software development costs</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86,454</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52,544</w:t>
            </w:r>
          </w:p>
        </w:tc>
      </w:tr>
      <w:tr>
        <w:trPr>
          <w:trHeight w:val="230"/>
        </w:trPr>
        <w:tc>
          <w:tcPr>
            <w:tcW w:w="8280" w:type="dxa"/>
            <w:vAlign w:val="bottom"/>
            <w:tcBorders>
              <w:bottom w:val="single" w:sz="8" w:color="CDFFCC"/>
            </w:tcBorders>
          </w:tcPr>
          <w:p>
            <w:pPr>
              <w:ind w:left="20"/>
              <w:spacing w:after="0"/>
              <w:rPr>
                <w:sz w:val="20"/>
                <w:szCs w:val="20"/>
                <w:color w:val="auto"/>
              </w:rPr>
            </w:pPr>
            <w:r>
              <w:rPr>
                <w:rFonts w:ascii="Arial" w:cs="Arial" w:eastAsia="Arial" w:hAnsi="Arial"/>
                <w:sz w:val="18"/>
                <w:szCs w:val="18"/>
                <w:color w:val="auto"/>
              </w:rPr>
              <w:t>Finance lease right-of-use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c>
          <w:tcPr>
            <w:tcW w:w="120" w:type="dxa"/>
            <w:vAlign w:val="bottom"/>
            <w:tcBorders>
              <w:bottom w:val="single" w:sz="8" w:color="CDFFC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8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204,165</w:t>
            </w:r>
          </w:p>
        </w:tc>
        <w:tc>
          <w:tcPr>
            <w:tcW w:w="120" w:type="dxa"/>
            <w:vAlign w:val="bottom"/>
            <w:shd w:val="clear" w:color="auto" w:fill="CDFFCC"/>
          </w:tcPr>
          <w:p>
            <w:pPr>
              <w:spacing w:after="0"/>
              <w:rPr>
                <w:sz w:val="19"/>
                <w:szCs w:val="19"/>
                <w:color w:val="auto"/>
              </w:rPr>
            </w:pPr>
          </w:p>
        </w:tc>
        <w:tc>
          <w:tcPr>
            <w:tcW w:w="480" w:type="dxa"/>
            <w:vAlign w:val="bottom"/>
            <w:shd w:val="clear" w:color="auto" w:fill="CDFFCC"/>
          </w:tcPr>
          <w:p>
            <w:pPr>
              <w:spacing w:after="0"/>
              <w:rPr>
                <w:sz w:val="19"/>
                <w:szCs w:val="19"/>
                <w:color w:val="auto"/>
              </w:rPr>
            </w:pPr>
          </w:p>
        </w:tc>
        <w:tc>
          <w:tcPr>
            <w:tcW w:w="92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161,524</w:t>
            </w:r>
          </w:p>
        </w:tc>
      </w:tr>
      <w:tr>
        <w:trPr>
          <w:trHeight w:val="230"/>
        </w:trPr>
        <w:tc>
          <w:tcPr>
            <w:tcW w:w="8280" w:type="dxa"/>
            <w:vAlign w:val="bottom"/>
            <w:tcBorders>
              <w:bottom w:val="single" w:sz="8" w:color="CDFFCC"/>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(98,110)</w:t>
            </w:r>
          </w:p>
        </w:tc>
        <w:tc>
          <w:tcPr>
            <w:tcW w:w="120" w:type="dxa"/>
            <w:vAlign w:val="bottom"/>
            <w:tcBorders>
              <w:bottom w:val="single" w:sz="8" w:color="CDFFC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(85,288)</w:t>
            </w:r>
          </w:p>
        </w:tc>
      </w:tr>
      <w:tr>
        <w:trPr>
          <w:trHeight w:val="248"/>
        </w:trPr>
        <w:tc>
          <w:tcPr>
            <w:tcW w:w="8280" w:type="dxa"/>
            <w:vAlign w:val="bottom"/>
            <w:tcBorders>
              <w:bottom w:val="single" w:sz="8" w:color="CDFFCC"/>
            </w:tcBorders>
            <w:shd w:val="clear" w:color="auto" w:fill="CDFFCC"/>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DFFC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106,055</w:t>
            </w:r>
          </w:p>
        </w:tc>
        <w:tc>
          <w:tcPr>
            <w:tcW w:w="120" w:type="dxa"/>
            <w:vAlign w:val="bottom"/>
            <w:tcBorders>
              <w:bottom w:val="single" w:sz="8" w:color="CDFFCC"/>
            </w:tcBorders>
            <w:shd w:val="clear" w:color="auto" w:fill="CDFFCC"/>
          </w:tcPr>
          <w:p>
            <w:pPr>
              <w:spacing w:after="0"/>
              <w:rPr>
                <w:sz w:val="21"/>
                <w:szCs w:val="21"/>
                <w:color w:val="auto"/>
              </w:rPr>
            </w:pPr>
          </w:p>
        </w:tc>
        <w:tc>
          <w:tcPr>
            <w:tcW w:w="480" w:type="dxa"/>
            <w:vAlign w:val="bottom"/>
            <w:tcBorders>
              <w:bottom w:val="single" w:sz="8" w:color="auto"/>
            </w:tcBorders>
            <w:shd w:val="clear" w:color="auto" w:fill="CDFFC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76,236</w:t>
            </w:r>
          </w:p>
        </w:tc>
      </w:tr>
      <w:tr>
        <w:trPr>
          <w:trHeight w:val="20"/>
        </w:trPr>
        <w:tc>
          <w:tcPr>
            <w:tcW w:w="8280" w:type="dxa"/>
            <w:vAlign w:val="bottom"/>
            <w:tcBorders>
              <w:top w:val="single" w:sz="8" w:color="CDFFCC"/>
            </w:tcBorders>
          </w:tcPr>
          <w:p>
            <w:pPr>
              <w:spacing w:after="0" w:line="20" w:lineRule="exact"/>
              <w:rPr>
                <w:sz w:val="1"/>
                <w:szCs w:val="1"/>
                <w:color w:val="auto"/>
              </w:rPr>
            </w:pPr>
          </w:p>
        </w:tc>
        <w:tc>
          <w:tcPr>
            <w:tcW w:w="320" w:type="dxa"/>
            <w:vAlign w:val="bottom"/>
            <w:tcBorders>
              <w:top w:val="single" w:sz="8" w:color="CDFFCC"/>
              <w:bottom w:val="single" w:sz="8" w:color="auto"/>
            </w:tcBorders>
          </w:tcPr>
          <w:p>
            <w:pPr>
              <w:spacing w:after="0" w:line="20" w:lineRule="exact"/>
              <w:rPr>
                <w:sz w:val="1"/>
                <w:szCs w:val="1"/>
                <w:color w:val="auto"/>
              </w:rPr>
            </w:pPr>
          </w:p>
        </w:tc>
        <w:tc>
          <w:tcPr>
            <w:tcW w:w="108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480" w:type="dxa"/>
            <w:vAlign w:val="bottom"/>
            <w:tcBorders>
              <w:top w:val="single" w:sz="8" w:color="CDFFCC"/>
              <w:bottom w:val="single" w:sz="8" w:color="auto"/>
            </w:tcBorders>
          </w:tcPr>
          <w:p>
            <w:pPr>
              <w:spacing w:after="0" w:line="20" w:lineRule="exact"/>
              <w:rPr>
                <w:sz w:val="1"/>
                <w:szCs w:val="1"/>
                <w:color w:val="auto"/>
              </w:rPr>
            </w:pPr>
          </w:p>
        </w:tc>
        <w:tc>
          <w:tcPr>
            <w:tcW w:w="920" w:type="dxa"/>
            <w:vAlign w:val="bottom"/>
            <w:tcBorders>
              <w:top w:val="single" w:sz="8" w:color="CDFFCC"/>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241"/>
        <w:spacing w:after="0" w:line="279" w:lineRule="auto"/>
        <w:rPr>
          <w:sz w:val="20"/>
          <w:szCs w:val="20"/>
          <w:color w:val="auto"/>
        </w:rPr>
      </w:pPr>
      <w:r>
        <w:rPr>
          <w:rFonts w:ascii="Arial" w:cs="Arial" w:eastAsia="Arial" w:hAnsi="Arial"/>
          <w:sz w:val="17"/>
          <w:szCs w:val="17"/>
          <w:color w:val="auto"/>
        </w:rPr>
        <w:t>In accordance with its policy, the Company reviews the estimated useful lives of its fixed assets on an ongoing basis. As of December 31, 2020 and 2019, there was approximately $30.5 million, and $25.3 million, respectively, of internal-use software development costs related to projects currently still in development, which are, therefore, not yet subject to amortization. Aggregate depreciation and amortization expense for property and equipment was $22.8 million, $16.4 million and $14.2 million for the years ended December 31, 2020, 2019, and 2018,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changes in the carrying amount of goodwill for the year ended December 31, 2020 are as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r>
      <w:tr>
        <w:trPr>
          <w:trHeight w:val="226"/>
        </w:trPr>
        <w:tc>
          <w:tcPr>
            <w:tcW w:w="75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Balance as of December 31, 2019</w:t>
            </w:r>
          </w:p>
        </w:tc>
        <w:tc>
          <w:tcPr>
            <w:tcW w:w="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86,963</w:t>
            </w: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Borders>
              <w:top w:val="single" w:sz="8" w:color="CCFFCC"/>
            </w:tcBorders>
            <w:shd w:val="clear" w:color="auto" w:fill="CCFFCC"/>
          </w:tcPr>
          <w:p>
            <w:pPr>
              <w:spacing w:after="0"/>
              <w:rPr>
                <w:sz w:val="19"/>
                <w:szCs w:val="19"/>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94,987</w:t>
            </w:r>
          </w:p>
        </w:tc>
      </w:tr>
      <w:tr>
        <w:trPr>
          <w:trHeight w:val="230"/>
        </w:trPr>
        <w:tc>
          <w:tcPr>
            <w:tcW w:w="7560" w:type="dxa"/>
            <w:vAlign w:val="bottom"/>
          </w:tcPr>
          <w:p>
            <w:pPr>
              <w:ind w:left="18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5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87,168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95,192</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2019 are as follows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r>
      <w:tr>
        <w:trPr>
          <w:trHeight w:val="226"/>
        </w:trPr>
        <w:tc>
          <w:tcPr>
            <w:tcW w:w="75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Balance as of December 31, 2018</w:t>
            </w:r>
          </w:p>
        </w:tc>
        <w:tc>
          <w:tcPr>
            <w:tcW w:w="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87,007</w:t>
            </w: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Borders>
              <w:top w:val="single" w:sz="8" w:color="CCFFCC"/>
            </w:tcBorders>
            <w:shd w:val="clear" w:color="auto" w:fill="CCFFCC"/>
          </w:tcPr>
          <w:p>
            <w:pPr>
              <w:spacing w:after="0"/>
              <w:rPr>
                <w:sz w:val="19"/>
                <w:szCs w:val="19"/>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95,031</w:t>
            </w:r>
          </w:p>
        </w:tc>
      </w:tr>
      <w:tr>
        <w:trPr>
          <w:trHeight w:val="230"/>
        </w:trPr>
        <w:tc>
          <w:tcPr>
            <w:tcW w:w="7560" w:type="dxa"/>
            <w:vAlign w:val="bottom"/>
          </w:tcPr>
          <w:p>
            <w:pPr>
              <w:ind w:left="18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5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75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Balance as of December 31, 2019</w:t>
            </w:r>
          </w:p>
        </w:tc>
        <w:tc>
          <w:tcPr>
            <w:tcW w:w="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86,963</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94,987</w:t>
            </w:r>
          </w:p>
        </w:tc>
      </w:tr>
      <w:tr>
        <w:trPr>
          <w:trHeight w:val="20"/>
        </w:trPr>
        <w:tc>
          <w:tcPr>
            <w:tcW w:w="75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9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9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920" w:type="dxa"/>
            <w:vAlign w:val="bottom"/>
            <w:tcBorders>
              <w:top w:val="single" w:sz="8" w:color="CCFFCC"/>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208"/>
        <w:spacing w:after="0" w:line="277" w:lineRule="auto"/>
        <w:rPr>
          <w:sz w:val="20"/>
          <w:szCs w:val="20"/>
          <w:color w:val="auto"/>
        </w:rPr>
      </w:pPr>
      <w:r>
        <w:rPr>
          <w:rFonts w:ascii="Arial" w:cs="Arial" w:eastAsia="Arial" w:hAnsi="Arial"/>
          <w:sz w:val="18"/>
          <w:szCs w:val="18"/>
          <w:color w:val="auto"/>
        </w:rPr>
        <w:t>The total accumulated goodwill impairment charges are $23.5 million through December 31, 2020. No impairment was recognized for the years ended December 31, 2020, 2019, and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(see Note 8)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7"/>
              </w:rPr>
              <w:t>Carrying</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FFC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Borders>
              <w:bottom w:val="single" w:sz="8" w:color="CCFFCC"/>
            </w:tcBorders>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Period</w:t>
            </w:r>
          </w:p>
        </w:tc>
        <w:tc>
          <w:tcPr>
            <w:tcW w:w="0" w:type="dxa"/>
            <w:vAlign w:val="bottom"/>
          </w:tcPr>
          <w:p>
            <w:pPr>
              <w:spacing w:after="0"/>
              <w:rPr>
                <w:sz w:val="1"/>
                <w:szCs w:val="1"/>
                <w:color w:val="auto"/>
              </w:rPr>
            </w:pPr>
          </w:p>
        </w:tc>
      </w:tr>
      <w:tr>
        <w:trPr>
          <w:trHeight w:val="212"/>
        </w:trPr>
        <w:tc>
          <w:tcPr>
            <w:tcW w:w="5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Amortizing intangible assets:</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30,499</w:t>
            </w:r>
          </w:p>
        </w:tc>
        <w:tc>
          <w:tcPr>
            <w:tcW w:w="6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(26,818)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5.4 years</w:t>
            </w:r>
          </w:p>
        </w:tc>
        <w:tc>
          <w:tcPr>
            <w:tcW w:w="0" w:type="dxa"/>
            <w:vAlign w:val="bottom"/>
          </w:tcPr>
          <w:p>
            <w:pPr>
              <w:spacing w:after="0"/>
              <w:rPr>
                <w:sz w:val="1"/>
                <w:szCs w:val="1"/>
                <w:color w:val="auto"/>
              </w:rPr>
            </w:pPr>
          </w:p>
        </w:tc>
      </w:tr>
      <w:tr>
        <w:trPr>
          <w:trHeight w:val="229"/>
        </w:trPr>
        <w:tc>
          <w:tcPr>
            <w:tcW w:w="5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16,981</w:t>
            </w:r>
          </w:p>
        </w:tc>
        <w:tc>
          <w:tcPr>
            <w:tcW w:w="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(13,982)</w:t>
            </w: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2,999</w:t>
            </w: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89"/>
              </w:rPr>
              <w:t>8.4 years</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Patents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7"/>
              </w:rPr>
              <w:t>12.5 years</w:t>
            </w:r>
          </w:p>
        </w:tc>
        <w:tc>
          <w:tcPr>
            <w:tcW w:w="0" w:type="dxa"/>
            <w:vAlign w:val="bottom"/>
          </w:tcPr>
          <w:p>
            <w:pPr>
              <w:spacing w:after="0"/>
              <w:rPr>
                <w:sz w:val="1"/>
                <w:szCs w:val="1"/>
                <w:color w:val="auto"/>
              </w:rPr>
            </w:pPr>
          </w:p>
        </w:tc>
      </w:tr>
      <w:tr>
        <w:trPr>
          <w:trHeight w:val="230"/>
        </w:trPr>
        <w:tc>
          <w:tcPr>
            <w:tcW w:w="5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314</w:t>
            </w:r>
          </w:p>
        </w:tc>
        <w:tc>
          <w:tcPr>
            <w:tcW w:w="60" w:type="dxa"/>
            <w:vAlign w:val="bottom"/>
            <w:tcBorders>
              <w:bottom w:val="single" w:sz="8" w:color="auto"/>
            </w:tcBorders>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300" w:type="dxa"/>
            <w:vAlign w:val="bottom"/>
            <w:tcBorders>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(235)</w:t>
            </w:r>
          </w:p>
        </w:tc>
        <w:tc>
          <w:tcPr>
            <w:tcW w:w="20" w:type="dxa"/>
            <w:vAlign w:val="bottom"/>
            <w:tcBorders>
              <w:bottom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89"/>
              </w:rPr>
              <w:t>2.2 years</w:t>
            </w: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52,870</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(41,943)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10,927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9"/>
        </w:trPr>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660"/>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6"/>
              </w:rPr>
              <w:t>Gross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4"/>
                <w:szCs w:val="14"/>
                <w:color w:val="auto"/>
              </w:rPr>
            </w:pPr>
          </w:p>
        </w:tc>
        <w:tc>
          <w:tcPr>
            <w:tcW w:w="1340" w:type="dxa"/>
            <w:vAlign w:val="bottom"/>
            <w:gridSpan w:val="4"/>
            <w:vMerge w:val="restart"/>
          </w:tcPr>
          <w:p>
            <w:pPr>
              <w:jc w:val="center"/>
              <w:ind w:right="260"/>
              <w:spacing w:after="0"/>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Carrying</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4"/>
              </w:rPr>
              <w:t>Amortization</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Period</w:t>
            </w:r>
          </w:p>
        </w:tc>
        <w:tc>
          <w:tcPr>
            <w:tcW w:w="0" w:type="dxa"/>
            <w:vAlign w:val="bottom"/>
          </w:tcPr>
          <w:p>
            <w:pPr>
              <w:spacing w:after="0"/>
              <w:rPr>
                <w:sz w:val="1"/>
                <w:szCs w:val="1"/>
                <w:color w:val="auto"/>
              </w:rPr>
            </w:pPr>
          </w:p>
        </w:tc>
      </w:tr>
      <w:tr>
        <w:trPr>
          <w:trHeight w:val="212"/>
        </w:trPr>
        <w:tc>
          <w:tcPr>
            <w:tcW w:w="528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Amortizing intangible assets:</w:t>
            </w: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30,413</w:t>
            </w:r>
          </w:p>
        </w:tc>
        <w:tc>
          <w:tcPr>
            <w:tcW w:w="60" w:type="dxa"/>
            <w:vAlign w:val="bottom"/>
          </w:tcPr>
          <w:p>
            <w:pPr>
              <w:spacing w:after="0"/>
              <w:rPr>
                <w:sz w:val="19"/>
                <w:szCs w:val="19"/>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(25,187)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35"/>
              <w:spacing w:after="0"/>
              <w:rPr>
                <w:sz w:val="20"/>
                <w:szCs w:val="20"/>
                <w:color w:val="auto"/>
              </w:rPr>
            </w:pPr>
            <w:r>
              <w:rPr>
                <w:rFonts w:ascii="Arial" w:cs="Arial" w:eastAsia="Arial" w:hAnsi="Arial"/>
                <w:sz w:val="18"/>
                <w:szCs w:val="18"/>
                <w:color w:val="auto"/>
                <w:w w:val="86"/>
              </w:rPr>
              <w:t>5.3 years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16,964</w:t>
            </w:r>
          </w:p>
        </w:tc>
        <w:tc>
          <w:tcPr>
            <w:tcW w:w="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(12,958)</w:t>
            </w: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4,006</w:t>
            </w:r>
          </w:p>
        </w:tc>
        <w:tc>
          <w:tcPr>
            <w:tcW w:w="1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jc w:val="center"/>
              <w:ind w:right="35"/>
              <w:spacing w:after="0"/>
              <w:rPr>
                <w:sz w:val="20"/>
                <w:szCs w:val="20"/>
                <w:color w:val="auto"/>
              </w:rPr>
            </w:pPr>
            <w:r>
              <w:rPr>
                <w:rFonts w:ascii="Arial" w:cs="Arial" w:eastAsia="Arial" w:hAnsi="Arial"/>
                <w:sz w:val="18"/>
                <w:szCs w:val="18"/>
                <w:color w:val="auto"/>
                <w:w w:val="86"/>
              </w:rPr>
              <w:t>8.4 years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color w:val="auto"/>
              </w:rPr>
              <w:t>Patents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55"/>
              <w:spacing w:after="0"/>
              <w:rPr>
                <w:sz w:val="20"/>
                <w:szCs w:val="20"/>
                <w:color w:val="auto"/>
              </w:rPr>
            </w:pPr>
            <w:r>
              <w:rPr>
                <w:rFonts w:ascii="Arial" w:cs="Arial" w:eastAsia="Arial" w:hAnsi="Arial"/>
                <w:sz w:val="18"/>
                <w:szCs w:val="18"/>
                <w:color w:val="auto"/>
                <w:w w:val="87"/>
              </w:rPr>
              <w:t>12.8 years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FFCC"/>
          </w:tcPr>
          <w:p>
            <w:pPr>
              <w:spacing w:after="0"/>
              <w:rPr>
                <w:sz w:val="19"/>
                <w:szCs w:val="19"/>
                <w:color w:val="auto"/>
              </w:rPr>
            </w:pPr>
          </w:p>
        </w:tc>
        <w:tc>
          <w:tcPr>
            <w:tcW w:w="2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jc w:val="center"/>
              <w:ind w:right="35"/>
              <w:spacing w:after="0"/>
              <w:rPr>
                <w:sz w:val="20"/>
                <w:szCs w:val="20"/>
                <w:color w:val="auto"/>
              </w:rPr>
            </w:pPr>
            <w:r>
              <w:rPr>
                <w:rFonts w:ascii="Arial" w:cs="Arial" w:eastAsia="Arial" w:hAnsi="Arial"/>
                <w:sz w:val="18"/>
                <w:szCs w:val="18"/>
                <w:color w:val="auto"/>
                <w:w w:val="86"/>
              </w:rPr>
              <w:t>2.7 years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 (Continued)</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is calculated over the estimated useful life of the asset. Aggregate amortization expense for intangible assets was $2.8 million, $2.9 million and $2.8 million for the years ended December 31, 2020, 2019 and 2018, respectively. For the years ended December 31, 2020, 2019 and 2018, a portion of this amortization is included in cost of revenue. Estimated amortization expense for the next five years is as follows (amounts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Estimated Amortization</w:t>
            </w:r>
          </w:p>
        </w:tc>
      </w:tr>
      <w:tr>
        <w:trPr>
          <w:trHeight w:val="213"/>
        </w:trPr>
        <w:tc>
          <w:tcPr>
            <w:tcW w:w="8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772"/>
              <w:spacing w:after="0"/>
              <w:rPr>
                <w:sz w:val="20"/>
                <w:szCs w:val="20"/>
                <w:color w:val="auto"/>
              </w:rPr>
            </w:pPr>
            <w:r>
              <w:rPr>
                <w:rFonts w:ascii="Arial" w:cs="Arial" w:eastAsia="Arial" w:hAnsi="Arial"/>
                <w:sz w:val="16"/>
                <w:szCs w:val="16"/>
                <w:b w:val="1"/>
                <w:bCs w:val="1"/>
                <w:color w:val="auto"/>
              </w:rPr>
              <w:t>Expense</w:t>
            </w:r>
          </w:p>
        </w:tc>
      </w:tr>
      <w:tr>
        <w:trPr>
          <w:trHeight w:val="232"/>
        </w:trPr>
        <w:tc>
          <w:tcPr>
            <w:tcW w:w="8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2,611</w:t>
            </w: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30"/>
        </w:trPr>
        <w:tc>
          <w:tcPr>
            <w:tcW w:w="8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FFCC"/>
          </w:tcPr>
          <w:p>
            <w:pPr>
              <w:spacing w:after="0"/>
              <w:rPr>
                <w:sz w:val="19"/>
                <w:szCs w:val="19"/>
                <w:color w:val="auto"/>
              </w:rPr>
            </w:pPr>
          </w:p>
        </w:tc>
        <w:tc>
          <w:tcPr>
            <w:tcW w:w="2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959</w:t>
            </w: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8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FFCC"/>
          </w:tcPr>
          <w:p>
            <w:pPr>
              <w:spacing w:after="0"/>
              <w:rPr>
                <w:sz w:val="19"/>
                <w:szCs w:val="19"/>
                <w:color w:val="auto"/>
              </w:rPr>
            </w:pPr>
          </w:p>
        </w:tc>
        <w:tc>
          <w:tcPr>
            <w:tcW w:w="2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894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r>
      <w:tr>
        <w:trPr>
          <w:trHeight w:val="248"/>
        </w:trPr>
        <w:tc>
          <w:tcPr>
            <w:tcW w:w="894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10,927</w:t>
            </w:r>
          </w:p>
        </w:tc>
      </w:tr>
      <w:tr>
        <w:trPr>
          <w:trHeight w:val="20"/>
        </w:trPr>
        <w:tc>
          <w:tcPr>
            <w:tcW w:w="89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208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 and Other Current Liabilities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liabilities and other current liabilities for the periods presented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10"/>
        </w:trPr>
        <w:tc>
          <w:tcPr>
            <w:tcW w:w="828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FFC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226"/>
        </w:trPr>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Payroll and other employee related costs</w:t>
            </w: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39,820</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27,920</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Professional services, consulting and other vendor fees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20,382</w:t>
            </w:r>
          </w:p>
        </w:tc>
      </w:tr>
      <w:tr>
        <w:trPr>
          <w:trHeight w:val="230"/>
        </w:trPr>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Unrecognized tax benefits</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Sales commissions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9,654</w:t>
            </w:r>
          </w:p>
        </w:tc>
      </w:tr>
      <w:tr>
        <w:trPr>
          <w:trHeight w:val="229"/>
        </w:trPr>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Contingent earn-out (Note 8)</w:t>
            </w:r>
          </w:p>
        </w:tc>
        <w:tc>
          <w:tcPr>
            <w:tcW w:w="3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8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 Income Tax</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2,954</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FFC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w:t>
            </w:r>
          </w:p>
        </w:tc>
      </w:tr>
      <w:tr>
        <w:trPr>
          <w:trHeight w:val="248"/>
        </w:trPr>
        <w:tc>
          <w:tcPr>
            <w:tcW w:w="82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99,870</w:t>
            </w:r>
          </w:p>
        </w:tc>
        <w:tc>
          <w:tcPr>
            <w:tcW w:w="1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62,778</w:t>
            </w:r>
          </w:p>
        </w:tc>
      </w:tr>
      <w:tr>
        <w:trPr>
          <w:trHeight w:val="20"/>
        </w:trPr>
        <w:tc>
          <w:tcPr>
            <w:tcW w:w="82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CCFFCC"/>
              <w:bottom w:val="single" w:sz="8" w:color="auto"/>
            </w:tcBorders>
          </w:tcPr>
          <w:p>
            <w:pPr>
              <w:spacing w:after="0" w:line="20" w:lineRule="exact"/>
              <w:rPr>
                <w:sz w:val="1"/>
                <w:szCs w:val="1"/>
                <w:color w:val="auto"/>
              </w:rPr>
            </w:pPr>
          </w:p>
        </w:tc>
        <w:tc>
          <w:tcPr>
            <w:tcW w:w="92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 and Capped Call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2019 Convertible Senior Notes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2019, the Company issued $230.0 million aggregate principal amount of 0.750% Convertible Senior Notes due 2024 in a private placement, which amount includes $30.0 million aggregate principal amount of such Notes pursuant to the exercise in full of the over-allotment options of the initial purchasers (collectively, the “2024 Notes”). The interest on the 2024 Notes is payable semi-annually in arrears on March 1 and September 1 of each year, beginning on September 1, 2019.</w:t>
      </w:r>
    </w:p>
    <w:p>
      <w:pPr>
        <w:spacing w:after="0" w:line="79" w:lineRule="exact"/>
        <w:rPr>
          <w:sz w:val="20"/>
          <w:szCs w:val="20"/>
          <w:color w:val="auto"/>
        </w:rPr>
      </w:pPr>
    </w:p>
    <w:p>
      <w:pPr>
        <w:jc w:val="both"/>
        <w:ind w:right="20" w:firstLine="693"/>
        <w:spacing w:after="0" w:line="308" w:lineRule="auto"/>
        <w:rPr>
          <w:sz w:val="20"/>
          <w:szCs w:val="20"/>
          <w:color w:val="auto"/>
        </w:rPr>
      </w:pPr>
      <w:r>
        <w:rPr>
          <w:rFonts w:ascii="Arial" w:cs="Arial" w:eastAsia="Arial" w:hAnsi="Arial"/>
          <w:sz w:val="17"/>
          <w:szCs w:val="17"/>
          <w:color w:val="auto"/>
        </w:rPr>
        <w:t>The 2024 Notes will mature on March 1, 2024, unless earlier repurchased or redeemed by the Company or converted pursuant to their terms. The total net proceeds from the debt offering, after deducting debt issuance costs, paid or payable by us, was approximately $221.4 million.</w:t>
      </w:r>
    </w:p>
    <w:p>
      <w:pPr>
        <w:spacing w:after="0" w:line="38" w:lineRule="exact"/>
        <w:rPr>
          <w:sz w:val="20"/>
          <w:szCs w:val="20"/>
          <w:color w:val="auto"/>
        </w:rPr>
      </w:pPr>
    </w:p>
    <w:p>
      <w:pPr>
        <w:jc w:val="both"/>
        <w:ind w:firstLine="704"/>
        <w:spacing w:after="0" w:line="290" w:lineRule="auto"/>
        <w:rPr>
          <w:sz w:val="20"/>
          <w:szCs w:val="20"/>
          <w:color w:val="auto"/>
        </w:rPr>
      </w:pPr>
      <w:r>
        <w:rPr>
          <w:rFonts w:ascii="Arial" w:cs="Arial" w:eastAsia="Arial" w:hAnsi="Arial"/>
          <w:sz w:val="16"/>
          <w:szCs w:val="16"/>
          <w:color w:val="auto"/>
        </w:rPr>
        <w:t>Each $1,000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we undergo a fundamental change (as defined in the indenture governing the 2024 Notes) prior to the maturity date, holders may require us to repurchase for cash all or any portion of their 2024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the Company’s current intent to settle the principal amount of its outstanding 2024 Notes in cash and any excess in shares of the Company’s common stock.</w:t>
      </w:r>
    </w:p>
    <w:p>
      <w:pPr>
        <w:spacing w:after="0" w:line="6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year ended December 31, 2020, the conditions allowing holders of the 2024 Notes to convert were met, and, thus, holders of the 2024 Notes maintain the option to convert their 2024 Notes. No 2024 Notes were converted during the year ended December 31, 2020. The Company continues to classify the 2024 Notes as a long-term liability in its consolidated balance sheet as at December 31, 2020, based on contractual settlement provisions.</w:t>
      </w:r>
    </w:p>
    <w:p>
      <w:pPr>
        <w:spacing w:after="0" w:line="4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accounting for the issuance of the 2024 Notes, the Company separated the 2024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2024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2024 Notes.</w:t>
      </w:r>
    </w:p>
    <w:p>
      <w:pPr>
        <w:spacing w:after="0" w:line="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accounting for the transaction costs related to the 2024 Notes, the Company allocated the total amount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terms of the 2024 Notes. Issuance costs attributable to the equity component were approximately $2.0 million and recorded as a reduction of additional paid in capital in stockholders’ equity.</w:t>
      </w:r>
    </w:p>
    <w:p>
      <w:pPr>
        <w:spacing w:after="0" w:line="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the offering of the 2024 Notes, the Company entered into privately-negotiated capped call option transactions with certain counterparties (the “capped calls”). The capped calls each have an initial strike price of approximately $38.58 per share, subject to certain adjustments, which corresponds to the initial conversion price of the 2024 Notes. The capped calls have initial cap prices of $57.16 per share, subject to certain adjustment events. The capped calls cover, subject to anti-dilution adjustments, approximately 5.96 million shares of common stock. The capped calls are generally intended to reduce or offset the potential dilution to the common stock upon any conversion of the 2024 Notes with such reduction or offset, as the case may be, subject to a cap based on the cap price. The capped calls expire on March 1, 2024,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failure to deliver, and hedging disruptions. The capped calls are recorded in stockholders’ equity and are not accounted for as derivatives. The net cost of $23.2 million incurred to purchase the capped calls was recorded as a reduction to additional paid-in capital in the accompanying consolidated balance sheet.</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remaining term over which the March 2019 Convertible Senior Notes debt discount and debt issuance costs will be amortized is 3.2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interest rate on the debt was 4.66% for the year ended December 31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2020 Convertible Senior Notes</w:t>
      </w:r>
    </w:p>
    <w:p>
      <w:pPr>
        <w:spacing w:after="0" w:line="3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2020, the Company issued $517.5 million aggregate principal amount of 0% Convertible Senior Notes due 2026 in a private placement, which amount includes $67.5 million aggregate principal amount of such Notes pursuant to the exercise in full of the over-allotment options of the initial purchasers (collectively, the “2026 Notes”, and, together with the 2024 Notes, the "Notes").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2026 Notes will mature on December 15, 2026, unless earlier repurchased or redeemed by the Company or converted pursuant to their terms.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net proceeds from the debt offering, after deducting debt issuance costs, paid or payable by us, was approximately $505.3 million.</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$1,000 principal amount of the 2026 Notes is initially convertible into 13.2933 shares of the Company’s common stock par value $0.001, which is equivalent to an initial conversion price of approximately $75.23 per share. The conversion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we undergo a fundamental change (as defined in the indenture governing the 2026 Notes) prior to the maturity date, holders may require us to repurchase for cash all or any portion of their Notes in principal amounts of $1,000 or a multiple thereof at a fundamental change repurchase price equal to 100% of the principal amount of the 2026 Notes to be repurchased, plus accrued and unpaid interest to, but excluding, the fundamental change repurchase date.</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or (3)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the Company’s current intent to settle the principal amount of its outstanding 2026 Notes in cash and any excess in shares of the Company’s common stock.</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conditions allowing holders of the 2026 Notes to convert were not met.</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2026 Notes are senior unsecured obligations and will rank senior in right of payment to any of the Company’s indebtedness that is expressly subordinated in right of payment to the 2026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accounting for the issuance of the 2026 Notes, the Company separated the 2026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$162.5 million and was determined by deducting the fair value of the liability component from the par value of the 2026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2026 Notes.</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accounting for the transaction costs related to the 2026 Notes, the Company allocated the total amount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terms of the 2026 Notes. Issuance costs attributable to the equity component were approximately $3.7 million and recorded as a reduction of additional paid in capital in stockholders’ equity.</w:t>
      </w:r>
    </w:p>
    <w:p>
      <w:pPr>
        <w:spacing w:after="0" w:line="2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offering of the 2026 Notes, the Company entered into privately-negotiated capped call option transactions with certain counterparties (the “capped calls”). The capped calls each have an initial strike price of approximately $75.23 per share, subject to certain adjustments, which corresponds to the initial conversion price of the 2026 Notes. The capped calls have initial cap prices of $105.58 per share, subject to certain adjustment events. The capped calls cover, subject to anti-dilution adjustments, approximately 6.88 million shares of common stock. The capped calls are generally intended to reduce or offset the potential dilution to the common stock upon any conversion of the 2026 Notes with such reduction or offset, as the case may be, subject to a cap based on the cap price. The capped calls expire on December 15, 2026, subject to earlier exercise. The capped calls are subject to either adjustment or termination upon the occurrence of specified extraordinary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failure to deliver, and hedging disruptions. The capped calls are recorded in stockholders’ equity and are not accounted for as derivatives. The net cost of $46.1 million incurred to purchase the capped calls was recorded as a reduction to additional paid-in capital in the accompanying consolidated balance sheet.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remaining term over which the December 2020 Convertible Senior Notes debt discount and debt issuance costs will be amortized is 5.9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interest rate on the debt was 6.61% for the year ended December 31 2020.</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4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As of December 31, 2020</w:t>
            </w:r>
          </w:p>
        </w:tc>
        <w:tc>
          <w:tcPr>
            <w:tcW w:w="20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As of December 31, 2019</w:t>
            </w:r>
          </w:p>
        </w:tc>
      </w:tr>
      <w:tr>
        <w:trPr>
          <w:trHeight w:val="211"/>
        </w:trPr>
        <w:tc>
          <w:tcPr>
            <w:tcW w:w="7140" w:type="dxa"/>
            <w:vAlign w:val="bottom"/>
            <w:shd w:val="clear" w:color="auto" w:fill="CCFFCC"/>
          </w:tcPr>
          <w:p>
            <w:pPr>
              <w:ind w:left="20"/>
              <w:spacing w:after="0"/>
              <w:rPr>
                <w:sz w:val="20"/>
                <w:szCs w:val="20"/>
                <w:color w:val="auto"/>
              </w:rPr>
            </w:pPr>
            <w:r>
              <w:rPr>
                <w:rFonts w:ascii="Arial" w:cs="Arial" w:eastAsia="Arial" w:hAnsi="Arial"/>
                <w:sz w:val="16"/>
                <w:szCs w:val="16"/>
                <w:color w:val="auto"/>
              </w:rPr>
              <w:t>Principal</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747,500</w:t>
            </w: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230,000</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Unamortized discount</w:t>
            </w: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(196,269)</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(45,295)</w:t>
            </w:r>
          </w:p>
        </w:tc>
      </w:tr>
      <w:tr>
        <w:trPr>
          <w:trHeight w:val="216"/>
        </w:trPr>
        <w:tc>
          <w:tcPr>
            <w:tcW w:w="7140" w:type="dxa"/>
            <w:vAlign w:val="bottom"/>
            <w:shd w:val="clear" w:color="auto" w:fill="CCFFCC"/>
          </w:tcPr>
          <w:p>
            <w:pPr>
              <w:ind w:left="20"/>
              <w:spacing w:after="0"/>
              <w:rPr>
                <w:sz w:val="20"/>
                <w:szCs w:val="20"/>
                <w:color w:val="auto"/>
              </w:rPr>
            </w:pPr>
            <w:r>
              <w:rPr>
                <w:rFonts w:ascii="Arial" w:cs="Arial" w:eastAsia="Arial" w:hAnsi="Arial"/>
                <w:sz w:val="16"/>
                <w:szCs w:val="16"/>
                <w:color w:val="auto"/>
              </w:rPr>
              <w:t>Unamortized issuance costs</w:t>
            </w:r>
          </w:p>
        </w:tc>
        <w:tc>
          <w:tcPr>
            <w:tcW w:w="180" w:type="dxa"/>
            <w:vAlign w:val="bottom"/>
            <w:tcBorders>
              <w:bottom w:val="single" w:sz="8" w:color="auto"/>
            </w:tcBorders>
            <w:shd w:val="clear" w:color="auto" w:fill="CCFFCC"/>
          </w:tcPr>
          <w:p>
            <w:pPr>
              <w:spacing w:after="0"/>
              <w:rPr>
                <w:sz w:val="18"/>
                <w:szCs w:val="18"/>
                <w:color w:val="auto"/>
              </w:rPr>
            </w:pPr>
          </w:p>
        </w:tc>
        <w:tc>
          <w:tcPr>
            <w:tcW w:w="1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(12,799)</w:t>
            </w:r>
          </w:p>
        </w:tc>
        <w:tc>
          <w:tcPr>
            <w:tcW w:w="200" w:type="dxa"/>
            <w:vAlign w:val="bottom"/>
            <w:tcBorders>
              <w:bottom w:val="single" w:sz="8" w:color="auto"/>
            </w:tcBorders>
            <w:shd w:val="clear" w:color="auto" w:fill="CCFFCC"/>
          </w:tcPr>
          <w:p>
            <w:pPr>
              <w:spacing w:after="0"/>
              <w:rPr>
                <w:sz w:val="18"/>
                <w:szCs w:val="18"/>
                <w:color w:val="auto"/>
              </w:rPr>
            </w:pPr>
          </w:p>
        </w:tc>
        <w:tc>
          <w:tcPr>
            <w:tcW w:w="1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(5,693)</w:t>
            </w:r>
          </w:p>
        </w:tc>
      </w:tr>
      <w:tr>
        <w:trPr>
          <w:trHeight w:val="212"/>
        </w:trPr>
        <w:tc>
          <w:tcPr>
            <w:tcW w:w="7140" w:type="dxa"/>
            <w:vAlign w:val="bottom"/>
          </w:tcPr>
          <w:p>
            <w:pPr>
              <w:ind w:left="20"/>
              <w:spacing w:after="0"/>
              <w:rPr>
                <w:sz w:val="20"/>
                <w:szCs w:val="20"/>
                <w:color w:val="auto"/>
              </w:rPr>
            </w:pPr>
            <w:r>
              <w:rPr>
                <w:rFonts w:ascii="Arial" w:cs="Arial" w:eastAsia="Arial" w:hAnsi="Arial"/>
                <w:sz w:val="16"/>
                <w:szCs w:val="16"/>
                <w:color w:val="auto"/>
              </w:rPr>
              <w:t>Net carrying amount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538,432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179,012</w:t>
            </w:r>
          </w:p>
        </w:tc>
      </w:tr>
      <w:tr>
        <w:trPr>
          <w:trHeight w:val="21"/>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carrying amount of the equity component of the Notes was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4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As of December 31, 2020</w:t>
            </w:r>
          </w:p>
        </w:tc>
        <w:tc>
          <w:tcPr>
            <w:tcW w:w="20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As of December 31, 2019</w:t>
            </w:r>
          </w:p>
        </w:tc>
      </w:tr>
      <w:tr>
        <w:trPr>
          <w:trHeight w:val="211"/>
        </w:trPr>
        <w:tc>
          <w:tcPr>
            <w:tcW w:w="7140" w:type="dxa"/>
            <w:vAlign w:val="bottom"/>
            <w:shd w:val="clear" w:color="auto" w:fill="CCFFCC"/>
          </w:tcPr>
          <w:p>
            <w:pPr>
              <w:ind w:left="20"/>
              <w:spacing w:after="0"/>
              <w:rPr>
                <w:sz w:val="20"/>
                <w:szCs w:val="20"/>
                <w:color w:val="auto"/>
              </w:rPr>
            </w:pPr>
            <w:r>
              <w:rPr>
                <w:rFonts w:ascii="Arial" w:cs="Arial" w:eastAsia="Arial" w:hAnsi="Arial"/>
                <w:sz w:val="16"/>
                <w:szCs w:val="16"/>
                <w:color w:val="auto"/>
              </w:rPr>
              <w:t>Proceeds allocated to the conversion options (debt discount)</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215,434</w:t>
            </w: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FFCC"/>
          </w:tcPr>
          <w:p>
            <w:pPr>
              <w:ind w:left="1340"/>
              <w:spacing w:after="0"/>
              <w:rPr>
                <w:sz w:val="20"/>
                <w:szCs w:val="20"/>
                <w:color w:val="auto"/>
              </w:rPr>
            </w:pPr>
            <w:r>
              <w:rPr>
                <w:rFonts w:ascii="Arial" w:cs="Arial" w:eastAsia="Arial" w:hAnsi="Arial"/>
                <w:sz w:val="16"/>
                <w:szCs w:val="16"/>
                <w:color w:val="auto"/>
              </w:rPr>
              <w:t>52,900</w:t>
            </w:r>
          </w:p>
        </w:tc>
      </w:tr>
      <w:tr>
        <w:trPr>
          <w:trHeight w:val="213"/>
        </w:trPr>
        <w:tc>
          <w:tcPr>
            <w:tcW w:w="7140" w:type="dxa"/>
            <w:vAlign w:val="bottom"/>
            <w:tcBorders>
              <w:bottom w:val="single" w:sz="8" w:color="CCFFCC"/>
            </w:tcBorders>
          </w:tcPr>
          <w:p>
            <w:pPr>
              <w:ind w:left="20"/>
              <w:spacing w:after="0"/>
              <w:rPr>
                <w:sz w:val="20"/>
                <w:szCs w:val="20"/>
                <w:color w:val="auto"/>
              </w:rPr>
            </w:pPr>
            <w:r>
              <w:rPr>
                <w:rFonts w:ascii="Arial" w:cs="Arial" w:eastAsia="Arial" w:hAnsi="Arial"/>
                <w:sz w:val="16"/>
                <w:szCs w:val="16"/>
                <w:color w:val="auto"/>
              </w:rPr>
              <w:t>Issuance costs</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(5,783)</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w w:val="94"/>
              </w:rPr>
              <w:t>(1,986)</w:t>
            </w:r>
          </w:p>
        </w:tc>
      </w:tr>
      <w:tr>
        <w:trPr>
          <w:trHeight w:val="237"/>
        </w:trPr>
        <w:tc>
          <w:tcPr>
            <w:tcW w:w="7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Net carrying amount</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209,651</w:t>
            </w: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ind w:left="1340"/>
              <w:spacing w:after="0"/>
              <w:rPr>
                <w:sz w:val="20"/>
                <w:szCs w:val="20"/>
                <w:color w:val="auto"/>
              </w:rPr>
            </w:pPr>
            <w:r>
              <w:rPr>
                <w:rFonts w:ascii="Arial" w:cs="Arial" w:eastAsia="Arial" w:hAnsi="Arial"/>
                <w:sz w:val="16"/>
                <w:szCs w:val="16"/>
                <w:color w:val="auto"/>
              </w:rPr>
              <w:t>50,914</w:t>
            </w:r>
          </w:p>
        </w:tc>
      </w:tr>
      <w:tr>
        <w:trPr>
          <w:trHeight w:val="20"/>
        </w:trPr>
        <w:tc>
          <w:tcPr>
            <w:tcW w:w="71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860" w:type="dxa"/>
            <w:vAlign w:val="bottom"/>
            <w:tcBorders>
              <w:top w:val="single" w:sz="8" w:color="CCFFCC"/>
              <w:bottom w:val="single" w:sz="8" w:color="auto"/>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860" w:type="dxa"/>
            <w:vAlign w:val="bottom"/>
            <w:tcBorders>
              <w:top w:val="single" w:sz="8" w:color="CCFFCC"/>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interest expense recognized related to the Notes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Contractual interest expense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issuance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Amortization of debt discount</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0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For the Year Ended December</w:t>
            </w:r>
          </w:p>
        </w:tc>
        <w:tc>
          <w:tcPr>
            <w:tcW w:w="2080" w:type="dxa"/>
            <w:vAlign w:val="bottom"/>
            <w:tcBorders>
              <w:top w:val="single" w:sz="8" w:color="auto"/>
            </w:tcBorders>
            <w:gridSpan w:val="2"/>
          </w:tcPr>
          <w:p>
            <w:pPr>
              <w:jc w:val="right"/>
              <w:ind w:right="21"/>
              <w:spacing w:after="0" w:line="149" w:lineRule="exact"/>
              <w:rPr>
                <w:sz w:val="20"/>
                <w:szCs w:val="20"/>
                <w:color w:val="auto"/>
              </w:rPr>
            </w:pPr>
            <w:r>
              <w:rPr>
                <w:rFonts w:ascii="Arial" w:cs="Arial" w:eastAsia="Arial" w:hAnsi="Arial"/>
                <w:sz w:val="14"/>
                <w:szCs w:val="14"/>
                <w:b w:val="1"/>
                <w:bCs w:val="1"/>
                <w:color w:val="auto"/>
                <w:w w:val="98"/>
              </w:rPr>
              <w:t>For the Year Ended December</w:t>
            </w:r>
          </w:p>
        </w:tc>
      </w:tr>
      <w:tr>
        <w:trPr>
          <w:trHeight w:val="188"/>
        </w:trPr>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31, 2020</w:t>
            </w: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31, 2019</w:t>
            </w:r>
          </w:p>
        </w:tc>
      </w:tr>
      <w:tr>
        <w:trPr>
          <w:trHeight w:val="205"/>
        </w:trPr>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1,725</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1,438</w:t>
            </w:r>
          </w:p>
        </w:tc>
      </w:tr>
      <w:tr>
        <w:trPr>
          <w:trHeight w:val="216"/>
        </w:trPr>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1,340</w:t>
            </w:r>
          </w:p>
        </w:tc>
        <w:tc>
          <w:tcPr>
            <w:tcW w:w="4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9"/>
        </w:trPr>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11,564</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7,605</w:t>
            </w:r>
          </w:p>
        </w:tc>
      </w:tr>
      <w:tr>
        <w:trPr>
          <w:trHeight w:val="210"/>
        </w:trPr>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14,629</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9,999</w:t>
            </w:r>
          </w:p>
        </w:tc>
      </w:tr>
      <w:tr>
        <w:trPr>
          <w:trHeight w:val="23"/>
        </w:trPr>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-599440</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-316865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100"/>
          </w:cols>
          <w:pgMar w:left="320" w:top="121" w:right="339" w:bottom="1440" w:gutter="0" w:footer="0" w:header="0"/>
          <w:type w:val="continuous"/>
        </w:sectPr>
      </w:pPr>
    </w:p>
    <w:p>
      <w:pPr>
        <w:spacing w:after="0" w:line="1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of $14.6 million is reflected as a component of interest (expense) income, net in the accompanying consolidated statement of operations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AdvantageTec Inc.</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October 2018, the Company entered into a stock purchase agreement to acquire the outstanding equity interest of AdvantageTec Inc. (“AdvantageTec”), a leading provider of texting solutions for service departments of automotive dealerships that helps enable the conversational experience across the entire dealership, including both front end/variable operations (new and used vehicle sales) and back end/fixed operations (parts and services). The purchase agreement was for total consideration of approximately $11.2 million, which includes approximately $6.0 million in cash, approximately $4.3 million in shares of common stock, and approximately $0.9 million of potential earn-out consideration in cash and shares of common stock. The earn-out is contingent upon achieving certain targeted financial, strategic and integration objectives and milestones and is included as part of the purchase price. During 2019, the Company recorded a $0.2 million fair value re-measurement adjustment and made payments of $0.5 million in earn-out consideration. The Company settled the remaining contingent earn-out of approximately $0.3 million in stock. As of December 31, 2020, there are no additional contingent earn-out payments.</w:t>
      </w:r>
    </w:p>
    <w:p>
      <w:pPr>
        <w:spacing w:after="0" w:line="88" w:lineRule="exact"/>
        <w:rPr>
          <w:sz w:val="20"/>
          <w:szCs w:val="20"/>
          <w:color w:val="auto"/>
        </w:rPr>
      </w:pPr>
    </w:p>
    <w:p>
      <w:pPr>
        <w:jc w:val="both"/>
        <w:ind w:firstLine="197"/>
        <w:spacing w:after="0" w:line="263" w:lineRule="auto"/>
        <w:rPr>
          <w:sz w:val="20"/>
          <w:szCs w:val="20"/>
          <w:color w:val="auto"/>
        </w:rPr>
      </w:pPr>
      <w:r>
        <w:rPr>
          <w:rFonts w:ascii="Arial" w:cs="Arial" w:eastAsia="Arial" w:hAnsi="Arial"/>
          <w:sz w:val="18"/>
          <w:szCs w:val="18"/>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280"/>
        <w:spacing w:after="0" w:line="277" w:lineRule="auto"/>
        <w:rPr>
          <w:sz w:val="20"/>
          <w:szCs w:val="20"/>
          <w:color w:val="auto"/>
        </w:rPr>
      </w:pPr>
      <w:r>
        <w:rPr>
          <w:rFonts w:ascii="Arial" w:cs="Arial" w:eastAsia="Arial" w:hAnsi="Arial"/>
          <w:sz w:val="18"/>
          <w:szCs w:val="18"/>
          <w:color w:val="auto"/>
        </w:rPr>
        <w:t>AdvantageTec Inc. enhances the Company’s messaging platform available for the automotive industry and is included in the Company's business segment.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Conversable, Inc.</w:t>
      </w:r>
    </w:p>
    <w:p>
      <w:pPr>
        <w:spacing w:after="0" w:line="117" w:lineRule="exact"/>
        <w:rPr>
          <w:sz w:val="20"/>
          <w:szCs w:val="20"/>
          <w:color w:val="auto"/>
        </w:rPr>
      </w:pPr>
    </w:p>
    <w:p>
      <w:pPr>
        <w:jc w:val="both"/>
        <w:ind w:firstLine="269"/>
        <w:spacing w:after="0" w:line="296" w:lineRule="auto"/>
        <w:rPr>
          <w:sz w:val="20"/>
          <w:szCs w:val="20"/>
          <w:color w:val="auto"/>
        </w:rPr>
      </w:pPr>
      <w:r>
        <w:rPr>
          <w:rFonts w:ascii="Arial" w:cs="Arial" w:eastAsia="Arial" w:hAnsi="Arial"/>
          <w:sz w:val="16"/>
          <w:szCs w:val="16"/>
          <w:color w:val="auto"/>
        </w:rPr>
        <w:t>In September 2018, the Company acquired the employees and technology assets of Conversable, Inc. a SaaS based Artificial Intelligence powered conversational platform, headquartered in Austin, Texas, for an aggregate estimated purchase price of $5.7 million. The estimated purchase price consisted of $1.3 million in cash, approximately $2.9 million in shares of common stock of the Company, and a potential earn-out consideration of $1.5 million in cash, which is based on achieving certain targeted financial, strategic, and integration objectives and milestones and is included as part of the purchase price. During 2019, the Company recorded a $0.5 million fair value re-measurement adjustment and settled the remaining contingent earn-out in stock.</w:t>
      </w:r>
    </w:p>
    <w:p>
      <w:pPr>
        <w:spacing w:after="0" w:line="53" w:lineRule="exact"/>
        <w:rPr>
          <w:sz w:val="20"/>
          <w:szCs w:val="20"/>
          <w:color w:val="auto"/>
        </w:rPr>
      </w:pPr>
    </w:p>
    <w:p>
      <w:pPr>
        <w:jc w:val="both"/>
        <w:ind w:firstLine="197"/>
        <w:spacing w:after="0" w:line="259" w:lineRule="auto"/>
        <w:rPr>
          <w:sz w:val="20"/>
          <w:szCs w:val="20"/>
          <w:color w:val="auto"/>
        </w:rPr>
      </w:pPr>
      <w:r>
        <w:rPr>
          <w:rFonts w:ascii="Arial" w:cs="Arial" w:eastAsia="Arial" w:hAnsi="Arial"/>
          <w:sz w:val="18"/>
          <w:szCs w:val="18"/>
          <w:color w:val="auto"/>
        </w:rPr>
        <w:t>The purchase price allocation resulted in approximately $5.5 million of goodwill and approximately $0.5 million of intangible assets. The goodwill will be deductible for tax purposes. The intangible assets are being amortized over their expected period of benefit. The allocation of the purchase price to net book value of acquired assets and liabilities resulted in a net liability $0.3 million, which includes accounts receivable, property and equipment, accrued expenses, and deferred revenue.</w:t>
      </w:r>
    </w:p>
    <w:p>
      <w:pPr>
        <w:spacing w:after="0" w:line="79" w:lineRule="exact"/>
        <w:rPr>
          <w:sz w:val="20"/>
          <w:szCs w:val="20"/>
          <w:color w:val="auto"/>
        </w:rPr>
      </w:pPr>
    </w:p>
    <w:p>
      <w:pPr>
        <w:jc w:val="both"/>
        <w:ind w:firstLine="252"/>
        <w:spacing w:after="0" w:line="259" w:lineRule="auto"/>
        <w:rPr>
          <w:sz w:val="20"/>
          <w:szCs w:val="20"/>
          <w:color w:val="auto"/>
        </w:rPr>
      </w:pPr>
      <w:r>
        <w:rPr>
          <w:rFonts w:ascii="Arial" w:cs="Arial" w:eastAsia="Arial" w:hAnsi="Arial"/>
          <w:sz w:val="18"/>
          <w:szCs w:val="18"/>
          <w:color w:val="auto"/>
        </w:rPr>
        <w:t>Conversable Inc.’s capabilities will accelerate the ongoing expansion of the Company’s Conversational Space solutions and enhance the Company’s ability to deliver proactive and personalized content and services when and where the customer needs it, helping consumers find immediate service through messaging. Conversable, Inc. will be included in the Company’s business segment. The results of this acquisition were not significant to the results of operations for the year ended December 31, 2018.</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BotCentral, Inc.</w:t>
      </w:r>
    </w:p>
    <w:p>
      <w:pPr>
        <w:spacing w:after="0" w:line="225" w:lineRule="exact"/>
        <w:rPr>
          <w:sz w:val="20"/>
          <w:szCs w:val="20"/>
          <w:color w:val="auto"/>
        </w:rPr>
      </w:pPr>
    </w:p>
    <w:p>
      <w:pPr>
        <w:jc w:val="both"/>
        <w:ind w:firstLine="234"/>
        <w:spacing w:after="0" w:line="254" w:lineRule="auto"/>
        <w:rPr>
          <w:sz w:val="20"/>
          <w:szCs w:val="20"/>
          <w:color w:val="auto"/>
        </w:rPr>
      </w:pPr>
      <w:r>
        <w:rPr>
          <w:rFonts w:ascii="Arial" w:cs="Arial" w:eastAsia="Arial" w:hAnsi="Arial"/>
          <w:sz w:val="18"/>
          <w:szCs w:val="18"/>
          <w:color w:val="auto"/>
        </w:rPr>
        <w:t>In January 2018, the Company acquired the employees and technology assets of BotCentral, Inc., a Silicon Valley based startup, for an approximate purchase price of $1.0 million in common stock of the Company. The Company incurred an additional $0.2 million related to acquisition costs. This transaction was accounted for as an asset purchase. The aggregate amount of approximately $0.2 million is included in intangibles on the Company’s consolidated balance sheet. With the team’s expertise and knowledge of the Conversational Cloud platform, the team is bringing valuable insight for the Company’s customers and partners, and enabling the Company to more rapidly optimize its bot deployment capabilities, and grow the ecosystem. BotCentral, Inc. will be included in the Company’s business segment. The results of this acquisition were not significant to the results of operations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jc w:val="both"/>
        <w:ind w:firstLine="295"/>
        <w:spacing w:after="0" w:line="255" w:lineRule="auto"/>
        <w:rPr>
          <w:sz w:val="20"/>
          <w:szCs w:val="20"/>
          <w:color w:val="auto"/>
        </w:rPr>
      </w:pPr>
      <w:r>
        <w:rPr>
          <w:rFonts w:ascii="Arial" w:cs="Arial" w:eastAsia="Arial" w:hAnsi="Arial"/>
          <w:sz w:val="18"/>
          <w:szCs w:val="18"/>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84"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63"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21" w:lineRule="exact"/>
        <w:rPr>
          <w:rFonts w:ascii="Arial" w:cs="Arial" w:eastAsia="Arial" w:hAnsi="Arial"/>
          <w:sz w:val="18"/>
          <w:szCs w:val="18"/>
          <w:color w:val="auto"/>
        </w:rPr>
      </w:pPr>
    </w:p>
    <w:p>
      <w:pPr>
        <w:ind w:left="1300" w:hanging="320"/>
        <w:spacing w:after="0" w:line="308" w:lineRule="auto"/>
        <w:tabs>
          <w:tab w:leader="none" w:pos="12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2020 and December 31, 2019, are summarized as follows (amounts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199"/>
        </w:trPr>
        <w:tc>
          <w:tcPr>
            <w:tcW w:w="34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tcBorders>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6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720" w:type="dxa"/>
            <w:vAlign w:val="bottom"/>
            <w:tcBorders>
              <w:top w:val="single" w:sz="8" w:color="auto"/>
            </w:tcBorders>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6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6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460" w:type="dxa"/>
            <w:vAlign w:val="bottom"/>
            <w:shd w:val="clear" w:color="auto" w:fill="CCFFCC"/>
          </w:tcPr>
          <w:p>
            <w:pPr>
              <w:ind w:left="22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328,195</w:t>
            </w:r>
          </w:p>
        </w:tc>
        <w:tc>
          <w:tcPr>
            <w:tcW w:w="10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328,195</w:t>
            </w:r>
          </w:p>
        </w:tc>
        <w:tc>
          <w:tcPr>
            <w:tcW w:w="26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2,899</w:t>
            </w:r>
          </w:p>
        </w:tc>
        <w:tc>
          <w:tcPr>
            <w:tcW w:w="10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2,899</w:t>
            </w: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328,195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328,195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2,899</w:t>
            </w:r>
          </w:p>
        </w:tc>
      </w:tr>
      <w:tr>
        <w:trPr>
          <w:trHeight w:val="20"/>
        </w:trPr>
        <w:tc>
          <w:tcPr>
            <w:tcW w:w="3460" w:type="dxa"/>
            <w:vAlign w:val="bottom"/>
            <w:tcBorders>
              <w:bottom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34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460" w:type="dxa"/>
            <w:vAlign w:val="bottom"/>
            <w:shd w:val="clear" w:color="auto" w:fill="CCFFCC"/>
          </w:tcPr>
          <w:p>
            <w:pPr>
              <w:ind w:left="220"/>
              <w:spacing w:after="0"/>
              <w:rPr>
                <w:sz w:val="20"/>
                <w:szCs w:val="20"/>
                <w:color w:val="auto"/>
              </w:rPr>
            </w:pPr>
            <w:r>
              <w:rPr>
                <w:rFonts w:ascii="Arial" w:cs="Arial" w:eastAsia="Arial" w:hAnsi="Arial"/>
                <w:sz w:val="16"/>
                <w:szCs w:val="16"/>
                <w:color w:val="auto"/>
              </w:rPr>
              <w:t>Contingent earn-out</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557</w:t>
            </w: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a goodwill impairment test. This measurement is classified based on level 3 input.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 (continued)</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the fair value of the Notes issued in the two Convertible Senior Note transactions, as further described in Note 7 above, was approximately $557.5 million. Management determines the fair value by utilizing an independent valuation specialist using the antithetic variable technique and is considered a Level 2 fair value measurement.</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recorded a contingent earn-out of $2.4 million in December 2018 in connection with the acquisitions of Conversable, Inc. and AdvantageTec Inc. The contingent earn-out is based on achieving certain targeted financial, strategic, and integration objectives. The unobservable inputs considered are probability factors and the time value of money. During the year ended December 31, 2020, the contingent earn-out decreased by $0.6 million due to a decrease in re-measurement to fair value of AdvantageTec Inc, Inc. of approximately $0.3 million and payments of approximately $0.3 million in shares.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633"/>
              <w:spacing w:after="0"/>
              <w:rPr>
                <w:sz w:val="20"/>
                <w:szCs w:val="20"/>
                <w:color w:val="auto"/>
              </w:rPr>
            </w:pPr>
            <w:r>
              <w:rPr>
                <w:rFonts w:ascii="Arial" w:cs="Arial" w:eastAsia="Arial" w:hAnsi="Arial"/>
                <w:sz w:val="14"/>
                <w:szCs w:val="14"/>
                <w:b w:val="1"/>
                <w:bCs w:val="1"/>
                <w:color w:val="auto"/>
              </w:rPr>
              <w:t>Contingent Earn-Out</w:t>
            </w:r>
          </w:p>
        </w:tc>
      </w:tr>
      <w:tr>
        <w:trPr>
          <w:trHeight w:val="187"/>
        </w:trPr>
        <w:tc>
          <w:tcPr>
            <w:tcW w:w="84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1"/>
        </w:trPr>
        <w:tc>
          <w:tcPr>
            <w:tcW w:w="84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6"/>
        </w:trPr>
        <w:tc>
          <w:tcPr>
            <w:tcW w:w="8480" w:type="dxa"/>
            <w:vAlign w:val="bottom"/>
          </w:tcPr>
          <w:p>
            <w:pPr>
              <w:ind w:left="20"/>
              <w:spacing w:after="0"/>
              <w:rPr>
                <w:sz w:val="20"/>
                <w:szCs w:val="20"/>
                <w:color w:val="auto"/>
              </w:rPr>
            </w:pPr>
            <w:r>
              <w:rPr>
                <w:rFonts w:ascii="Arial" w:cs="Arial" w:eastAsia="Arial" w:hAnsi="Arial"/>
                <w:sz w:val="18"/>
                <w:szCs w:val="18"/>
                <w:color w:val="auto"/>
              </w:rPr>
              <w:t>Balance, Beginning of year</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29"/>
        </w:trPr>
        <w:tc>
          <w:tcPr>
            <w:tcW w:w="84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Conversable, Inc. fair value adjustment (see Note 8)</w:t>
            </w:r>
          </w:p>
        </w:tc>
        <w:tc>
          <w:tcPr>
            <w:tcW w:w="860" w:type="dxa"/>
            <w:vAlign w:val="bottom"/>
            <w:shd w:val="clear" w:color="auto" w:fill="CCFFCC"/>
          </w:tcPr>
          <w:p>
            <w:pPr>
              <w:spacing w:after="0"/>
              <w:rPr>
                <w:sz w:val="19"/>
                <w:szCs w:val="19"/>
                <w:color w:val="auto"/>
              </w:rPr>
            </w:pPr>
          </w:p>
        </w:tc>
        <w:tc>
          <w:tcPr>
            <w:tcW w:w="5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(496)</w:t>
            </w: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AdvantageTec, Inc. fair value adjustment (see Note 8)</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84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Payments</w:t>
            </w:r>
          </w:p>
        </w:tc>
        <w:tc>
          <w:tcPr>
            <w:tcW w:w="860" w:type="dxa"/>
            <w:vAlign w:val="bottom"/>
            <w:tcBorders>
              <w:bottom w:val="single" w:sz="8" w:color="auto"/>
            </w:tcBorders>
            <w:shd w:val="clear" w:color="auto" w:fill="CCFFCC"/>
          </w:tcPr>
          <w:p>
            <w:pPr>
              <w:spacing w:after="0"/>
              <w:rPr>
                <w:sz w:val="19"/>
                <w:szCs w:val="19"/>
                <w:color w:val="auto"/>
              </w:rPr>
            </w:pP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(294)</w:t>
            </w:r>
          </w:p>
        </w:tc>
        <w:tc>
          <w:tcPr>
            <w:tcW w:w="12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(1,487)</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1"/>
        </w:trPr>
        <w:tc>
          <w:tcPr>
            <w:tcW w:w="8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250"/>
        <w:spacing w:after="0" w:line="296" w:lineRule="auto"/>
        <w:rPr>
          <w:sz w:val="20"/>
          <w:szCs w:val="20"/>
          <w:color w:val="auto"/>
        </w:rPr>
      </w:pPr>
      <w:r>
        <w:rPr>
          <w:rFonts w:ascii="Arial" w:cs="Arial" w:eastAsia="Arial" w:hAnsi="Arial"/>
          <w:sz w:val="16"/>
          <w:szCs w:val="16"/>
          <w:color w:val="111111"/>
        </w:rPr>
        <w:t xml:space="preserve">The Company has entered into various non-cancelable operating lease agreements for certain of our offices and vehicles. We have also entered into various non-cancelable finance lease agreements for certain network equipment. The </w:t>
      </w:r>
      <w:r>
        <w:rPr>
          <w:rFonts w:ascii="Arial" w:cs="Arial" w:eastAsia="Arial" w:hAnsi="Arial"/>
          <w:sz w:val="16"/>
          <w:szCs w:val="16"/>
          <w:color w:val="000000"/>
        </w:rPr>
        <w:t>leases have initial lease terms ranging from 1 to 12 years. Payments</w:t>
      </w:r>
      <w:r>
        <w:rPr>
          <w:rFonts w:ascii="Arial" w:cs="Arial" w:eastAsia="Arial" w:hAnsi="Arial"/>
          <w:sz w:val="16"/>
          <w:szCs w:val="16"/>
          <w:color w:val="111111"/>
        </w:rPr>
        <w:t xml:space="preserve"> </w:t>
      </w:r>
      <w:r>
        <w:rPr>
          <w:rFonts w:ascii="Arial" w:cs="Arial" w:eastAsia="Arial" w:hAnsi="Arial"/>
          <w:sz w:val="16"/>
          <w:szCs w:val="16"/>
          <w:color w:val="000000"/>
        </w:rPr>
        <w:t>due under the lease contracts include primarily fixed payments. The lease terms include periods under options to extend or terminate the lease when it is reasonably certain that we will exercise that option. We do not assume renewals in our determination of the lease term unless the renewals are deemed to be reasonably assured. Our lease agreements generally do not contain any material residual value guarantees or material restrictive covenants.</w:t>
      </w:r>
    </w:p>
    <w:p>
      <w:pPr>
        <w:spacing w:after="0" w:line="80" w:lineRule="exact"/>
        <w:rPr>
          <w:sz w:val="20"/>
          <w:szCs w:val="20"/>
          <w:color w:val="auto"/>
        </w:rPr>
      </w:pPr>
    </w:p>
    <w:p>
      <w:pPr>
        <w:jc w:val="both"/>
        <w:ind w:firstLine="225"/>
        <w:spacing w:after="0" w:line="296" w:lineRule="auto"/>
        <w:rPr>
          <w:sz w:val="20"/>
          <w:szCs w:val="20"/>
          <w:color w:val="auto"/>
        </w:rPr>
      </w:pPr>
      <w:r>
        <w:rPr>
          <w:rFonts w:ascii="Arial" w:cs="Arial" w:eastAsia="Arial" w:hAnsi="Arial"/>
          <w:sz w:val="16"/>
          <w:szCs w:val="16"/>
          <w:color w:val="111111"/>
        </w:rPr>
        <w:t>The Company has evaluated its facility leases and determined which leases met the definition of the new standard in accordance with Topic 842. The Company also performed an evaluation of their other contracts with suppliers in accordance with Topic 842 and have determined that, except for the facilities, car, and network equipment leases described above, none of its supply contracts contain a lease. Further, the Company has made an accounting policy election to keep leases with a term of twelve months or less off the balance sheet. This policy applies to all classes of the underlying assets. The Company will recognize those lease payments and associated interest expense in the consolidated statement of operations evenly over the lease term.</w:t>
      </w:r>
    </w:p>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111111"/>
        </w:rPr>
        <w:t>The Company elected the “package of practical expedients,” which permits the Company not to reassess under ASC 842 its prior conclusions about lease identification, lease classification and initial direct costs. The Company also made a policy election not to separate non-lease components from lease components. Furthermore, the Company elected to not capitalize leases with a term of 12 months or less and recognize the lease expense for such leases generally on a straight-line basis over the lease term.</w:t>
      </w:r>
    </w:p>
    <w:p>
      <w:pPr>
        <w:spacing w:after="0" w:line="119" w:lineRule="exact"/>
        <w:rPr>
          <w:sz w:val="20"/>
          <w:szCs w:val="20"/>
          <w:color w:val="auto"/>
        </w:rPr>
      </w:pPr>
    </w:p>
    <w:p>
      <w:pPr>
        <w:jc w:val="both"/>
        <w:ind w:firstLine="217"/>
        <w:spacing w:after="0" w:line="273" w:lineRule="auto"/>
        <w:rPr>
          <w:sz w:val="20"/>
          <w:szCs w:val="20"/>
          <w:color w:val="auto"/>
        </w:rPr>
      </w:pPr>
      <w:r>
        <w:rPr>
          <w:rFonts w:ascii="Arial" w:cs="Arial" w:eastAsia="Arial" w:hAnsi="Arial"/>
          <w:sz w:val="17"/>
          <w:szCs w:val="17"/>
          <w:color w:val="111111"/>
        </w:rPr>
        <w:t xml:space="preserve">The determination of the discount rate used to calculate the present value of the right-of-use assets and lease liabilities depends on whether an interest rate is implicit in the lease or not. If a rate is implicit in the lease, that rate is used when calculating the present value of lease payments. </w:t>
      </w:r>
      <w:r>
        <w:rPr>
          <w:rFonts w:ascii="Arial" w:cs="Arial" w:eastAsia="Arial" w:hAnsi="Arial"/>
          <w:sz w:val="17"/>
          <w:szCs w:val="17"/>
          <w:color w:val="000000"/>
        </w:rPr>
        <w:t>If the rate is not</w:t>
      </w:r>
      <w:r>
        <w:rPr>
          <w:rFonts w:ascii="Arial" w:cs="Arial" w:eastAsia="Arial" w:hAnsi="Arial"/>
          <w:sz w:val="17"/>
          <w:szCs w:val="17"/>
          <w:color w:val="111111"/>
        </w:rPr>
        <w:t xml:space="preserve"> </w:t>
      </w:r>
      <w:r>
        <w:rPr>
          <w:rFonts w:ascii="Arial" w:cs="Arial" w:eastAsia="Arial" w:hAnsi="Arial"/>
          <w:sz w:val="17"/>
          <w:szCs w:val="17"/>
          <w:color w:val="000000"/>
        </w:rPr>
        <w:t>readily determinable, which is generally the case for the Company, the Company’s incremental borrowing rate (“IBR”) as of the date of inception of the lease is used (for initial measurement, the IBR was determined as of the adoption date of the standard). The IBR is the rate of interest that the Company would have to pay to borrow on a collateralized basis over a similar term and amount equal to the lease payments in a similar economic environment. The Company used a ratings benchmark report against its peers in the technology sector.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 (continued)</w:t>
      </w:r>
    </w:p>
    <w:p>
      <w:pPr>
        <w:spacing w:after="0" w:line="200" w:lineRule="exact"/>
        <w:rPr>
          <w:sz w:val="20"/>
          <w:szCs w:val="20"/>
          <w:color w:val="auto"/>
        </w:rPr>
      </w:pPr>
    </w:p>
    <w:p>
      <w:pPr>
        <w:spacing w:after="0" w:line="272" w:lineRule="exact"/>
        <w:rPr>
          <w:sz w:val="20"/>
          <w:szCs w:val="20"/>
          <w:color w:val="auto"/>
        </w:rPr>
      </w:pPr>
    </w:p>
    <w:p>
      <w:pPr>
        <w:jc w:val="both"/>
        <w:ind w:firstLine="192"/>
        <w:spacing w:after="0" w:line="263" w:lineRule="auto"/>
        <w:rPr>
          <w:sz w:val="20"/>
          <w:szCs w:val="20"/>
          <w:color w:val="auto"/>
        </w:rPr>
      </w:pPr>
      <w:r>
        <w:rPr>
          <w:rFonts w:ascii="Arial" w:cs="Arial" w:eastAsia="Arial" w:hAnsi="Arial"/>
          <w:sz w:val="18"/>
          <w:szCs w:val="18"/>
          <w:color w:val="auto"/>
        </w:rPr>
        <w:t>The Company has operating and finance leases for its corporate offices and other service agreements. The Company's leases have remaining lease terms of 1 to 5 years, some of which include options to extend. The Company's lease expense for the year ended December 31, 2020 consisted of operating and finance leases was approximately $13.5 million.</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leases are included in operating lease right of use (“ROU”) assets and current and noncurrent operating lease liabilities on the Company’s consolidated balance sheets. Finance leases are included in property and equipment, accrued expenses and other liabilities, and other noncurrent liabilities on the Company’s consolidated balance sheets.</w:t>
      </w:r>
    </w:p>
    <w:p>
      <w:pPr>
        <w:spacing w:after="0" w:line="1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July 13, 2020, the Company announced its decision to transition to an employee-centric model under which employees will work remotely rather than in traditional offices. In connection with this decision, the Company abandoned 14 leases in its global portfolio of office leases during the twelve months ended December 31, 2020. As a result, the Company recognized accelerated amortization to fully reduce the carrying value of the associated ROU assets between the decision date, which was determined to be July 13, 2020 and the cease use date. There were no changes to the accounting for the lease liabilities associated with the leased office spaces. Additionally, the Company recognized accelerated depreciation of fixed assets that were determined to no longer be of future economic benefit to the Company based on the decision to vacate the leased office space. Lease restructuring expenses of $24.3 million are included in restructuring costs in the condensed consolidated statements of operations for the twelve months ended December 31, 2020. The Company also incurred other non-recurring expenses of $5.1 million in restructuring costs in the condensed consolidated statements of operations for the twelve months ended December 31, 2020 associated with the transition to an employee-centric workforce model that does not rely on traditional offices. These expenses include termination penalties, moving expenses, storage expenses and incremental legal and consulting fees. The associated liability is presented on the condensed consolidated balance sheets within accrued expenses and other current liabilities as of December 31, 2020. Subsequent adjustments to these liabilities, including final settlement of the amounts, will be reflected in future period earnings.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cash flow information related to leases for the years ended December 31, 2020 and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133350</wp:posOffset>
            </wp:positionV>
            <wp:extent cx="2957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99"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Borders>
              <w:bottom w:val="single" w:sz="8" w:color="CDFFCC"/>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DFFCC"/>
            </w:tcBorders>
          </w:tcPr>
          <w:p>
            <w:pPr>
              <w:spacing w:after="0"/>
              <w:rPr>
                <w:sz w:val="19"/>
                <w:szCs w:val="19"/>
                <w:color w:val="auto"/>
              </w:rPr>
            </w:pPr>
          </w:p>
        </w:tc>
        <w:tc>
          <w:tcPr>
            <w:tcW w:w="22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10"/>
        </w:trPr>
        <w:tc>
          <w:tcPr>
            <w:tcW w:w="6380" w:type="dxa"/>
            <w:vAlign w:val="bottom"/>
            <w:shd w:val="clear" w:color="auto" w:fill="CDFFC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40" w:type="dxa"/>
            <w:vAlign w:val="bottom"/>
            <w:shd w:val="clear" w:color="auto" w:fill="CDFFCC"/>
          </w:tcPr>
          <w:p>
            <w:pPr>
              <w:spacing w:after="0"/>
              <w:rPr>
                <w:sz w:val="18"/>
                <w:szCs w:val="18"/>
                <w:color w:val="auto"/>
              </w:rPr>
            </w:pPr>
          </w:p>
        </w:tc>
        <w:tc>
          <w:tcPr>
            <w:tcW w:w="700" w:type="dxa"/>
            <w:vAlign w:val="bottom"/>
            <w:shd w:val="clear" w:color="auto" w:fill="CDFFCC"/>
          </w:tcPr>
          <w:p>
            <w:pPr>
              <w:spacing w:after="0"/>
              <w:rPr>
                <w:sz w:val="18"/>
                <w:szCs w:val="18"/>
                <w:color w:val="auto"/>
              </w:rPr>
            </w:pPr>
          </w:p>
        </w:tc>
        <w:tc>
          <w:tcPr>
            <w:tcW w:w="180" w:type="dxa"/>
            <w:vAlign w:val="bottom"/>
            <w:shd w:val="clear" w:color="auto" w:fill="CDFFCC"/>
          </w:tcPr>
          <w:p>
            <w:pPr>
              <w:spacing w:after="0"/>
              <w:rPr>
                <w:sz w:val="18"/>
                <w:szCs w:val="18"/>
                <w:color w:val="auto"/>
              </w:rPr>
            </w:pPr>
          </w:p>
        </w:tc>
        <w:tc>
          <w:tcPr>
            <w:tcW w:w="2240" w:type="dxa"/>
            <w:vAlign w:val="bottom"/>
            <w:shd w:val="clear" w:color="auto" w:fill="CDFFCC"/>
          </w:tcPr>
          <w:p>
            <w:pPr>
              <w:spacing w:after="0"/>
              <w:rPr>
                <w:sz w:val="18"/>
                <w:szCs w:val="18"/>
                <w:color w:val="auto"/>
              </w:rPr>
            </w:pPr>
          </w:p>
        </w:tc>
      </w:tr>
      <w:tr>
        <w:trPr>
          <w:trHeight w:val="230"/>
        </w:trPr>
        <w:tc>
          <w:tcPr>
            <w:tcW w:w="7920" w:type="dxa"/>
            <w:vAlign w:val="bottom"/>
            <w:gridSpan w:val="2"/>
          </w:tcPr>
          <w:p>
            <w:pPr>
              <w:ind w:left="160"/>
              <w:spacing w:after="0"/>
              <w:rPr>
                <w:sz w:val="20"/>
                <w:szCs w:val="20"/>
                <w:color w:val="auto"/>
              </w:rPr>
            </w:pPr>
            <w:r>
              <w:rPr>
                <w:rFonts w:ascii="Arial" w:cs="Arial" w:eastAsia="Arial" w:hAnsi="Arial"/>
                <w:sz w:val="18"/>
                <w:szCs w:val="18"/>
                <w:color w:val="auto"/>
              </w:rPr>
              <w:t>Operating cash flows for operating leases</w:t>
            </w:r>
          </w:p>
        </w:tc>
        <w:tc>
          <w:tcPr>
            <w:tcW w:w="700" w:type="dxa"/>
            <w:vAlign w:val="bottom"/>
          </w:tcPr>
          <w:p>
            <w:pPr>
              <w:jc w:val="right"/>
              <w:spacing w:after="0"/>
              <w:rPr>
                <w:sz w:val="20"/>
                <w:szCs w:val="20"/>
                <w:color w:val="auto"/>
              </w:rPr>
            </w:pPr>
            <w:r>
              <w:rPr>
                <w:rFonts w:ascii="Arial" w:cs="Arial" w:eastAsia="Arial" w:hAnsi="Arial"/>
                <w:sz w:val="18"/>
                <w:szCs w:val="18"/>
                <w:color w:val="auto"/>
              </w:rPr>
              <w:t>4,901</w:t>
            </w:r>
          </w:p>
        </w:tc>
        <w:tc>
          <w:tcPr>
            <w:tcW w:w="1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6,963</w:t>
            </w:r>
          </w:p>
        </w:tc>
      </w:tr>
      <w:tr>
        <w:trPr>
          <w:trHeight w:val="229"/>
        </w:trPr>
        <w:tc>
          <w:tcPr>
            <w:tcW w:w="7920" w:type="dxa"/>
            <w:vAlign w:val="bottom"/>
            <w:gridSpan w:val="2"/>
            <w:shd w:val="clear" w:color="auto" w:fill="CDFFCC"/>
          </w:tcPr>
          <w:p>
            <w:pPr>
              <w:ind w:left="160"/>
              <w:spacing w:after="0"/>
              <w:rPr>
                <w:sz w:val="20"/>
                <w:szCs w:val="20"/>
                <w:color w:val="auto"/>
              </w:rPr>
            </w:pPr>
            <w:r>
              <w:rPr>
                <w:rFonts w:ascii="Arial" w:cs="Arial" w:eastAsia="Arial" w:hAnsi="Arial"/>
                <w:sz w:val="18"/>
                <w:szCs w:val="18"/>
                <w:color w:val="auto"/>
              </w:rPr>
              <w:t>Operating cash flows for finance leases</w:t>
            </w:r>
          </w:p>
        </w:tc>
        <w:tc>
          <w:tcPr>
            <w:tcW w:w="7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DFFCC"/>
          </w:tcPr>
          <w:p>
            <w:pPr>
              <w:spacing w:after="0"/>
              <w:rPr>
                <w:sz w:val="19"/>
                <w:szCs w:val="19"/>
                <w:color w:val="auto"/>
              </w:rPr>
            </w:pPr>
          </w:p>
        </w:tc>
        <w:tc>
          <w:tcPr>
            <w:tcW w:w="2240" w:type="dxa"/>
            <w:vAlign w:val="bottom"/>
            <w:shd w:val="clear" w:color="auto" w:fill="CDFFC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20" w:type="dxa"/>
            <w:vAlign w:val="bottom"/>
            <w:gridSpan w:val="2"/>
          </w:tcPr>
          <w:p>
            <w:pPr>
              <w:ind w:left="160"/>
              <w:spacing w:after="0"/>
              <w:rPr>
                <w:sz w:val="20"/>
                <w:szCs w:val="20"/>
                <w:color w:val="auto"/>
              </w:rPr>
            </w:pPr>
            <w:r>
              <w:rPr>
                <w:rFonts w:ascii="Arial" w:cs="Arial" w:eastAsia="Arial" w:hAnsi="Arial"/>
                <w:sz w:val="18"/>
                <w:szCs w:val="18"/>
                <w:color w:val="auto"/>
              </w:rPr>
              <w:t>Financing cash flows for finance leases</w:t>
            </w:r>
          </w:p>
        </w:tc>
        <w:tc>
          <w:tcPr>
            <w:tcW w:w="700" w:type="dxa"/>
            <w:vAlign w:val="bottom"/>
          </w:tcPr>
          <w:p>
            <w:pPr>
              <w:jc w:val="right"/>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costs for the years ended December 31, 2020 and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117475</wp:posOffset>
            </wp:positionV>
            <wp:extent cx="29743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74"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Borders>
              <w:bottom w:val="single" w:sz="8" w:color="CDFFCC"/>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DFFCC"/>
            </w:tcBorders>
          </w:tcPr>
          <w:p>
            <w:pPr>
              <w:spacing w:after="0"/>
              <w:rPr>
                <w:sz w:val="19"/>
                <w:szCs w:val="19"/>
                <w:color w:val="auto"/>
              </w:rPr>
            </w:pPr>
          </w:p>
        </w:tc>
        <w:tc>
          <w:tcPr>
            <w:tcW w:w="22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10"/>
        </w:trPr>
        <w:tc>
          <w:tcPr>
            <w:tcW w:w="6560" w:type="dxa"/>
            <w:vAlign w:val="bottom"/>
            <w:shd w:val="clear" w:color="auto" w:fill="CDFFCC"/>
          </w:tcPr>
          <w:p>
            <w:pPr>
              <w:ind w:left="20"/>
              <w:spacing w:after="0"/>
              <w:rPr>
                <w:sz w:val="20"/>
                <w:szCs w:val="20"/>
                <w:color w:val="auto"/>
              </w:rPr>
            </w:pPr>
            <w:r>
              <w:rPr>
                <w:rFonts w:ascii="Arial" w:cs="Arial" w:eastAsia="Arial" w:hAnsi="Arial"/>
                <w:sz w:val="18"/>
                <w:szCs w:val="18"/>
                <w:color w:val="auto"/>
              </w:rPr>
              <w:t>Finance lease cost</w:t>
            </w:r>
          </w:p>
        </w:tc>
        <w:tc>
          <w:tcPr>
            <w:tcW w:w="1480" w:type="dxa"/>
            <w:vAlign w:val="bottom"/>
            <w:shd w:val="clear" w:color="auto" w:fill="CDFFCC"/>
          </w:tcPr>
          <w:p>
            <w:pPr>
              <w:spacing w:after="0"/>
              <w:rPr>
                <w:sz w:val="18"/>
                <w:szCs w:val="18"/>
                <w:color w:val="auto"/>
              </w:rPr>
            </w:pPr>
          </w:p>
        </w:tc>
        <w:tc>
          <w:tcPr>
            <w:tcW w:w="760" w:type="dxa"/>
            <w:vAlign w:val="bottom"/>
            <w:shd w:val="clear" w:color="auto" w:fill="CDFFCC"/>
          </w:tcPr>
          <w:p>
            <w:pPr>
              <w:spacing w:after="0"/>
              <w:rPr>
                <w:sz w:val="18"/>
                <w:szCs w:val="18"/>
                <w:color w:val="auto"/>
              </w:rPr>
            </w:pPr>
          </w:p>
        </w:tc>
        <w:tc>
          <w:tcPr>
            <w:tcW w:w="200" w:type="dxa"/>
            <w:vAlign w:val="bottom"/>
            <w:shd w:val="clear" w:color="auto" w:fill="CDFFCC"/>
          </w:tcPr>
          <w:p>
            <w:pPr>
              <w:spacing w:after="0"/>
              <w:rPr>
                <w:sz w:val="18"/>
                <w:szCs w:val="18"/>
                <w:color w:val="auto"/>
              </w:rPr>
            </w:pPr>
          </w:p>
        </w:tc>
        <w:tc>
          <w:tcPr>
            <w:tcW w:w="2240" w:type="dxa"/>
            <w:vAlign w:val="bottom"/>
            <w:shd w:val="clear" w:color="auto" w:fill="CDFFCC"/>
          </w:tcPr>
          <w:p>
            <w:pPr>
              <w:spacing w:after="0"/>
              <w:rPr>
                <w:sz w:val="18"/>
                <w:szCs w:val="18"/>
                <w:color w:val="auto"/>
              </w:rPr>
            </w:pPr>
          </w:p>
        </w:tc>
      </w:tr>
      <w:tr>
        <w:trPr>
          <w:trHeight w:val="229"/>
        </w:trPr>
        <w:tc>
          <w:tcPr>
            <w:tcW w:w="8040" w:type="dxa"/>
            <w:vAlign w:val="bottom"/>
            <w:gridSpan w:val="2"/>
          </w:tcPr>
          <w:p>
            <w:pPr>
              <w:ind w:left="160"/>
              <w:spacing w:after="0"/>
              <w:rPr>
                <w:sz w:val="20"/>
                <w:szCs w:val="20"/>
                <w:color w:val="auto"/>
              </w:rPr>
            </w:pPr>
            <w:r>
              <w:rPr>
                <w:rFonts w:ascii="Arial" w:cs="Arial" w:eastAsia="Arial" w:hAnsi="Arial"/>
                <w:sz w:val="18"/>
                <w:szCs w:val="18"/>
                <w:color w:val="auto"/>
              </w:rPr>
              <w:t>Amortization of right-of-use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gridSpan w:val="2"/>
            <w:shd w:val="clear" w:color="auto" w:fill="CDFFCC"/>
          </w:tcPr>
          <w:p>
            <w:pPr>
              <w:ind w:left="160"/>
              <w:spacing w:after="0"/>
              <w:rPr>
                <w:sz w:val="20"/>
                <w:szCs w:val="20"/>
                <w:color w:val="auto"/>
              </w:rPr>
            </w:pPr>
            <w:r>
              <w:rPr>
                <w:rFonts w:ascii="Arial" w:cs="Arial" w:eastAsia="Arial" w:hAnsi="Arial"/>
                <w:sz w:val="18"/>
                <w:szCs w:val="18"/>
                <w:color w:val="auto"/>
              </w:rPr>
              <w:t>Interest</w:t>
            </w:r>
          </w:p>
        </w:tc>
        <w:tc>
          <w:tcPr>
            <w:tcW w:w="760" w:type="dxa"/>
            <w:vAlign w:val="bottom"/>
            <w:shd w:val="clear" w:color="auto" w:fill="CDFFC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DFFCC"/>
          </w:tcPr>
          <w:p>
            <w:pPr>
              <w:spacing w:after="0"/>
              <w:rPr>
                <w:sz w:val="19"/>
                <w:szCs w:val="19"/>
                <w:color w:val="auto"/>
              </w:rPr>
            </w:pPr>
          </w:p>
        </w:tc>
        <w:tc>
          <w:tcPr>
            <w:tcW w:w="2240" w:type="dxa"/>
            <w:vAlign w:val="bottom"/>
            <w:shd w:val="clear" w:color="auto" w:fill="CDFFC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Borders>
              <w:bottom w:val="single" w:sz="8" w:color="CDFFCC"/>
            </w:tcBorders>
          </w:tcPr>
          <w:p>
            <w:pPr>
              <w:ind w:left="20"/>
              <w:spacing w:after="0"/>
              <w:rPr>
                <w:sz w:val="20"/>
                <w:szCs w:val="20"/>
                <w:color w:val="auto"/>
              </w:rPr>
            </w:pPr>
            <w:r>
              <w:rPr>
                <w:rFonts w:ascii="Arial" w:cs="Arial" w:eastAsia="Arial" w:hAnsi="Arial"/>
                <w:sz w:val="18"/>
                <w:szCs w:val="18"/>
                <w:color w:val="auto"/>
              </w:rPr>
              <w:t>Operating lease cost</w:t>
            </w: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w:t>
            </w:r>
          </w:p>
        </w:tc>
        <w:tc>
          <w:tcPr>
            <w:tcW w:w="200" w:type="dxa"/>
            <w:vAlign w:val="bottom"/>
            <w:tcBorders>
              <w:bottom w:val="single" w:sz="8" w:color="CDFFCC"/>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12,984</w:t>
            </w:r>
          </w:p>
        </w:tc>
      </w:tr>
      <w:tr>
        <w:trPr>
          <w:trHeight w:val="243"/>
        </w:trPr>
        <w:tc>
          <w:tcPr>
            <w:tcW w:w="8040" w:type="dxa"/>
            <w:vAlign w:val="bottom"/>
            <w:gridSpan w:val="2"/>
            <w:shd w:val="clear" w:color="auto" w:fill="CDFFCC"/>
          </w:tcPr>
          <w:p>
            <w:pPr>
              <w:ind w:left="160"/>
              <w:spacing w:after="0"/>
              <w:rPr>
                <w:sz w:val="20"/>
                <w:szCs w:val="20"/>
                <w:color w:val="auto"/>
              </w:rPr>
            </w:pPr>
            <w:r>
              <w:rPr>
                <w:rFonts w:ascii="Arial" w:cs="Arial" w:eastAsia="Arial" w:hAnsi="Arial"/>
                <w:sz w:val="18"/>
                <w:szCs w:val="18"/>
                <w:color w:val="auto"/>
              </w:rPr>
              <w:t>Total lease cost</w:t>
            </w:r>
          </w:p>
        </w:tc>
        <w:tc>
          <w:tcPr>
            <w:tcW w:w="76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13,509</w:t>
            </w:r>
          </w:p>
        </w:tc>
        <w:tc>
          <w:tcPr>
            <w:tcW w:w="200" w:type="dxa"/>
            <w:vAlign w:val="bottom"/>
            <w:shd w:val="clear" w:color="auto" w:fill="CDFFCC"/>
          </w:tcPr>
          <w:p>
            <w:pPr>
              <w:spacing w:after="0"/>
              <w:rPr>
                <w:sz w:val="21"/>
                <w:szCs w:val="21"/>
                <w:color w:val="auto"/>
              </w:rPr>
            </w:pPr>
          </w:p>
        </w:tc>
        <w:tc>
          <w:tcPr>
            <w:tcW w:w="224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12,984</w:t>
            </w:r>
          </w:p>
        </w:tc>
      </w:tr>
      <w:tr>
        <w:trPr>
          <w:trHeight w:val="20"/>
        </w:trPr>
        <w:tc>
          <w:tcPr>
            <w:tcW w:w="6560" w:type="dxa"/>
            <w:vAlign w:val="bottom"/>
            <w:tcBorders>
              <w:top w:val="single" w:sz="8" w:color="CD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DFFCC"/>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CDFFCC"/>
            </w:tcBorders>
          </w:tcPr>
          <w:p>
            <w:pPr>
              <w:spacing w:after="0"/>
              <w:rPr>
                <w:sz w:val="16"/>
                <w:szCs w:val="16"/>
                <w:color w:val="auto"/>
              </w:rPr>
            </w:pPr>
          </w:p>
        </w:tc>
        <w:tc>
          <w:tcPr>
            <w:tcW w:w="266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As of December 31, 2020</w:t>
            </w:r>
          </w:p>
        </w:tc>
        <w:tc>
          <w:tcPr>
            <w:tcW w:w="25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As of December 31, 2019</w:t>
            </w:r>
          </w:p>
        </w:tc>
      </w:tr>
      <w:tr>
        <w:trPr>
          <w:trHeight w:val="216"/>
        </w:trPr>
        <w:tc>
          <w:tcPr>
            <w:tcW w:w="6080" w:type="dxa"/>
            <w:vAlign w:val="bottom"/>
            <w:shd w:val="clear" w:color="auto" w:fill="CDFFCC"/>
          </w:tcPr>
          <w:p>
            <w:pPr>
              <w:ind w:left="20"/>
              <w:spacing w:after="0"/>
              <w:rPr>
                <w:sz w:val="20"/>
                <w:szCs w:val="20"/>
                <w:color w:val="auto"/>
              </w:rPr>
            </w:pPr>
            <w:r>
              <w:rPr>
                <w:rFonts w:ascii="Arial" w:cs="Arial" w:eastAsia="Arial" w:hAnsi="Arial"/>
                <w:sz w:val="16"/>
                <w:szCs w:val="16"/>
                <w:b w:val="1"/>
                <w:bCs w:val="1"/>
                <w:color w:val="auto"/>
              </w:rPr>
              <w:t>Operating Leases</w:t>
            </w:r>
          </w:p>
        </w:tc>
        <w:tc>
          <w:tcPr>
            <w:tcW w:w="5160" w:type="dxa"/>
            <w:vAlign w:val="bottom"/>
            <w:gridSpan w:val="3"/>
            <w:shd w:val="clear" w:color="auto" w:fill="CDFFCC"/>
          </w:tcPr>
          <w:p>
            <w:pPr>
              <w:jc w:val="right"/>
              <w:ind w:right="731"/>
              <w:spacing w:after="0"/>
              <w:rPr>
                <w:sz w:val="20"/>
                <w:szCs w:val="20"/>
                <w:color w:val="auto"/>
              </w:rPr>
            </w:pPr>
            <w:r>
              <w:rPr>
                <w:rFonts w:ascii="Arial" w:cs="Arial" w:eastAsia="Arial" w:hAnsi="Arial"/>
                <w:sz w:val="16"/>
                <w:szCs w:val="16"/>
                <w:b w:val="1"/>
                <w:bCs w:val="1"/>
                <w:color w:val="auto"/>
              </w:rPr>
              <w:t>(in thousands, except lease term and discount rate)</w:t>
            </w:r>
          </w:p>
        </w:tc>
      </w:tr>
      <w:tr>
        <w:trPr>
          <w:trHeight w:val="229"/>
        </w:trPr>
        <w:tc>
          <w:tcPr>
            <w:tcW w:w="6080" w:type="dxa"/>
            <w:vAlign w:val="bottom"/>
          </w:tcPr>
          <w:p>
            <w:pPr>
              <w:ind w:left="180"/>
              <w:spacing w:after="0"/>
              <w:rPr>
                <w:sz w:val="20"/>
                <w:szCs w:val="20"/>
                <w:color w:val="auto"/>
              </w:rPr>
            </w:pPr>
            <w:r>
              <w:rPr>
                <w:rFonts w:ascii="Arial" w:cs="Arial" w:eastAsia="Arial" w:hAnsi="Arial"/>
                <w:sz w:val="16"/>
                <w:szCs w:val="16"/>
                <w:color w:val="auto"/>
              </w:rPr>
              <w:t>Right-of-use asset, net</w:t>
            </w:r>
          </w:p>
        </w:tc>
        <w:tc>
          <w:tcPr>
            <w:tcW w:w="2500" w:type="dxa"/>
            <w:vAlign w:val="bottom"/>
          </w:tcPr>
          <w:p>
            <w:pPr>
              <w:jc w:val="right"/>
              <w:ind w:right="132"/>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9"/>
                <w:szCs w:val="19"/>
                <w:color w:val="auto"/>
              </w:rPr>
            </w:pPr>
          </w:p>
        </w:tc>
        <w:tc>
          <w:tcPr>
            <w:tcW w:w="2500" w:type="dxa"/>
            <w:vAlign w:val="bottom"/>
          </w:tcPr>
          <w:p>
            <w:pPr>
              <w:jc w:val="right"/>
              <w:ind w:right="131"/>
              <w:spacing w:after="0"/>
              <w:rPr>
                <w:sz w:val="20"/>
                <w:szCs w:val="20"/>
                <w:color w:val="auto"/>
              </w:rPr>
            </w:pPr>
            <w:r>
              <w:rPr>
                <w:rFonts w:ascii="Arial" w:cs="Arial" w:eastAsia="Arial" w:hAnsi="Arial"/>
                <w:sz w:val="18"/>
                <w:szCs w:val="18"/>
                <w:color w:val="auto"/>
              </w:rPr>
              <w:t>15,680</w:t>
            </w:r>
          </w:p>
        </w:tc>
      </w:tr>
      <w:tr>
        <w:trPr>
          <w:trHeight w:val="257"/>
        </w:trPr>
        <w:tc>
          <w:tcPr>
            <w:tcW w:w="6080" w:type="dxa"/>
            <w:vAlign w:val="bottom"/>
            <w:shd w:val="clear" w:color="auto" w:fill="CDFFCC"/>
          </w:tcPr>
          <w:p>
            <w:pPr>
              <w:spacing w:after="0"/>
              <w:rPr>
                <w:sz w:val="22"/>
                <w:szCs w:val="22"/>
                <w:color w:val="auto"/>
              </w:rPr>
            </w:pPr>
          </w:p>
        </w:tc>
        <w:tc>
          <w:tcPr>
            <w:tcW w:w="25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2500" w:type="dxa"/>
            <w:vAlign w:val="bottom"/>
            <w:shd w:val="clear" w:color="auto" w:fill="CDFFCC"/>
          </w:tcPr>
          <w:p>
            <w:pPr>
              <w:spacing w:after="0"/>
              <w:rPr>
                <w:sz w:val="22"/>
                <w:szCs w:val="22"/>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6"/>
                <w:szCs w:val="16"/>
                <w:color w:val="auto"/>
              </w:rPr>
              <w:t>Current operating lease liability</w:t>
            </w:r>
          </w:p>
        </w:tc>
        <w:tc>
          <w:tcPr>
            <w:tcW w:w="2500" w:type="dxa"/>
            <w:vAlign w:val="bottom"/>
          </w:tcPr>
          <w:p>
            <w:pPr>
              <w:jc w:val="right"/>
              <w:ind w:right="132"/>
              <w:spacing w:after="0"/>
              <w:rPr>
                <w:sz w:val="20"/>
                <w:szCs w:val="20"/>
                <w:color w:val="auto"/>
              </w:rPr>
            </w:pPr>
            <w:r>
              <w:rPr>
                <w:rFonts w:ascii="Arial" w:cs="Arial" w:eastAsia="Arial" w:hAnsi="Arial"/>
                <w:sz w:val="18"/>
                <w:szCs w:val="18"/>
                <w:color w:val="auto"/>
              </w:rPr>
              <w:t>5,718</w:t>
            </w:r>
          </w:p>
        </w:tc>
        <w:tc>
          <w:tcPr>
            <w:tcW w:w="160" w:type="dxa"/>
            <w:vAlign w:val="bottom"/>
          </w:tcPr>
          <w:p>
            <w:pPr>
              <w:spacing w:after="0"/>
              <w:rPr>
                <w:sz w:val="19"/>
                <w:szCs w:val="19"/>
                <w:color w:val="auto"/>
              </w:rPr>
            </w:pPr>
          </w:p>
        </w:tc>
        <w:tc>
          <w:tcPr>
            <w:tcW w:w="2500" w:type="dxa"/>
            <w:vAlign w:val="bottom"/>
          </w:tcPr>
          <w:p>
            <w:pPr>
              <w:jc w:val="right"/>
              <w:ind w:right="131"/>
              <w:spacing w:after="0"/>
              <w:rPr>
                <w:sz w:val="20"/>
                <w:szCs w:val="20"/>
                <w:color w:val="auto"/>
              </w:rPr>
            </w:pPr>
            <w:r>
              <w:rPr>
                <w:rFonts w:ascii="Arial" w:cs="Arial" w:eastAsia="Arial" w:hAnsi="Arial"/>
                <w:sz w:val="18"/>
                <w:szCs w:val="18"/>
                <w:color w:val="auto"/>
              </w:rPr>
              <w:t>6,602</w:t>
            </w:r>
          </w:p>
        </w:tc>
      </w:tr>
      <w:tr>
        <w:trPr>
          <w:trHeight w:val="229"/>
        </w:trPr>
        <w:tc>
          <w:tcPr>
            <w:tcW w:w="6080" w:type="dxa"/>
            <w:vAlign w:val="bottom"/>
            <w:shd w:val="clear" w:color="auto" w:fill="CDFFCC"/>
          </w:tcPr>
          <w:p>
            <w:pPr>
              <w:ind w:left="20"/>
              <w:spacing w:after="0"/>
              <w:rPr>
                <w:sz w:val="20"/>
                <w:szCs w:val="20"/>
                <w:color w:val="auto"/>
              </w:rPr>
            </w:pPr>
            <w:r>
              <w:rPr>
                <w:rFonts w:ascii="Arial" w:cs="Arial" w:eastAsia="Arial" w:hAnsi="Arial"/>
                <w:sz w:val="16"/>
                <w:szCs w:val="16"/>
                <w:color w:val="auto"/>
              </w:rPr>
              <w:t>Long term operating lease liability</w:t>
            </w:r>
          </w:p>
        </w:tc>
        <w:tc>
          <w:tcPr>
            <w:tcW w:w="2500" w:type="dxa"/>
            <w:vAlign w:val="bottom"/>
            <w:tcBorders>
              <w:bottom w:val="single" w:sz="8" w:color="auto"/>
            </w:tcBorders>
            <w:shd w:val="clear" w:color="auto" w:fill="CDFFCC"/>
          </w:tcPr>
          <w:p>
            <w:pPr>
              <w:jc w:val="right"/>
              <w:ind w:right="132"/>
              <w:spacing w:after="0"/>
              <w:rPr>
                <w:sz w:val="20"/>
                <w:szCs w:val="20"/>
                <w:color w:val="auto"/>
              </w:rPr>
            </w:pPr>
            <w:r>
              <w:rPr>
                <w:rFonts w:ascii="Arial" w:cs="Arial" w:eastAsia="Arial" w:hAnsi="Arial"/>
                <w:sz w:val="18"/>
                <w:szCs w:val="18"/>
                <w:color w:val="auto"/>
              </w:rPr>
              <w:t>7,180</w:t>
            </w:r>
          </w:p>
        </w:tc>
        <w:tc>
          <w:tcPr>
            <w:tcW w:w="160" w:type="dxa"/>
            <w:vAlign w:val="bottom"/>
            <w:shd w:val="clear" w:color="auto" w:fill="CDFFCC"/>
          </w:tcPr>
          <w:p>
            <w:pPr>
              <w:spacing w:after="0"/>
              <w:rPr>
                <w:sz w:val="19"/>
                <w:szCs w:val="19"/>
                <w:color w:val="auto"/>
              </w:rPr>
            </w:pPr>
          </w:p>
        </w:tc>
        <w:tc>
          <w:tcPr>
            <w:tcW w:w="2500" w:type="dxa"/>
            <w:vAlign w:val="bottom"/>
            <w:tcBorders>
              <w:bottom w:val="single" w:sz="8" w:color="auto"/>
            </w:tcBorders>
            <w:shd w:val="clear" w:color="auto" w:fill="CDFFCC"/>
          </w:tcPr>
          <w:p>
            <w:pPr>
              <w:jc w:val="right"/>
              <w:ind w:right="131"/>
              <w:spacing w:after="0"/>
              <w:rPr>
                <w:sz w:val="20"/>
                <w:szCs w:val="20"/>
                <w:color w:val="auto"/>
              </w:rPr>
            </w:pPr>
            <w:r>
              <w:rPr>
                <w:rFonts w:ascii="Arial" w:cs="Arial" w:eastAsia="Arial" w:hAnsi="Arial"/>
                <w:sz w:val="18"/>
                <w:szCs w:val="18"/>
                <w:color w:val="auto"/>
              </w:rPr>
              <w:t>12,865</w:t>
            </w:r>
          </w:p>
        </w:tc>
      </w:tr>
      <w:tr>
        <w:trPr>
          <w:trHeight w:val="223"/>
        </w:trPr>
        <w:tc>
          <w:tcPr>
            <w:tcW w:w="6080" w:type="dxa"/>
            <w:vAlign w:val="bottom"/>
          </w:tcPr>
          <w:p>
            <w:pPr>
              <w:ind w:left="180"/>
              <w:spacing w:after="0"/>
              <w:rPr>
                <w:sz w:val="20"/>
                <w:szCs w:val="20"/>
                <w:color w:val="auto"/>
              </w:rPr>
            </w:pPr>
            <w:r>
              <w:rPr>
                <w:rFonts w:ascii="Arial" w:cs="Arial" w:eastAsia="Arial" w:hAnsi="Arial"/>
                <w:sz w:val="16"/>
                <w:szCs w:val="16"/>
                <w:color w:val="auto"/>
              </w:rPr>
              <w:t>Total operating lease liability</w:t>
            </w:r>
          </w:p>
        </w:tc>
        <w:tc>
          <w:tcPr>
            <w:tcW w:w="2500" w:type="dxa"/>
            <w:vAlign w:val="bottom"/>
          </w:tcPr>
          <w:p>
            <w:pPr>
              <w:jc w:val="right"/>
              <w:ind w:right="132"/>
              <w:spacing w:after="0"/>
              <w:rPr>
                <w:sz w:val="20"/>
                <w:szCs w:val="20"/>
                <w:color w:val="auto"/>
              </w:rPr>
            </w:pPr>
            <w:r>
              <w:rPr>
                <w:rFonts w:ascii="Arial" w:cs="Arial" w:eastAsia="Arial" w:hAnsi="Arial"/>
                <w:sz w:val="18"/>
                <w:szCs w:val="18"/>
                <w:color w:val="auto"/>
              </w:rPr>
              <w:t>12,898</w:t>
            </w:r>
          </w:p>
        </w:tc>
        <w:tc>
          <w:tcPr>
            <w:tcW w:w="160" w:type="dxa"/>
            <w:vAlign w:val="bottom"/>
          </w:tcPr>
          <w:p>
            <w:pPr>
              <w:spacing w:after="0"/>
              <w:rPr>
                <w:sz w:val="19"/>
                <w:szCs w:val="19"/>
                <w:color w:val="auto"/>
              </w:rPr>
            </w:pPr>
          </w:p>
        </w:tc>
        <w:tc>
          <w:tcPr>
            <w:tcW w:w="2500" w:type="dxa"/>
            <w:vAlign w:val="bottom"/>
          </w:tcPr>
          <w:p>
            <w:pPr>
              <w:jc w:val="right"/>
              <w:ind w:right="131"/>
              <w:spacing w:after="0"/>
              <w:rPr>
                <w:sz w:val="20"/>
                <w:szCs w:val="20"/>
                <w:color w:val="auto"/>
              </w:rPr>
            </w:pPr>
            <w:r>
              <w:rPr>
                <w:rFonts w:ascii="Arial" w:cs="Arial" w:eastAsia="Arial" w:hAnsi="Arial"/>
                <w:sz w:val="18"/>
                <w:szCs w:val="18"/>
                <w:color w:val="auto"/>
              </w:rPr>
              <w:t>19,467</w:t>
            </w:r>
          </w:p>
        </w:tc>
      </w:tr>
      <w:tr>
        <w:trPr>
          <w:trHeight w:val="256"/>
        </w:trPr>
        <w:tc>
          <w:tcPr>
            <w:tcW w:w="6080" w:type="dxa"/>
            <w:vAlign w:val="bottom"/>
            <w:shd w:val="clear" w:color="auto" w:fill="CDFFCC"/>
          </w:tcPr>
          <w:p>
            <w:pPr>
              <w:spacing w:after="0"/>
              <w:rPr>
                <w:sz w:val="22"/>
                <w:szCs w:val="22"/>
                <w:color w:val="auto"/>
              </w:rPr>
            </w:pPr>
          </w:p>
        </w:tc>
        <w:tc>
          <w:tcPr>
            <w:tcW w:w="25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2500" w:type="dxa"/>
            <w:vAlign w:val="bottom"/>
            <w:shd w:val="clear" w:color="auto" w:fill="CDFFCC"/>
          </w:tcPr>
          <w:p>
            <w:pPr>
              <w:spacing w:after="0"/>
              <w:rPr>
                <w:sz w:val="22"/>
                <w:szCs w:val="22"/>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b w:val="1"/>
                <w:bCs w:val="1"/>
                <w:color w:val="auto"/>
              </w:rPr>
              <w:t>Finance Leases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2"/>
        </w:trPr>
        <w:tc>
          <w:tcPr>
            <w:tcW w:w="6080" w:type="dxa"/>
            <w:vAlign w:val="bottom"/>
            <w:shd w:val="clear" w:color="auto" w:fill="CDFFCC"/>
          </w:tcPr>
          <w:p>
            <w:pPr>
              <w:ind w:left="180"/>
              <w:spacing w:after="0"/>
              <w:rPr>
                <w:sz w:val="20"/>
                <w:szCs w:val="20"/>
                <w:color w:val="auto"/>
              </w:rPr>
            </w:pPr>
            <w:r>
              <w:rPr>
                <w:rFonts w:ascii="Arial" w:cs="Arial" w:eastAsia="Arial" w:hAnsi="Arial"/>
                <w:sz w:val="16"/>
                <w:szCs w:val="16"/>
                <w:color w:val="auto"/>
              </w:rPr>
              <w:t>Right-of-use asset, net</w:t>
            </w:r>
          </w:p>
        </w:tc>
        <w:tc>
          <w:tcPr>
            <w:tcW w:w="2500" w:type="dxa"/>
            <w:vAlign w:val="bottom"/>
            <w:shd w:val="clear" w:color="auto" w:fill="CDFFCC"/>
          </w:tcPr>
          <w:p>
            <w:pPr>
              <w:jc w:val="right"/>
              <w:ind w:right="132"/>
              <w:spacing w:after="0"/>
              <w:rPr>
                <w:sz w:val="20"/>
                <w:szCs w:val="20"/>
                <w:color w:val="auto"/>
              </w:rPr>
            </w:pPr>
            <w:r>
              <w:rPr>
                <w:rFonts w:ascii="Arial" w:cs="Arial" w:eastAsia="Arial" w:hAnsi="Arial"/>
                <w:sz w:val="18"/>
                <w:szCs w:val="18"/>
                <w:color w:val="auto"/>
              </w:rPr>
              <w:t>10,045</w:t>
            </w:r>
          </w:p>
        </w:tc>
        <w:tc>
          <w:tcPr>
            <w:tcW w:w="160" w:type="dxa"/>
            <w:vAlign w:val="bottom"/>
            <w:shd w:val="clear" w:color="auto" w:fill="CDFFCC"/>
          </w:tcPr>
          <w:p>
            <w:pPr>
              <w:spacing w:after="0"/>
              <w:rPr>
                <w:sz w:val="20"/>
                <w:szCs w:val="20"/>
                <w:color w:val="auto"/>
              </w:rPr>
            </w:pPr>
          </w:p>
        </w:tc>
        <w:tc>
          <w:tcPr>
            <w:tcW w:w="2500" w:type="dxa"/>
            <w:vAlign w:val="bottom"/>
            <w:shd w:val="clear" w:color="auto" w:fill="CDFFCC"/>
          </w:tcPr>
          <w:p>
            <w:pPr>
              <w:jc w:val="right"/>
              <w:ind w:right="131"/>
              <w:spacing w:after="0"/>
              <w:rPr>
                <w:sz w:val="20"/>
                <w:szCs w:val="20"/>
                <w:color w:val="auto"/>
              </w:rPr>
            </w:pPr>
            <w:r>
              <w:rPr>
                <w:rFonts w:ascii="Arial" w:cs="Arial" w:eastAsia="Arial" w:hAnsi="Arial"/>
                <w:sz w:val="18"/>
                <w:szCs w:val="18"/>
                <w:color w:val="auto"/>
              </w:rPr>
              <w:t>—</w:t>
            </w:r>
          </w:p>
        </w:tc>
      </w:tr>
      <w:tr>
        <w:trPr>
          <w:trHeight w:val="257"/>
        </w:trPr>
        <w:tc>
          <w:tcPr>
            <w:tcW w:w="6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29"/>
        </w:trPr>
        <w:tc>
          <w:tcPr>
            <w:tcW w:w="6080" w:type="dxa"/>
            <w:vAlign w:val="bottom"/>
            <w:shd w:val="clear" w:color="auto" w:fill="CDFFCC"/>
          </w:tcPr>
          <w:p>
            <w:pPr>
              <w:ind w:left="20"/>
              <w:spacing w:after="0"/>
              <w:rPr>
                <w:sz w:val="20"/>
                <w:szCs w:val="20"/>
                <w:color w:val="auto"/>
              </w:rPr>
            </w:pPr>
            <w:r>
              <w:rPr>
                <w:rFonts w:ascii="Arial" w:cs="Arial" w:eastAsia="Arial" w:hAnsi="Arial"/>
                <w:sz w:val="16"/>
                <w:szCs w:val="16"/>
                <w:color w:val="auto"/>
              </w:rPr>
              <w:t>Current finance lease liability</w:t>
            </w:r>
          </w:p>
        </w:tc>
        <w:tc>
          <w:tcPr>
            <w:tcW w:w="2500" w:type="dxa"/>
            <w:vAlign w:val="bottom"/>
            <w:shd w:val="clear" w:color="auto" w:fill="CDFFCC"/>
          </w:tcPr>
          <w:p>
            <w:pPr>
              <w:jc w:val="right"/>
              <w:ind w:right="132"/>
              <w:spacing w:after="0"/>
              <w:rPr>
                <w:sz w:val="20"/>
                <w:szCs w:val="20"/>
                <w:color w:val="auto"/>
              </w:rPr>
            </w:pPr>
            <w:r>
              <w:rPr>
                <w:rFonts w:ascii="Arial" w:cs="Arial" w:eastAsia="Arial" w:hAnsi="Arial"/>
                <w:sz w:val="18"/>
                <w:szCs w:val="18"/>
                <w:color w:val="auto"/>
              </w:rPr>
              <w:t>3,488</w:t>
            </w:r>
          </w:p>
        </w:tc>
        <w:tc>
          <w:tcPr>
            <w:tcW w:w="160" w:type="dxa"/>
            <w:vAlign w:val="bottom"/>
            <w:shd w:val="clear" w:color="auto" w:fill="CDFFCC"/>
          </w:tcPr>
          <w:p>
            <w:pPr>
              <w:spacing w:after="0"/>
              <w:rPr>
                <w:sz w:val="19"/>
                <w:szCs w:val="19"/>
                <w:color w:val="auto"/>
              </w:rPr>
            </w:pPr>
          </w:p>
        </w:tc>
        <w:tc>
          <w:tcPr>
            <w:tcW w:w="2500" w:type="dxa"/>
            <w:vAlign w:val="bottom"/>
            <w:shd w:val="clear" w:color="auto" w:fill="CDFFCC"/>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Borders>
              <w:bottom w:val="single" w:sz="8" w:color="CDFFCC"/>
            </w:tcBorders>
          </w:tcPr>
          <w:p>
            <w:pPr>
              <w:ind w:left="20"/>
              <w:spacing w:after="0"/>
              <w:rPr>
                <w:sz w:val="20"/>
                <w:szCs w:val="20"/>
                <w:color w:val="auto"/>
              </w:rPr>
            </w:pPr>
            <w:r>
              <w:rPr>
                <w:rFonts w:ascii="Arial" w:cs="Arial" w:eastAsia="Arial" w:hAnsi="Arial"/>
                <w:sz w:val="16"/>
                <w:szCs w:val="16"/>
                <w:color w:val="auto"/>
              </w:rPr>
              <w:t>Long term finance lease liability</w:t>
            </w:r>
          </w:p>
        </w:tc>
        <w:tc>
          <w:tcPr>
            <w:tcW w:w="2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6,176</w:t>
            </w:r>
          </w:p>
        </w:tc>
        <w:tc>
          <w:tcPr>
            <w:tcW w:w="160" w:type="dxa"/>
            <w:vAlign w:val="bottom"/>
            <w:tcBorders>
              <w:bottom w:val="single" w:sz="8" w:color="CDFFCC"/>
            </w:tcBorders>
          </w:tcPr>
          <w:p>
            <w:pPr>
              <w:spacing w:after="0"/>
              <w:rPr>
                <w:sz w:val="19"/>
                <w:szCs w:val="19"/>
                <w:color w:val="auto"/>
              </w:rPr>
            </w:pPr>
          </w:p>
        </w:tc>
        <w:tc>
          <w:tcPr>
            <w:tcW w:w="25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shd w:val="clear" w:color="auto" w:fill="CDFFCC"/>
          </w:tcPr>
          <w:p>
            <w:pPr>
              <w:ind w:left="180"/>
              <w:spacing w:after="0"/>
              <w:rPr>
                <w:sz w:val="20"/>
                <w:szCs w:val="20"/>
                <w:color w:val="auto"/>
              </w:rPr>
            </w:pPr>
            <w:r>
              <w:rPr>
                <w:rFonts w:ascii="Arial" w:cs="Arial" w:eastAsia="Arial" w:hAnsi="Arial"/>
                <w:sz w:val="16"/>
                <w:szCs w:val="16"/>
                <w:color w:val="auto"/>
              </w:rPr>
              <w:t>Total finance lease liability</w:t>
            </w:r>
          </w:p>
        </w:tc>
        <w:tc>
          <w:tcPr>
            <w:tcW w:w="2500" w:type="dxa"/>
            <w:vAlign w:val="bottom"/>
            <w:shd w:val="clear" w:color="auto" w:fill="CDFFCC"/>
          </w:tcPr>
          <w:p>
            <w:pPr>
              <w:jc w:val="right"/>
              <w:ind w:right="132"/>
              <w:spacing w:after="0"/>
              <w:rPr>
                <w:sz w:val="20"/>
                <w:szCs w:val="20"/>
                <w:color w:val="auto"/>
              </w:rPr>
            </w:pPr>
            <w:r>
              <w:rPr>
                <w:rFonts w:ascii="Arial" w:cs="Arial" w:eastAsia="Arial" w:hAnsi="Arial"/>
                <w:sz w:val="18"/>
                <w:szCs w:val="18"/>
                <w:color w:val="auto"/>
              </w:rPr>
              <w:t>9,664</w:t>
            </w:r>
          </w:p>
        </w:tc>
        <w:tc>
          <w:tcPr>
            <w:tcW w:w="160" w:type="dxa"/>
            <w:vAlign w:val="bottom"/>
            <w:shd w:val="clear" w:color="auto" w:fill="CDFFCC"/>
          </w:tcPr>
          <w:p>
            <w:pPr>
              <w:spacing w:after="0"/>
              <w:rPr>
                <w:sz w:val="19"/>
                <w:szCs w:val="19"/>
                <w:color w:val="auto"/>
              </w:rPr>
            </w:pPr>
          </w:p>
        </w:tc>
        <w:tc>
          <w:tcPr>
            <w:tcW w:w="2500" w:type="dxa"/>
            <w:vAlign w:val="bottom"/>
            <w:shd w:val="clear" w:color="auto" w:fill="CDFFCC"/>
          </w:tcPr>
          <w:p>
            <w:pPr>
              <w:jc w:val="right"/>
              <w:ind w:right="131"/>
              <w:spacing w:after="0"/>
              <w:rPr>
                <w:sz w:val="20"/>
                <w:szCs w:val="20"/>
                <w:color w:val="auto"/>
              </w:rPr>
            </w:pPr>
            <w:r>
              <w:rPr>
                <w:rFonts w:ascii="Arial" w:cs="Arial" w:eastAsia="Arial" w:hAnsi="Arial"/>
                <w:sz w:val="18"/>
                <w:szCs w:val="18"/>
                <w:color w:val="auto"/>
              </w:rPr>
              <w:t>—</w:t>
            </w:r>
          </w:p>
        </w:tc>
      </w:tr>
      <w:tr>
        <w:trPr>
          <w:trHeight w:val="257"/>
        </w:trPr>
        <w:tc>
          <w:tcPr>
            <w:tcW w:w="6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16"/>
        </w:trPr>
        <w:tc>
          <w:tcPr>
            <w:tcW w:w="6080" w:type="dxa"/>
            <w:vAlign w:val="bottom"/>
            <w:shd w:val="clear" w:color="auto" w:fill="CDFFCC"/>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2500" w:type="dxa"/>
            <w:vAlign w:val="bottom"/>
            <w:shd w:val="clear" w:color="auto" w:fill="CDFFCC"/>
          </w:tcPr>
          <w:p>
            <w:pPr>
              <w:spacing w:after="0"/>
              <w:rPr>
                <w:sz w:val="18"/>
                <w:szCs w:val="18"/>
                <w:color w:val="auto"/>
              </w:rPr>
            </w:pPr>
          </w:p>
        </w:tc>
        <w:tc>
          <w:tcPr>
            <w:tcW w:w="160" w:type="dxa"/>
            <w:vAlign w:val="bottom"/>
            <w:shd w:val="clear" w:color="auto" w:fill="CDFFCC"/>
          </w:tcPr>
          <w:p>
            <w:pPr>
              <w:spacing w:after="0"/>
              <w:rPr>
                <w:sz w:val="18"/>
                <w:szCs w:val="18"/>
                <w:color w:val="auto"/>
              </w:rPr>
            </w:pPr>
          </w:p>
        </w:tc>
        <w:tc>
          <w:tcPr>
            <w:tcW w:w="2500" w:type="dxa"/>
            <w:vAlign w:val="bottom"/>
            <w:shd w:val="clear" w:color="auto" w:fill="CDFFCC"/>
          </w:tcPr>
          <w:p>
            <w:pPr>
              <w:spacing w:after="0"/>
              <w:rPr>
                <w:sz w:val="18"/>
                <w:szCs w:val="18"/>
                <w:color w:val="auto"/>
              </w:rPr>
            </w:pPr>
          </w:p>
        </w:tc>
      </w:tr>
      <w:tr>
        <w:trPr>
          <w:trHeight w:val="229"/>
        </w:trPr>
        <w:tc>
          <w:tcPr>
            <w:tcW w:w="608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2660" w:type="dxa"/>
            <w:vAlign w:val="bottom"/>
            <w:gridSpan w:val="2"/>
          </w:tcPr>
          <w:p>
            <w:pPr>
              <w:ind w:left="1840"/>
              <w:spacing w:after="0"/>
              <w:rPr>
                <w:sz w:val="20"/>
                <w:szCs w:val="20"/>
                <w:color w:val="auto"/>
              </w:rPr>
            </w:pPr>
            <w:r>
              <w:rPr>
                <w:rFonts w:ascii="Arial" w:cs="Arial" w:eastAsia="Arial" w:hAnsi="Arial"/>
                <w:sz w:val="18"/>
                <w:szCs w:val="18"/>
                <w:color w:val="auto"/>
              </w:rPr>
              <w:t>3.0 years</w:t>
            </w:r>
          </w:p>
        </w:tc>
        <w:tc>
          <w:tcPr>
            <w:tcW w:w="250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230"/>
        </w:trPr>
        <w:tc>
          <w:tcPr>
            <w:tcW w:w="6080" w:type="dxa"/>
            <w:vAlign w:val="bottom"/>
            <w:shd w:val="clear" w:color="auto" w:fill="CDFFCC"/>
          </w:tcPr>
          <w:p>
            <w:pPr>
              <w:ind w:left="180"/>
              <w:spacing w:after="0"/>
              <w:rPr>
                <w:sz w:val="20"/>
                <w:szCs w:val="20"/>
                <w:color w:val="auto"/>
              </w:rPr>
            </w:pPr>
            <w:r>
              <w:rPr>
                <w:rFonts w:ascii="Arial" w:cs="Arial" w:eastAsia="Arial" w:hAnsi="Arial"/>
                <w:sz w:val="16"/>
                <w:szCs w:val="16"/>
                <w:color w:val="auto"/>
              </w:rPr>
              <w:t>Finance leases</w:t>
            </w:r>
          </w:p>
        </w:tc>
        <w:tc>
          <w:tcPr>
            <w:tcW w:w="2660" w:type="dxa"/>
            <w:vAlign w:val="bottom"/>
            <w:gridSpan w:val="2"/>
            <w:shd w:val="clear" w:color="auto" w:fill="CDFFCC"/>
          </w:tcPr>
          <w:p>
            <w:pPr>
              <w:ind w:left="1840"/>
              <w:spacing w:after="0"/>
              <w:rPr>
                <w:sz w:val="20"/>
                <w:szCs w:val="20"/>
                <w:color w:val="auto"/>
              </w:rPr>
            </w:pPr>
            <w:r>
              <w:rPr>
                <w:rFonts w:ascii="Arial" w:cs="Arial" w:eastAsia="Arial" w:hAnsi="Arial"/>
                <w:sz w:val="18"/>
                <w:szCs w:val="18"/>
                <w:color w:val="auto"/>
              </w:rPr>
              <w:t>2.8 years</w:t>
            </w:r>
          </w:p>
        </w:tc>
        <w:tc>
          <w:tcPr>
            <w:tcW w:w="2500" w:type="dxa"/>
            <w:vAlign w:val="bottom"/>
            <w:shd w:val="clear" w:color="auto" w:fill="CDFFCC"/>
          </w:tcPr>
          <w:p>
            <w:pPr>
              <w:jc w:val="right"/>
              <w:ind w:right="131"/>
              <w:spacing w:after="0"/>
              <w:rPr>
                <w:sz w:val="20"/>
                <w:szCs w:val="20"/>
                <w:color w:val="auto"/>
              </w:rPr>
            </w:pPr>
            <w:r>
              <w:rPr>
                <w:rFonts w:ascii="Arial" w:cs="Arial" w:eastAsia="Arial" w:hAnsi="Arial"/>
                <w:sz w:val="18"/>
                <w:szCs w:val="18"/>
                <w:color w:val="auto"/>
              </w:rPr>
              <w:t>—</w:t>
            </w:r>
          </w:p>
        </w:tc>
      </w:tr>
      <w:tr>
        <w:trPr>
          <w:trHeight w:val="257"/>
        </w:trPr>
        <w:tc>
          <w:tcPr>
            <w:tcW w:w="6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16"/>
        </w:trPr>
        <w:tc>
          <w:tcPr>
            <w:tcW w:w="6080" w:type="dxa"/>
            <w:vAlign w:val="bottom"/>
            <w:shd w:val="clear" w:color="auto" w:fill="CDFFCC"/>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2500" w:type="dxa"/>
            <w:vAlign w:val="bottom"/>
            <w:shd w:val="clear" w:color="auto" w:fill="CDFFCC"/>
          </w:tcPr>
          <w:p>
            <w:pPr>
              <w:spacing w:after="0"/>
              <w:rPr>
                <w:sz w:val="18"/>
                <w:szCs w:val="18"/>
                <w:color w:val="auto"/>
              </w:rPr>
            </w:pPr>
          </w:p>
        </w:tc>
        <w:tc>
          <w:tcPr>
            <w:tcW w:w="160" w:type="dxa"/>
            <w:vAlign w:val="bottom"/>
            <w:shd w:val="clear" w:color="auto" w:fill="CDFFCC"/>
          </w:tcPr>
          <w:p>
            <w:pPr>
              <w:spacing w:after="0"/>
              <w:rPr>
                <w:sz w:val="18"/>
                <w:szCs w:val="18"/>
                <w:color w:val="auto"/>
              </w:rPr>
            </w:pPr>
          </w:p>
        </w:tc>
        <w:tc>
          <w:tcPr>
            <w:tcW w:w="2500" w:type="dxa"/>
            <w:vAlign w:val="bottom"/>
            <w:shd w:val="clear" w:color="auto" w:fill="CDFFCC"/>
          </w:tcPr>
          <w:p>
            <w:pPr>
              <w:spacing w:after="0"/>
              <w:rPr>
                <w:sz w:val="18"/>
                <w:szCs w:val="18"/>
                <w:color w:val="auto"/>
              </w:rPr>
            </w:pPr>
          </w:p>
        </w:tc>
      </w:tr>
      <w:tr>
        <w:trPr>
          <w:trHeight w:val="229"/>
        </w:trPr>
        <w:tc>
          <w:tcPr>
            <w:tcW w:w="608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2500" w:type="dxa"/>
            <w:vAlign w:val="bottom"/>
          </w:tcPr>
          <w:p>
            <w:pPr>
              <w:jc w:val="right"/>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6080" w:type="dxa"/>
            <w:vAlign w:val="bottom"/>
            <w:shd w:val="clear" w:color="auto" w:fill="CDFFCC"/>
          </w:tcPr>
          <w:p>
            <w:pPr>
              <w:ind w:left="180"/>
              <w:spacing w:after="0"/>
              <w:rPr>
                <w:sz w:val="20"/>
                <w:szCs w:val="20"/>
                <w:color w:val="auto"/>
              </w:rPr>
            </w:pPr>
            <w:r>
              <w:rPr>
                <w:rFonts w:ascii="Arial" w:cs="Arial" w:eastAsia="Arial" w:hAnsi="Arial"/>
                <w:sz w:val="16"/>
                <w:szCs w:val="16"/>
                <w:color w:val="auto"/>
              </w:rPr>
              <w:t>Finance leases</w:t>
            </w:r>
          </w:p>
        </w:tc>
        <w:tc>
          <w:tcPr>
            <w:tcW w:w="25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DFFCC"/>
          </w:tcPr>
          <w:p>
            <w:pPr>
              <w:spacing w:after="0"/>
              <w:rPr>
                <w:sz w:val="19"/>
                <w:szCs w:val="19"/>
                <w:color w:val="auto"/>
              </w:rPr>
            </w:pPr>
          </w:p>
        </w:tc>
        <w:tc>
          <w:tcPr>
            <w:tcW w:w="2500" w:type="dxa"/>
            <w:vAlign w:val="bottom"/>
            <w:shd w:val="clear" w:color="auto" w:fill="CDFFCC"/>
          </w:tcPr>
          <w:p>
            <w:pPr>
              <w:jc w:val="right"/>
              <w:ind w:right="13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and finance leases (with an initial or remaining lease terms in excess of one year) are as follows (amounts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6"/>
                <w:szCs w:val="16"/>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Operating</w:t>
            </w:r>
          </w:p>
        </w:tc>
        <w:tc>
          <w:tcPr>
            <w:tcW w:w="120" w:type="dxa"/>
            <w:vAlign w:val="bottom"/>
          </w:tcPr>
          <w:p>
            <w:pPr>
              <w:spacing w:after="0"/>
              <w:rPr>
                <w:sz w:val="16"/>
                <w:szCs w:val="16"/>
                <w:color w:val="auto"/>
              </w:rPr>
            </w:pPr>
          </w:p>
        </w:tc>
        <w:tc>
          <w:tcPr>
            <w:tcW w:w="120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87"/>
              </w:rPr>
              <w:t>Finance Leases</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FFCC"/>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Leases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6,377</w:t>
            </w:r>
          </w:p>
        </w:tc>
        <w:tc>
          <w:tcPr>
            <w:tcW w:w="1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29"/>
        </w:trPr>
        <w:tc>
          <w:tcPr>
            <w:tcW w:w="8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1,955</w:t>
            </w:r>
          </w:p>
        </w:tc>
        <w:tc>
          <w:tcPr>
            <w:tcW w:w="1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14,197</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Less: present value adjustment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Total lease liability</w:t>
            </w: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12,898</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0"/>
        </w:trPr>
        <w:tc>
          <w:tcPr>
            <w:tcW w:w="84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2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timing and amounts of future minimum lease payments under non-cancellable operating leases in the above table may be subject to change as a result of the restructuring (see Note 14).</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Rental expense for operating leases and other service agreements was approximately $13.5 million, $13.0 million and $10.9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325"/>
        <w:spacing w:after="0" w:line="255" w:lineRule="auto"/>
        <w:rPr>
          <w:sz w:val="20"/>
          <w:szCs w:val="20"/>
          <w:color w:val="auto"/>
        </w:rPr>
      </w:pPr>
      <w:r>
        <w:rPr>
          <w:rFonts w:ascii="Arial" w:cs="Arial" w:eastAsia="Arial" w:hAnsi="Arial"/>
          <w:sz w:val="18"/>
          <w:szCs w:val="18"/>
          <w:color w:val="auto"/>
        </w:rPr>
        <w:t>The Company has a 401(k) defined contribution plan covering all eligible employees. In 2018, the Company provided for employer matching contributions equal to 50% of employee contributions, up to the lesser of 5% of eligible compensation or $6,000. Matching contributions are deposited into the employee’s 401(k) account and are subject to 5 year graded vesting. Beginning in 2019, the Company’s 401(k) policy was changed to a Safe Harbor Plan, whereby the Company matches 100% of the first 3% of eligible compensation and 50% of the next 2% of eligible compensation. Furthermore, the match is immediately vested. Total Company matching contributions were $3.1 million, $3.2 million, and $1.6 million for the years ended December 31, 2020, 2019 and 2018, respectively.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8"/>
          <w:szCs w:val="18"/>
          <w:color w:val="auto"/>
        </w:rPr>
        <w:t>As of December 31, 2020, the Company has a $0.1 million letter of credit outstanding substantially in favor of a certain landlord for office space. In addition, the Company has a letter of credit totaling $0.1 million as a security deposit for the due performance by the Company of the terms and conditions of a supply contract. As a result of our transition to an employee-centric workforce model that does not rely on traditional offices, there were two draws against our letter of credit in the aggregate amount of $1.8 million in connection with exiting leases in Alpharetta Georgia and Israel during the twelve months ended December 31, 2020.</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December 31, 2020 and 2019.</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Related Taxes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in the process of finalizing its sales tax liability analysis for states in which it has economic nexus. During the first quarter of 2020, the Company determined it was probable the Company would be subject to sales tax liabilities plus applicable interest in these states and has estimated the potential exposure to range between $2.5 million to $6.3 million. The Company determined that its best estimate of what would be reasonably expected for the Company to settle the potential exposure was $2.5 million and accordingly, the Company accrued this amount with a corresponding charge to earnings as of March 31, 2020. There has not been any significant changes in the Company’s process of finalizing its sales tax liability nor in the overall accrued amount.</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2019, a novel coronavirus disease (“COVID-19”) was first reported. On March 11, 2020, due to worldwide spread of the virus, the World Health Organization characterized COVID-19 as a pandemic. The COVID-19 global pandemic has resulted in a widespread health crisis, and the resulting impact on governments, businesses and individuals and actions taken by them in response to the situation have resulted in widespread economic disruptions, significantly affecting broader economies, financial markets, and overall demand for the Company’s products. The COVID-19 outbreak also has caused increased uncertainty in estimates and assumptions affecting the reported amounts of assets and liabilities, and the disclosure of contingent assets and liabilities in the Company’s Condensed Consolidated Financial Statements as the extent and period of recovery from the COVID-19 outbreak and related economic disruption is difficult to forecast.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 (continued)</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extent to which COVID-19 impacts the Company’s business and financial results will depend on numerous evolving factors including, but not limited to, the magnitude and duration of COVID-19, the extent to which it will impact worldwide macroeconomic conditions,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The accounting matters assessed included, but were not limited to, the Company’s allowance for credit losses and the carrying value of the goodwill and other long-lived assets. While there was not any significant impact to the operations of the Company, during the twelve months ended December 31, 2020, the Company moved to an employee-centric model under which employees will work remotely rather than in traditional offices due to concerns about COVID-19. As a result of this decision, the Company recognized accelerated amortization to fully reduce the carrying value of the associated right of use assets (“ROU assets”) for 14 leases within its global lease portfolio, which is a material impact to the Company’s consolidated financial statements as of and for the twelve months ended December 31, 2020. Refer to earlier paragraphs of this Note 10 for a detailed discussion of the impacts of this lease restructuring.</w:t>
      </w:r>
    </w:p>
    <w:p>
      <w:pPr>
        <w:spacing w:after="0" w:line="2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future assessment of the magnitude and duration of COVID-19, as well as other factors, could result in other material impacts to the Company’s consolidated financial statements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2019, the Company filed an amendment to its Certificate of Incorporation to authorize an additional 100,000,000 shares of common stock. As December 31, 2020, there were 200,000,000 shares of common stock authorized, and 70,264,265 and 67,554,435 shares issued and outstanding, respectively. As of December 31, 2019, there were 200,000,000 shares of common stock authorized, and 66,543,073 and 63,833,243 shares issued and outstanding, respectively. The par value for the common stock is $0.001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176"/>
        <w:spacing w:after="0" w:line="277" w:lineRule="auto"/>
        <w:rPr>
          <w:sz w:val="20"/>
          <w:szCs w:val="20"/>
          <w:color w:val="auto"/>
        </w:rPr>
      </w:pPr>
      <w:r>
        <w:rPr>
          <w:rFonts w:ascii="Arial" w:cs="Arial" w:eastAsia="Arial" w:hAnsi="Arial"/>
          <w:sz w:val="18"/>
          <w:szCs w:val="18"/>
          <w:color w:val="auto"/>
        </w:rPr>
        <w:t>As of December 31, 2020 and 2019, there were 5,000,000 shares of preferred stock authorized, and zero shares issued and outstanding. The par value for the preferred stock is $0.001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245"/>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per share weighted average fair value of stock options granted during the years ended December 31, 2020, 2019 and 2018 was $13.84, $12.12, and $6.60, respectively. The fair value of each option grant is estimated on the date of grant using the Black-Scholes option-pricing model with the following weighted average assumptions for the years ended December 31, 2020, 2019 and 2018:</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Borders>
              <w:bottom w:val="single" w:sz="8" w:color="auto"/>
            </w:tcBorders>
          </w:tcPr>
          <w:p>
            <w:pPr>
              <w:spacing w:after="0"/>
              <w:rPr>
                <w:sz w:val="20"/>
                <w:szCs w:val="20"/>
                <w:color w:val="auto"/>
              </w:rPr>
            </w:pPr>
          </w:p>
        </w:tc>
      </w:tr>
      <w:tr>
        <w:trPr>
          <w:trHeight w:val="223"/>
        </w:trPr>
        <w:tc>
          <w:tcPr>
            <w:tcW w:w="5780" w:type="dxa"/>
            <w:vAlign w:val="bottom"/>
            <w:tcBorders>
              <w:bottom w:val="single" w:sz="8" w:color="CCFFCC"/>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FFCC"/>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FFCC"/>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Dividend yield</w:t>
            </w:r>
          </w:p>
        </w:tc>
        <w:tc>
          <w:tcPr>
            <w:tcW w:w="1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FFCC"/>
          </w:tcPr>
          <w:p>
            <w:pPr>
              <w:spacing w:after="0"/>
              <w:rPr>
                <w:sz w:val="19"/>
                <w:szCs w:val="19"/>
                <w:color w:val="auto"/>
              </w:rPr>
            </w:pPr>
          </w:p>
        </w:tc>
        <w:tc>
          <w:tcPr>
            <w:tcW w:w="1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CC"/>
          </w:tcPr>
          <w:p>
            <w:pPr>
              <w:spacing w:after="0"/>
              <w:rPr>
                <w:sz w:val="19"/>
                <w:szCs w:val="19"/>
                <w:color w:val="auto"/>
              </w:rPr>
            </w:pPr>
          </w:p>
        </w:tc>
        <w:tc>
          <w:tcPr>
            <w:tcW w:w="1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0.26% – 0.66%</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1.66% – 3.05%</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2.5% – 3.1%</w:t>
            </w:r>
          </w:p>
        </w:tc>
      </w:tr>
      <w:tr>
        <w:trPr>
          <w:trHeight w:val="229"/>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Expected life (in years)</w:t>
            </w:r>
          </w:p>
        </w:tc>
        <w:tc>
          <w:tcPr>
            <w:tcW w:w="1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shd w:val="clear" w:color="auto" w:fill="CCFFCC"/>
          </w:tcPr>
          <w:p>
            <w:pPr>
              <w:spacing w:after="0"/>
              <w:rPr>
                <w:sz w:val="19"/>
                <w:szCs w:val="19"/>
                <w:color w:val="auto"/>
              </w:rPr>
            </w:pPr>
          </w:p>
        </w:tc>
        <w:tc>
          <w:tcPr>
            <w:tcW w:w="1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shd w:val="clear" w:color="auto" w:fill="CCFFCC"/>
          </w:tcPr>
          <w:p>
            <w:pPr>
              <w:spacing w:after="0"/>
              <w:rPr>
                <w:sz w:val="19"/>
                <w:szCs w:val="19"/>
                <w:color w:val="auto"/>
              </w:rPr>
            </w:pPr>
          </w:p>
        </w:tc>
        <w:tc>
          <w:tcPr>
            <w:tcW w:w="1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5.0</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Historical volatility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46.50% – 53.91%</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43.42% – 44%</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43.5% – 48.4%</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stock-based-based compensation awards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life of stock options in years.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257"/>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2009 Stock Incentive Plan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 On June 2, 2017, the Company's Board of Directors amended and restated the Amended 2009 Plan effective April 30, 2017. The amended and restated plan increased the number of shares authorized for issuance under the plan by an additional 4,000,000.</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April 11, 2019, the Company’s Board of Directors adopted, and on June 6, 2019, the Company’s stockholders approved, the 2019 Stock Incentive Plan (‘‘2019 Stock Incentive Plan’’) to replace the Amended 2009 Plan, which was set to expire under its terms on June 9, 2019. Under the 2019 Stock Incentive Plan, the number of shares underlying options and other equity awards which remain outstanding, as well as the number of shares that remained available for grant, under the Amended 2009 Plan and under the Amended 2000 Plan were incorporated, as of June 6, 2019, into the 2019 Stock Incentive Plan. In addition, under the 2019 Stock Incentive Plan, 4,250,000 new shares were authorized for issuance.</w:t>
      </w:r>
    </w:p>
    <w:p>
      <w:pPr>
        <w:spacing w:after="0" w:line="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April 29, 2020, the Company's Board of Directors adopted, and on June 11, 2020, the company's stockholders approved, certain amendments to the 2019 Stock Incentive Plan, including an increase in the number of shares authorized for issuance by 3,000,000 new shares.</w:t>
      </w:r>
    </w:p>
    <w:p>
      <w:pPr>
        <w:spacing w:after="0" w:line="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number of shares authorized for issuance under the 2019 Stock Incentive Plan, the Amended 2009 Plan, and the 2000 Plan is 35,067,744 shares in the aggregate. Options to acquire common stock granted thereunder have 10-year terms. As of December 31, 2020, approximately 3.3 million shares of common stock remained available for issuance under the 2019 Stock Incentive Plan (taking into account all option exercises and other equity award settlements through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202"/>
        <w:spacing w:after="0" w:line="301" w:lineRule="auto"/>
        <w:rPr>
          <w:sz w:val="20"/>
          <w:szCs w:val="20"/>
          <w:color w:val="auto"/>
        </w:rPr>
      </w:pPr>
      <w:r>
        <w:rPr>
          <w:rFonts w:ascii="Arial" w:cs="Arial" w:eastAsia="Arial" w:hAnsi="Arial"/>
          <w:sz w:val="16"/>
          <w:szCs w:val="16"/>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w:t>
      </w:r>
    </w:p>
    <w:p>
      <w:pPr>
        <w:spacing w:after="0" w:line="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11, 2019, the Company’s Board of Directors adopted, and on June 6, 2019, the Company’s stockholders approved, the 2019 Employee Stock Purchase Plan (the ‘‘2019 Employee Stock Purchase Plan’’) to replace the Amended and Restated 2010 Employee Stock Purchase Plan which was set to expire under its terms in June 2020. There are 1,000,000 shares authorized and reserved for issuance under the 2019 Employee Stock Purchase Plan. As of December 31, 2020, approximately 0.8 million shares of common stock remain available for issuance under the 2019 Employee Stock Purchase Plan (taking into account all share purchases through December 31 2019).</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Plan</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January 2018, the Company established the Inducement Plan (the “2018 Plan”). Under the 2018 Plan, the Board of Directors can issue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and subsequently the Board of Directors approved and ratified, effective as of July 31, 2018, October 29, 2018 and February 13, 2019, increases of the number of shares authorized for issuance under the Amended 2018 Plan by 500,000, 250,000 and 618,048 shares, respectively, constituting 3,368,048 shares of common stock in the aggregate being reserved for issuance pursuant to grants under the Amended 2018 Plan. As of December 31, 2020, approximately 1.2 million shares of common stock remained available for issuance under the Amended 2018 Plan (taking into account all option exercises and other equity award settlements through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6"/>
                <w:szCs w:val="16"/>
                <w:b w:val="1"/>
                <w:bCs w:val="1"/>
                <w:color w:val="auto"/>
              </w:rPr>
              <w:t>Stock Option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160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9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 Contractual</w:t>
            </w:r>
          </w:p>
        </w:tc>
        <w:tc>
          <w:tcPr>
            <w:tcW w:w="13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Intrinsic Value (in</w:t>
            </w:r>
          </w:p>
        </w:tc>
        <w:tc>
          <w:tcPr>
            <w:tcW w:w="0" w:type="dxa"/>
            <w:vAlign w:val="bottom"/>
          </w:tcPr>
          <w:p>
            <w:pPr>
              <w:spacing w:after="0"/>
              <w:rPr>
                <w:sz w:val="1"/>
                <w:szCs w:val="1"/>
                <w:color w:val="auto"/>
              </w:rPr>
            </w:pPr>
          </w:p>
        </w:tc>
      </w:tr>
      <w:tr>
        <w:trPr>
          <w:trHeight w:val="213"/>
        </w:trPr>
        <w:tc>
          <w:tcPr>
            <w:tcW w:w="4840" w:type="dxa"/>
            <w:vAlign w:val="bottom"/>
          </w:tcPr>
          <w:p>
            <w:pPr>
              <w:spacing w:after="0"/>
              <w:rPr>
                <w:sz w:val="18"/>
                <w:szCs w:val="18"/>
                <w:color w:val="auto"/>
              </w:rPr>
            </w:pPr>
          </w:p>
        </w:tc>
        <w:tc>
          <w:tcPr>
            <w:tcW w:w="1600" w:type="dxa"/>
            <w:vAlign w:val="bottom"/>
            <w:gridSpan w:val="2"/>
          </w:tcPr>
          <w:p>
            <w:pPr>
              <w:ind w:left="38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Term (in years)</w:t>
            </w:r>
          </w:p>
        </w:tc>
        <w:tc>
          <w:tcPr>
            <w:tcW w:w="200" w:type="dxa"/>
            <w:vAlign w:val="bottom"/>
          </w:tcPr>
          <w:p>
            <w:pPr>
              <w:spacing w:after="0"/>
              <w:rPr>
                <w:sz w:val="18"/>
                <w:szCs w:val="18"/>
                <w:color w:val="auto"/>
              </w:rPr>
            </w:pPr>
          </w:p>
        </w:tc>
        <w:tc>
          <w:tcPr>
            <w:tcW w:w="1140" w:type="dxa"/>
            <w:vAlign w:val="bottom"/>
          </w:tcPr>
          <w:p>
            <w:pPr>
              <w:jc w:val="center"/>
              <w:ind w:right="112"/>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226"/>
        </w:trPr>
        <w:tc>
          <w:tcPr>
            <w:tcW w:w="4840" w:type="dxa"/>
            <w:vAlign w:val="bottom"/>
            <w:tcBorders>
              <w:top w:val="single" w:sz="8" w:color="CDFFCC"/>
            </w:tcBorders>
            <w:shd w:val="clear" w:color="auto" w:fill="CDFFCC"/>
          </w:tcPr>
          <w:p>
            <w:pPr>
              <w:ind w:left="20"/>
              <w:spacing w:after="0"/>
              <w:rPr>
                <w:sz w:val="20"/>
                <w:szCs w:val="20"/>
                <w:color w:val="auto"/>
              </w:rPr>
            </w:pPr>
            <w:r>
              <w:rPr>
                <w:rFonts w:ascii="Arial" w:cs="Arial" w:eastAsia="Arial" w:hAnsi="Arial"/>
                <w:sz w:val="18"/>
                <w:szCs w:val="18"/>
                <w:color w:val="auto"/>
              </w:rPr>
              <w:t>Balance outstanding at December 31, 2017</w:t>
            </w:r>
          </w:p>
        </w:tc>
        <w:tc>
          <w:tcPr>
            <w:tcW w:w="1500" w:type="dxa"/>
            <w:vAlign w:val="bottom"/>
            <w:tcBorders>
              <w:top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7,959</w:t>
            </w:r>
          </w:p>
        </w:tc>
        <w:tc>
          <w:tcPr>
            <w:tcW w:w="100" w:type="dxa"/>
            <w:vAlign w:val="bottom"/>
            <w:tcBorders>
              <w:top w:val="single" w:sz="8" w:color="CDFFCC"/>
            </w:tcBorders>
            <w:shd w:val="clear" w:color="auto" w:fill="CDFFCC"/>
          </w:tcPr>
          <w:p>
            <w:pPr>
              <w:spacing w:after="0"/>
              <w:rPr>
                <w:sz w:val="19"/>
                <w:szCs w:val="19"/>
                <w:color w:val="auto"/>
              </w:rPr>
            </w:pPr>
          </w:p>
        </w:tc>
        <w:tc>
          <w:tcPr>
            <w:tcW w:w="180" w:type="dxa"/>
            <w:vAlign w:val="bottom"/>
            <w:tcBorders>
              <w:top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top w:val="single" w:sz="8" w:color="CDFFCC"/>
            </w:tcBorders>
            <w:shd w:val="clear" w:color="auto" w:fill="CDFFCC"/>
          </w:tcPr>
          <w:p>
            <w:pPr>
              <w:spacing w:after="0"/>
              <w:rPr>
                <w:sz w:val="19"/>
                <w:szCs w:val="19"/>
                <w:color w:val="auto"/>
              </w:rPr>
            </w:pPr>
          </w:p>
        </w:tc>
        <w:tc>
          <w:tcPr>
            <w:tcW w:w="1820" w:type="dxa"/>
            <w:vAlign w:val="bottom"/>
            <w:tcBorders>
              <w:top w:val="single" w:sz="8" w:color="auto"/>
            </w:tcBorders>
            <w:shd w:val="clear" w:color="auto" w:fill="CDFFCC"/>
          </w:tcPr>
          <w:p>
            <w:pPr>
              <w:spacing w:after="0"/>
              <w:rPr>
                <w:sz w:val="19"/>
                <w:szCs w:val="19"/>
                <w:color w:val="auto"/>
              </w:rPr>
            </w:pPr>
          </w:p>
        </w:tc>
        <w:tc>
          <w:tcPr>
            <w:tcW w:w="100" w:type="dxa"/>
            <w:vAlign w:val="bottom"/>
            <w:tcBorders>
              <w:top w:val="single" w:sz="8" w:color="CDFFCC"/>
            </w:tcBorders>
            <w:shd w:val="clear" w:color="auto" w:fill="CDFFCC"/>
          </w:tcPr>
          <w:p>
            <w:pPr>
              <w:spacing w:after="0"/>
              <w:rPr>
                <w:sz w:val="19"/>
                <w:szCs w:val="19"/>
                <w:color w:val="auto"/>
              </w:rPr>
            </w:pPr>
          </w:p>
        </w:tc>
        <w:tc>
          <w:tcPr>
            <w:tcW w:w="200" w:type="dxa"/>
            <w:vAlign w:val="bottom"/>
            <w:tcBorders>
              <w:top w:val="single" w:sz="8" w:color="auto"/>
            </w:tcBorders>
            <w:shd w:val="clear" w:color="auto" w:fill="CDFFCC"/>
          </w:tcPr>
          <w:p>
            <w:pPr>
              <w:spacing w:after="0"/>
              <w:rPr>
                <w:sz w:val="19"/>
                <w:szCs w:val="19"/>
                <w:color w:val="auto"/>
              </w:rPr>
            </w:pPr>
          </w:p>
        </w:tc>
        <w:tc>
          <w:tcPr>
            <w:tcW w:w="1140" w:type="dxa"/>
            <w:vAlign w:val="bottom"/>
            <w:tcBorders>
              <w:top w:val="single" w:sz="8" w:color="auto"/>
            </w:tcBorders>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DFFCC"/>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DFFCC"/>
          </w:tcPr>
          <w:p>
            <w:pPr>
              <w:spacing w:after="0"/>
              <w:rPr>
                <w:sz w:val="19"/>
                <w:szCs w:val="19"/>
                <w:color w:val="auto"/>
              </w:rPr>
            </w:pPr>
          </w:p>
        </w:tc>
        <w:tc>
          <w:tcPr>
            <w:tcW w:w="18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114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Borders>
              <w:bottom w:val="single" w:sz="8" w:color="CDFFCC"/>
            </w:tcBorders>
          </w:tcPr>
          <w:p>
            <w:pPr>
              <w:ind w:left="22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DFFCC"/>
            </w:tcBorders>
          </w:tcPr>
          <w:p>
            <w:pPr>
              <w:spacing w:after="0"/>
              <w:rPr>
                <w:sz w:val="19"/>
                <w:szCs w:val="19"/>
                <w:color w:val="auto"/>
              </w:rPr>
            </w:pPr>
          </w:p>
        </w:tc>
        <w:tc>
          <w:tcPr>
            <w:tcW w:w="180" w:type="dxa"/>
            <w:vAlign w:val="bottom"/>
            <w:tcBorders>
              <w:bottom w:val="single" w:sz="8" w:color="CDFFCC"/>
            </w:tcBorders>
          </w:tcPr>
          <w:p>
            <w:pPr>
              <w:spacing w:after="0"/>
              <w:rPr>
                <w:sz w:val="19"/>
                <w:szCs w:val="19"/>
                <w:color w:val="auto"/>
              </w:rPr>
            </w:pPr>
          </w:p>
        </w:tc>
        <w:tc>
          <w:tcPr>
            <w:tcW w:w="1260" w:type="dxa"/>
            <w:vAlign w:val="bottom"/>
            <w:tcBorders>
              <w:bottom w:val="single" w:sz="8" w:color="CDFFCC"/>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DFFCC"/>
            </w:tcBorders>
          </w:tcPr>
          <w:p>
            <w:pPr>
              <w:spacing w:after="0"/>
              <w:rPr>
                <w:sz w:val="19"/>
                <w:szCs w:val="19"/>
                <w:color w:val="auto"/>
              </w:rPr>
            </w:pPr>
          </w:p>
        </w:tc>
        <w:tc>
          <w:tcPr>
            <w:tcW w:w="182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200" w:type="dxa"/>
            <w:vAlign w:val="bottom"/>
            <w:tcBorders>
              <w:bottom w:val="single" w:sz="8" w:color="CDFFCC"/>
            </w:tcBorders>
          </w:tcPr>
          <w:p>
            <w:pPr>
              <w:spacing w:after="0"/>
              <w:rPr>
                <w:sz w:val="19"/>
                <w:szCs w:val="19"/>
                <w:color w:val="auto"/>
              </w:rPr>
            </w:pPr>
          </w:p>
        </w:tc>
        <w:tc>
          <w:tcPr>
            <w:tcW w:w="1140" w:type="dxa"/>
            <w:vAlign w:val="bottom"/>
            <w:tcBorders>
              <w:bottom w:val="single" w:sz="8" w:color="CDFFC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DFFCC"/>
            </w:tcBorders>
            <w:shd w:val="clear" w:color="auto" w:fill="CDFFCC"/>
          </w:tcPr>
          <w:p>
            <w:pPr>
              <w:ind w:left="20"/>
              <w:spacing w:after="0"/>
              <w:rPr>
                <w:sz w:val="20"/>
                <w:szCs w:val="20"/>
                <w:color w:val="auto"/>
              </w:rPr>
            </w:pPr>
            <w:r>
              <w:rPr>
                <w:rFonts w:ascii="Arial" w:cs="Arial" w:eastAsia="Arial" w:hAnsi="Arial"/>
                <w:sz w:val="18"/>
                <w:szCs w:val="18"/>
                <w:color w:val="auto"/>
              </w:rPr>
              <w:t>Balance outstanding at December 31, 2018</w:t>
            </w:r>
          </w:p>
        </w:tc>
        <w:tc>
          <w:tcPr>
            <w:tcW w:w="15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Borders>
              <w:bottom w:val="single" w:sz="8" w:color="CDFFCC"/>
            </w:tcBorders>
            <w:shd w:val="clear" w:color="auto" w:fill="CDFFCC"/>
          </w:tcPr>
          <w:p>
            <w:pPr>
              <w:spacing w:after="0"/>
              <w:rPr>
                <w:sz w:val="21"/>
                <w:szCs w:val="21"/>
                <w:color w:val="auto"/>
              </w:rPr>
            </w:pPr>
          </w:p>
        </w:tc>
        <w:tc>
          <w:tcPr>
            <w:tcW w:w="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DFFCC"/>
            </w:tcBorders>
            <w:shd w:val="clear" w:color="auto" w:fill="CDFFCC"/>
          </w:tcPr>
          <w:p>
            <w:pPr>
              <w:spacing w:after="0"/>
              <w:rPr>
                <w:sz w:val="21"/>
                <w:szCs w:val="21"/>
                <w:color w:val="auto"/>
              </w:rPr>
            </w:pPr>
          </w:p>
        </w:tc>
        <w:tc>
          <w:tcPr>
            <w:tcW w:w="18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DFFCC"/>
            </w:tcBorders>
            <w:shd w:val="clear" w:color="auto" w:fill="CDFFCC"/>
          </w:tcPr>
          <w:p>
            <w:pPr>
              <w:spacing w:after="0"/>
              <w:rPr>
                <w:sz w:val="21"/>
                <w:szCs w:val="21"/>
                <w:color w:val="auto"/>
              </w:rPr>
            </w:pPr>
          </w:p>
        </w:tc>
        <w:tc>
          <w:tcPr>
            <w:tcW w:w="2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43,348</w:t>
            </w:r>
          </w:p>
        </w:tc>
        <w:tc>
          <w:tcPr>
            <w:tcW w:w="0" w:type="dxa"/>
            <w:vAlign w:val="bottom"/>
          </w:tcPr>
          <w:p>
            <w:pPr>
              <w:spacing w:after="0"/>
              <w:rPr>
                <w:sz w:val="1"/>
                <w:szCs w:val="1"/>
                <w:color w:val="auto"/>
              </w:rPr>
            </w:pPr>
          </w:p>
        </w:tc>
      </w:tr>
      <w:tr>
        <w:trPr>
          <w:trHeight w:val="20"/>
        </w:trPr>
        <w:tc>
          <w:tcPr>
            <w:tcW w:w="4840" w:type="dxa"/>
            <w:vAlign w:val="bottom"/>
            <w:tcBorders>
              <w:top w:val="single" w:sz="8" w:color="CDFFCC"/>
            </w:tcBorders>
          </w:tcPr>
          <w:p>
            <w:pPr>
              <w:spacing w:after="0" w:line="20" w:lineRule="exact"/>
              <w:rPr>
                <w:sz w:val="1"/>
                <w:szCs w:val="1"/>
                <w:color w:val="auto"/>
              </w:rPr>
            </w:pPr>
          </w:p>
        </w:tc>
        <w:tc>
          <w:tcPr>
            <w:tcW w:w="15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bottom w:val="single" w:sz="8" w:color="auto"/>
            </w:tcBorders>
          </w:tcPr>
          <w:p>
            <w:pPr>
              <w:spacing w:after="0" w:line="20" w:lineRule="exact"/>
              <w:rPr>
                <w:sz w:val="1"/>
                <w:szCs w:val="1"/>
                <w:color w:val="auto"/>
              </w:rPr>
            </w:pPr>
          </w:p>
        </w:tc>
        <w:tc>
          <w:tcPr>
            <w:tcW w:w="12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2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00" w:type="dxa"/>
            <w:vAlign w:val="bottom"/>
            <w:tcBorders>
              <w:top w:val="single" w:sz="8" w:color="CDFFCC"/>
              <w:bottom w:val="single" w:sz="8" w:color="auto"/>
            </w:tcBorders>
          </w:tcPr>
          <w:p>
            <w:pPr>
              <w:spacing w:after="0" w:line="20" w:lineRule="exact"/>
              <w:rPr>
                <w:sz w:val="1"/>
                <w:szCs w:val="1"/>
                <w:color w:val="auto"/>
              </w:rPr>
            </w:pPr>
          </w:p>
        </w:tc>
        <w:tc>
          <w:tcPr>
            <w:tcW w:w="114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5,550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11.89</w:t>
            </w: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39,521</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DFFC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40" w:type="dxa"/>
            <w:vAlign w:val="bottom"/>
            <w:tcBorders>
              <w:bottom w:val="single" w:sz="8" w:color="CDFFCC"/>
            </w:tcBorders>
            <w:shd w:val="clear" w:color="auto" w:fill="CDFFCC"/>
          </w:tcPr>
          <w:p>
            <w:pPr>
              <w:ind w:left="20"/>
              <w:spacing w:after="0"/>
              <w:rPr>
                <w:sz w:val="20"/>
                <w:szCs w:val="20"/>
                <w:color w:val="auto"/>
              </w:rPr>
            </w:pPr>
            <w:r>
              <w:rPr>
                <w:rFonts w:ascii="Arial" w:cs="Arial" w:eastAsia="Arial" w:hAnsi="Arial"/>
                <w:sz w:val="18"/>
                <w:szCs w:val="18"/>
                <w:color w:val="auto"/>
              </w:rPr>
              <w:t>Options exercisable at December 31, 2018</w:t>
            </w:r>
          </w:p>
        </w:tc>
        <w:tc>
          <w:tcPr>
            <w:tcW w:w="15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auto"/>
            </w:tcBorders>
            <w:shd w:val="clear" w:color="auto" w:fill="CDFFCC"/>
          </w:tcPr>
          <w:p>
            <w:pPr>
              <w:spacing w:after="0"/>
              <w:rPr>
                <w:sz w:val="21"/>
                <w:szCs w:val="21"/>
                <w:color w:val="auto"/>
              </w:rPr>
            </w:pPr>
          </w:p>
        </w:tc>
        <w:tc>
          <w:tcPr>
            <w:tcW w:w="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DFFCC"/>
            </w:tcBorders>
            <w:shd w:val="clear" w:color="auto" w:fill="CDFFCC"/>
          </w:tcPr>
          <w:p>
            <w:pPr>
              <w:spacing w:after="0"/>
              <w:rPr>
                <w:sz w:val="21"/>
                <w:szCs w:val="21"/>
                <w:color w:val="auto"/>
              </w:rPr>
            </w:pPr>
          </w:p>
        </w:tc>
        <w:tc>
          <w:tcPr>
            <w:tcW w:w="18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DFFCC"/>
            </w:tcBorders>
            <w:shd w:val="clear" w:color="auto" w:fill="CDFFCC"/>
          </w:tcPr>
          <w:p>
            <w:pPr>
              <w:spacing w:after="0"/>
              <w:rPr>
                <w:sz w:val="21"/>
                <w:szCs w:val="21"/>
                <w:color w:val="auto"/>
              </w:rPr>
            </w:pPr>
          </w:p>
        </w:tc>
        <w:tc>
          <w:tcPr>
            <w:tcW w:w="2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25,367</w:t>
            </w:r>
          </w:p>
        </w:tc>
        <w:tc>
          <w:tcPr>
            <w:tcW w:w="0" w:type="dxa"/>
            <w:vAlign w:val="bottom"/>
          </w:tcPr>
          <w:p>
            <w:pPr>
              <w:spacing w:after="0"/>
              <w:rPr>
                <w:sz w:val="1"/>
                <w:szCs w:val="1"/>
                <w:color w:val="auto"/>
              </w:rPr>
            </w:pPr>
          </w:p>
        </w:tc>
      </w:tr>
      <w:tr>
        <w:trPr>
          <w:trHeight w:val="20"/>
        </w:trPr>
        <w:tc>
          <w:tcPr>
            <w:tcW w:w="4840" w:type="dxa"/>
            <w:vAlign w:val="bottom"/>
            <w:tcBorders>
              <w:top w:val="single" w:sz="8" w:color="CDFFCC"/>
            </w:tcBorders>
          </w:tcPr>
          <w:p>
            <w:pPr>
              <w:spacing w:after="0" w:line="20" w:lineRule="exact"/>
              <w:rPr>
                <w:sz w:val="1"/>
                <w:szCs w:val="1"/>
                <w:color w:val="auto"/>
              </w:rPr>
            </w:pPr>
          </w:p>
        </w:tc>
        <w:tc>
          <w:tcPr>
            <w:tcW w:w="15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bottom w:val="single" w:sz="8" w:color="auto"/>
            </w:tcBorders>
          </w:tcPr>
          <w:p>
            <w:pPr>
              <w:spacing w:after="0" w:line="20" w:lineRule="exact"/>
              <w:rPr>
                <w:sz w:val="1"/>
                <w:szCs w:val="1"/>
                <w:color w:val="auto"/>
              </w:rPr>
            </w:pPr>
          </w:p>
        </w:tc>
        <w:tc>
          <w:tcPr>
            <w:tcW w:w="180" w:type="dxa"/>
            <w:vAlign w:val="bottom"/>
            <w:tcBorders>
              <w:top w:val="single" w:sz="8" w:color="CDFFCC"/>
              <w:bottom w:val="single" w:sz="8" w:color="auto"/>
            </w:tcBorders>
          </w:tcPr>
          <w:p>
            <w:pPr>
              <w:spacing w:after="0" w:line="20" w:lineRule="exact"/>
              <w:rPr>
                <w:sz w:val="1"/>
                <w:szCs w:val="1"/>
                <w:color w:val="auto"/>
              </w:rPr>
            </w:pPr>
          </w:p>
        </w:tc>
        <w:tc>
          <w:tcPr>
            <w:tcW w:w="12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2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00" w:type="dxa"/>
            <w:vAlign w:val="bottom"/>
            <w:tcBorders>
              <w:top w:val="single" w:sz="8" w:color="CDFFCC"/>
              <w:bottom w:val="single" w:sz="8" w:color="auto"/>
            </w:tcBorders>
          </w:tcPr>
          <w:p>
            <w:pPr>
              <w:spacing w:after="0" w:line="20" w:lineRule="exact"/>
              <w:rPr>
                <w:sz w:val="1"/>
                <w:szCs w:val="1"/>
                <w:color w:val="auto"/>
              </w:rPr>
            </w:pPr>
          </w:p>
        </w:tc>
        <w:tc>
          <w:tcPr>
            <w:tcW w:w="114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DFFCC"/>
          </w:tcPr>
          <w:p>
            <w:pPr>
              <w:ind w:left="20"/>
              <w:spacing w:after="0"/>
              <w:rPr>
                <w:sz w:val="20"/>
                <w:szCs w:val="20"/>
                <w:color w:val="auto"/>
              </w:rPr>
            </w:pPr>
            <w:r>
              <w:rPr>
                <w:rFonts w:ascii="Arial" w:cs="Arial" w:eastAsia="Arial" w:hAnsi="Arial"/>
                <w:sz w:val="18"/>
                <w:szCs w:val="18"/>
                <w:color w:val="auto"/>
              </w:rPr>
              <w:t>Balance outstanding at December 31, 2018</w:t>
            </w:r>
          </w:p>
        </w:tc>
        <w:tc>
          <w:tcPr>
            <w:tcW w:w="15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DFFCC"/>
          </w:tcPr>
          <w:p>
            <w:pPr>
              <w:spacing w:after="0"/>
              <w:rPr>
                <w:sz w:val="19"/>
                <w:szCs w:val="19"/>
                <w:color w:val="auto"/>
              </w:rPr>
            </w:pPr>
          </w:p>
        </w:tc>
        <w:tc>
          <w:tcPr>
            <w:tcW w:w="18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114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DFFCC"/>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DFFCC"/>
          </w:tcPr>
          <w:p>
            <w:pPr>
              <w:spacing w:after="0"/>
              <w:rPr>
                <w:sz w:val="19"/>
                <w:szCs w:val="19"/>
                <w:color w:val="auto"/>
              </w:rPr>
            </w:pPr>
          </w:p>
        </w:tc>
        <w:tc>
          <w:tcPr>
            <w:tcW w:w="18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114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Borders>
              <w:bottom w:val="single" w:sz="8" w:color="CDFFCC"/>
            </w:tcBorders>
          </w:tcPr>
          <w:p>
            <w:pPr>
              <w:ind w:left="22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DFFCC"/>
            </w:tcBorders>
          </w:tcPr>
          <w:p>
            <w:pPr>
              <w:spacing w:after="0"/>
              <w:rPr>
                <w:sz w:val="19"/>
                <w:szCs w:val="19"/>
                <w:color w:val="auto"/>
              </w:rPr>
            </w:pPr>
          </w:p>
        </w:tc>
        <w:tc>
          <w:tcPr>
            <w:tcW w:w="180" w:type="dxa"/>
            <w:vAlign w:val="bottom"/>
            <w:tcBorders>
              <w:bottom w:val="single" w:sz="8" w:color="CDFFCC"/>
            </w:tcBorders>
          </w:tcPr>
          <w:p>
            <w:pPr>
              <w:spacing w:after="0"/>
              <w:rPr>
                <w:sz w:val="19"/>
                <w:szCs w:val="19"/>
                <w:color w:val="auto"/>
              </w:rPr>
            </w:pPr>
          </w:p>
        </w:tc>
        <w:tc>
          <w:tcPr>
            <w:tcW w:w="1260" w:type="dxa"/>
            <w:vAlign w:val="bottom"/>
            <w:tcBorders>
              <w:bottom w:val="single" w:sz="8" w:color="CDFFCC"/>
            </w:tcBorders>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DFFCC"/>
            </w:tcBorders>
          </w:tcPr>
          <w:p>
            <w:pPr>
              <w:spacing w:after="0"/>
              <w:rPr>
                <w:sz w:val="19"/>
                <w:szCs w:val="19"/>
                <w:color w:val="auto"/>
              </w:rPr>
            </w:pPr>
          </w:p>
        </w:tc>
        <w:tc>
          <w:tcPr>
            <w:tcW w:w="182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200" w:type="dxa"/>
            <w:vAlign w:val="bottom"/>
            <w:tcBorders>
              <w:bottom w:val="single" w:sz="8" w:color="CDFFCC"/>
            </w:tcBorders>
          </w:tcPr>
          <w:p>
            <w:pPr>
              <w:spacing w:after="0"/>
              <w:rPr>
                <w:sz w:val="19"/>
                <w:szCs w:val="19"/>
                <w:color w:val="auto"/>
              </w:rPr>
            </w:pPr>
          </w:p>
        </w:tc>
        <w:tc>
          <w:tcPr>
            <w:tcW w:w="1140" w:type="dxa"/>
            <w:vAlign w:val="bottom"/>
            <w:tcBorders>
              <w:bottom w:val="single" w:sz="8" w:color="CDFFC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DFFCC"/>
            </w:tcBorders>
            <w:shd w:val="clear" w:color="auto" w:fill="CDFFCC"/>
          </w:tcPr>
          <w:p>
            <w:pPr>
              <w:ind w:left="20"/>
              <w:spacing w:after="0"/>
              <w:rPr>
                <w:sz w:val="20"/>
                <w:szCs w:val="20"/>
                <w:color w:val="auto"/>
              </w:rPr>
            </w:pPr>
            <w:r>
              <w:rPr>
                <w:rFonts w:ascii="Arial" w:cs="Arial" w:eastAsia="Arial" w:hAnsi="Arial"/>
                <w:sz w:val="18"/>
                <w:szCs w:val="18"/>
                <w:color w:val="auto"/>
              </w:rPr>
              <w:t>Balance outstanding at December 31, 2019</w:t>
            </w:r>
          </w:p>
        </w:tc>
        <w:tc>
          <w:tcPr>
            <w:tcW w:w="15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DFFCC"/>
            </w:tcBorders>
            <w:shd w:val="clear" w:color="auto" w:fill="CDFFCC"/>
          </w:tcPr>
          <w:p>
            <w:pPr>
              <w:spacing w:after="0"/>
              <w:rPr>
                <w:sz w:val="21"/>
                <w:szCs w:val="21"/>
                <w:color w:val="auto"/>
              </w:rPr>
            </w:pPr>
          </w:p>
        </w:tc>
        <w:tc>
          <w:tcPr>
            <w:tcW w:w="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DFFCC"/>
            </w:tcBorders>
            <w:shd w:val="clear" w:color="auto" w:fill="CDFFCC"/>
          </w:tcPr>
          <w:p>
            <w:pPr>
              <w:spacing w:after="0"/>
              <w:rPr>
                <w:sz w:val="21"/>
                <w:szCs w:val="21"/>
                <w:color w:val="auto"/>
              </w:rPr>
            </w:pPr>
          </w:p>
        </w:tc>
        <w:tc>
          <w:tcPr>
            <w:tcW w:w="18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DFFCC"/>
            </w:tcBorders>
            <w:shd w:val="clear" w:color="auto" w:fill="CDFFCC"/>
          </w:tcPr>
          <w:p>
            <w:pPr>
              <w:spacing w:after="0"/>
              <w:rPr>
                <w:sz w:val="21"/>
                <w:szCs w:val="21"/>
                <w:color w:val="auto"/>
              </w:rPr>
            </w:pPr>
          </w:p>
        </w:tc>
        <w:tc>
          <w:tcPr>
            <w:tcW w:w="2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119,064</w:t>
            </w:r>
          </w:p>
        </w:tc>
        <w:tc>
          <w:tcPr>
            <w:tcW w:w="0" w:type="dxa"/>
            <w:vAlign w:val="bottom"/>
          </w:tcPr>
          <w:p>
            <w:pPr>
              <w:spacing w:after="0"/>
              <w:rPr>
                <w:sz w:val="1"/>
                <w:szCs w:val="1"/>
                <w:color w:val="auto"/>
              </w:rPr>
            </w:pPr>
          </w:p>
        </w:tc>
      </w:tr>
      <w:tr>
        <w:trPr>
          <w:trHeight w:val="20"/>
        </w:trPr>
        <w:tc>
          <w:tcPr>
            <w:tcW w:w="4840" w:type="dxa"/>
            <w:vAlign w:val="bottom"/>
            <w:tcBorders>
              <w:top w:val="single" w:sz="8" w:color="CDFFCC"/>
            </w:tcBorders>
          </w:tcPr>
          <w:p>
            <w:pPr>
              <w:spacing w:after="0" w:line="20" w:lineRule="exact"/>
              <w:rPr>
                <w:sz w:val="1"/>
                <w:szCs w:val="1"/>
                <w:color w:val="auto"/>
              </w:rPr>
            </w:pPr>
          </w:p>
        </w:tc>
        <w:tc>
          <w:tcPr>
            <w:tcW w:w="15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bottom w:val="single" w:sz="8" w:color="auto"/>
            </w:tcBorders>
          </w:tcPr>
          <w:p>
            <w:pPr>
              <w:spacing w:after="0" w:line="20" w:lineRule="exact"/>
              <w:rPr>
                <w:sz w:val="1"/>
                <w:szCs w:val="1"/>
                <w:color w:val="auto"/>
              </w:rPr>
            </w:pPr>
          </w:p>
        </w:tc>
        <w:tc>
          <w:tcPr>
            <w:tcW w:w="12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2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00" w:type="dxa"/>
            <w:vAlign w:val="bottom"/>
            <w:tcBorders>
              <w:top w:val="single" w:sz="8" w:color="CDFFCC"/>
              <w:bottom w:val="single" w:sz="8" w:color="auto"/>
            </w:tcBorders>
          </w:tcPr>
          <w:p>
            <w:pPr>
              <w:spacing w:after="0" w:line="20" w:lineRule="exact"/>
              <w:rPr>
                <w:sz w:val="1"/>
                <w:szCs w:val="1"/>
                <w:color w:val="auto"/>
              </w:rPr>
            </w:pPr>
          </w:p>
        </w:tc>
        <w:tc>
          <w:tcPr>
            <w:tcW w:w="114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5,096</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15.29</w:t>
            </w: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110,934</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DFFC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shd w:val="clear" w:color="auto" w:fill="CDFFCC"/>
          </w:tcPr>
          <w:p>
            <w:pPr>
              <w:ind w:left="20"/>
              <w:spacing w:after="0"/>
              <w:rPr>
                <w:sz w:val="20"/>
                <w:szCs w:val="20"/>
                <w:color w:val="auto"/>
              </w:rPr>
            </w:pPr>
            <w:r>
              <w:rPr>
                <w:rFonts w:ascii="Arial" w:cs="Arial" w:eastAsia="Arial" w:hAnsi="Arial"/>
                <w:sz w:val="18"/>
                <w:szCs w:val="18"/>
                <w:color w:val="auto"/>
              </w:rPr>
              <w:t>Options exercisable at December 31, 2019</w:t>
            </w:r>
          </w:p>
        </w:tc>
        <w:tc>
          <w:tcPr>
            <w:tcW w:w="15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2,901</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DFFCC"/>
          </w:tcPr>
          <w:p>
            <w:pPr>
              <w:spacing w:after="0"/>
              <w:rPr>
                <w:sz w:val="19"/>
                <w:szCs w:val="19"/>
                <w:color w:val="auto"/>
              </w:rPr>
            </w:pPr>
          </w:p>
        </w:tc>
        <w:tc>
          <w:tcPr>
            <w:tcW w:w="1820" w:type="dxa"/>
            <w:vAlign w:val="bottom"/>
            <w:shd w:val="clear" w:color="auto" w:fill="CDFFCC"/>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DFFCC"/>
          </w:tcPr>
          <w:p>
            <w:pPr>
              <w:jc w:val="right"/>
              <w:spacing w:after="0"/>
              <w:rPr>
                <w:sz w:val="20"/>
                <w:szCs w:val="20"/>
                <w:color w:val="auto"/>
              </w:rPr>
            </w:pPr>
            <w:r>
              <w:rPr>
                <w:rFonts w:ascii="Arial" w:cs="Arial" w:eastAsia="Arial" w:hAnsi="Arial"/>
                <w:sz w:val="18"/>
                <w:szCs w:val="18"/>
                <w:color w:val="auto"/>
              </w:rPr>
              <w:t>72,424</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DFFCC"/>
          </w:tcPr>
          <w:p>
            <w:pPr>
              <w:ind w:left="20"/>
              <w:spacing w:after="0"/>
              <w:rPr>
                <w:sz w:val="20"/>
                <w:szCs w:val="20"/>
                <w:color w:val="auto"/>
              </w:rPr>
            </w:pPr>
            <w:r>
              <w:rPr>
                <w:rFonts w:ascii="Arial" w:cs="Arial" w:eastAsia="Arial" w:hAnsi="Arial"/>
                <w:sz w:val="18"/>
                <w:szCs w:val="18"/>
                <w:color w:val="auto"/>
              </w:rPr>
              <w:t>Balance outstanding at December 31, 2019</w:t>
            </w:r>
          </w:p>
        </w:tc>
        <w:tc>
          <w:tcPr>
            <w:tcW w:w="15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5,799</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DFFCC"/>
          </w:tcPr>
          <w:p>
            <w:pPr>
              <w:spacing w:after="0"/>
              <w:rPr>
                <w:sz w:val="19"/>
                <w:szCs w:val="19"/>
                <w:color w:val="auto"/>
              </w:rPr>
            </w:pPr>
          </w:p>
        </w:tc>
        <w:tc>
          <w:tcPr>
            <w:tcW w:w="18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114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DFFCC"/>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DFFCC"/>
          </w:tcPr>
          <w:p>
            <w:pPr>
              <w:spacing w:after="0"/>
              <w:rPr>
                <w:sz w:val="19"/>
                <w:szCs w:val="19"/>
                <w:color w:val="auto"/>
              </w:rPr>
            </w:pPr>
          </w:p>
        </w:tc>
        <w:tc>
          <w:tcPr>
            <w:tcW w:w="18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114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DFFCC"/>
            </w:tcBorders>
          </w:tcPr>
          <w:p>
            <w:pPr>
              <w:ind w:left="22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DFFCC"/>
            </w:tcBorders>
          </w:tcPr>
          <w:p>
            <w:pPr>
              <w:spacing w:after="0"/>
              <w:rPr>
                <w:sz w:val="19"/>
                <w:szCs w:val="19"/>
                <w:color w:val="auto"/>
              </w:rPr>
            </w:pPr>
          </w:p>
        </w:tc>
        <w:tc>
          <w:tcPr>
            <w:tcW w:w="180" w:type="dxa"/>
            <w:vAlign w:val="bottom"/>
            <w:tcBorders>
              <w:bottom w:val="single" w:sz="8" w:color="CDFFCC"/>
            </w:tcBorders>
          </w:tcPr>
          <w:p>
            <w:pPr>
              <w:spacing w:after="0"/>
              <w:rPr>
                <w:sz w:val="19"/>
                <w:szCs w:val="19"/>
                <w:color w:val="auto"/>
              </w:rPr>
            </w:pPr>
          </w:p>
        </w:tc>
        <w:tc>
          <w:tcPr>
            <w:tcW w:w="1260" w:type="dxa"/>
            <w:vAlign w:val="bottom"/>
            <w:tcBorders>
              <w:bottom w:val="single" w:sz="8" w:color="CDFFCC"/>
            </w:tcBorders>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DFFCC"/>
            </w:tcBorders>
          </w:tcPr>
          <w:p>
            <w:pPr>
              <w:spacing w:after="0"/>
              <w:rPr>
                <w:sz w:val="19"/>
                <w:szCs w:val="19"/>
                <w:color w:val="auto"/>
              </w:rPr>
            </w:pPr>
          </w:p>
        </w:tc>
        <w:tc>
          <w:tcPr>
            <w:tcW w:w="182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200" w:type="dxa"/>
            <w:vAlign w:val="bottom"/>
            <w:tcBorders>
              <w:bottom w:val="single" w:sz="8" w:color="CDFFCC"/>
            </w:tcBorders>
          </w:tcPr>
          <w:p>
            <w:pPr>
              <w:spacing w:after="0"/>
              <w:rPr>
                <w:sz w:val="19"/>
                <w:szCs w:val="19"/>
                <w:color w:val="auto"/>
              </w:rPr>
            </w:pPr>
          </w:p>
        </w:tc>
        <w:tc>
          <w:tcPr>
            <w:tcW w:w="1140" w:type="dxa"/>
            <w:vAlign w:val="bottom"/>
            <w:tcBorders>
              <w:bottom w:val="single" w:sz="8" w:color="CDFFC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DFFCC"/>
            </w:tcBorders>
            <w:shd w:val="clear" w:color="auto" w:fill="CDFFCC"/>
          </w:tcPr>
          <w:p>
            <w:pPr>
              <w:ind w:left="20"/>
              <w:spacing w:after="0"/>
              <w:rPr>
                <w:sz w:val="20"/>
                <w:szCs w:val="20"/>
                <w:color w:val="auto"/>
              </w:rPr>
            </w:pPr>
            <w:r>
              <w:rPr>
                <w:rFonts w:ascii="Arial" w:cs="Arial" w:eastAsia="Arial" w:hAnsi="Arial"/>
                <w:sz w:val="18"/>
                <w:szCs w:val="18"/>
                <w:color w:val="auto"/>
              </w:rPr>
              <w:t>Balance outstanding at December 31, 2020</w:t>
            </w:r>
          </w:p>
        </w:tc>
        <w:tc>
          <w:tcPr>
            <w:tcW w:w="15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4,332</w:t>
            </w:r>
          </w:p>
        </w:tc>
        <w:tc>
          <w:tcPr>
            <w:tcW w:w="100" w:type="dxa"/>
            <w:vAlign w:val="bottom"/>
            <w:tcBorders>
              <w:bottom w:val="single" w:sz="8" w:color="CDFFCC"/>
            </w:tcBorders>
            <w:shd w:val="clear" w:color="auto" w:fill="CDFFCC"/>
          </w:tcPr>
          <w:p>
            <w:pPr>
              <w:spacing w:after="0"/>
              <w:rPr>
                <w:sz w:val="21"/>
                <w:szCs w:val="21"/>
                <w:color w:val="auto"/>
              </w:rPr>
            </w:pPr>
          </w:p>
        </w:tc>
        <w:tc>
          <w:tcPr>
            <w:tcW w:w="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DFFCC"/>
            </w:tcBorders>
            <w:shd w:val="clear" w:color="auto" w:fill="CDFFCC"/>
          </w:tcPr>
          <w:p>
            <w:pPr>
              <w:spacing w:after="0"/>
              <w:rPr>
                <w:sz w:val="21"/>
                <w:szCs w:val="21"/>
                <w:color w:val="auto"/>
              </w:rPr>
            </w:pPr>
          </w:p>
        </w:tc>
        <w:tc>
          <w:tcPr>
            <w:tcW w:w="18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DFFCC"/>
            </w:tcBorders>
            <w:shd w:val="clear" w:color="auto" w:fill="CDFFCC"/>
          </w:tcPr>
          <w:p>
            <w:pPr>
              <w:spacing w:after="0"/>
              <w:rPr>
                <w:sz w:val="21"/>
                <w:szCs w:val="21"/>
                <w:color w:val="auto"/>
              </w:rPr>
            </w:pPr>
          </w:p>
        </w:tc>
        <w:tc>
          <w:tcPr>
            <w:tcW w:w="2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183,825</w:t>
            </w:r>
          </w:p>
        </w:tc>
        <w:tc>
          <w:tcPr>
            <w:tcW w:w="0" w:type="dxa"/>
            <w:vAlign w:val="bottom"/>
          </w:tcPr>
          <w:p>
            <w:pPr>
              <w:spacing w:after="0"/>
              <w:rPr>
                <w:sz w:val="1"/>
                <w:szCs w:val="1"/>
                <w:color w:val="auto"/>
              </w:rPr>
            </w:pPr>
          </w:p>
        </w:tc>
      </w:tr>
      <w:tr>
        <w:trPr>
          <w:trHeight w:val="20"/>
        </w:trPr>
        <w:tc>
          <w:tcPr>
            <w:tcW w:w="4840" w:type="dxa"/>
            <w:vAlign w:val="bottom"/>
            <w:tcBorders>
              <w:top w:val="single" w:sz="8" w:color="CDFFCC"/>
            </w:tcBorders>
          </w:tcPr>
          <w:p>
            <w:pPr>
              <w:spacing w:after="0" w:line="20" w:lineRule="exact"/>
              <w:rPr>
                <w:sz w:val="1"/>
                <w:szCs w:val="1"/>
                <w:color w:val="auto"/>
              </w:rPr>
            </w:pPr>
          </w:p>
        </w:tc>
        <w:tc>
          <w:tcPr>
            <w:tcW w:w="15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bottom w:val="single" w:sz="8" w:color="auto"/>
            </w:tcBorders>
          </w:tcPr>
          <w:p>
            <w:pPr>
              <w:spacing w:after="0" w:line="20" w:lineRule="exact"/>
              <w:rPr>
                <w:sz w:val="1"/>
                <w:szCs w:val="1"/>
                <w:color w:val="auto"/>
              </w:rPr>
            </w:pPr>
          </w:p>
        </w:tc>
        <w:tc>
          <w:tcPr>
            <w:tcW w:w="12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2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00" w:type="dxa"/>
            <w:vAlign w:val="bottom"/>
            <w:tcBorders>
              <w:top w:val="single" w:sz="8" w:color="CDFFCC"/>
              <w:bottom w:val="single" w:sz="8" w:color="auto"/>
            </w:tcBorders>
          </w:tcPr>
          <w:p>
            <w:pPr>
              <w:spacing w:after="0" w:line="20" w:lineRule="exact"/>
              <w:rPr>
                <w:sz w:val="1"/>
                <w:szCs w:val="1"/>
                <w:color w:val="auto"/>
              </w:rPr>
            </w:pPr>
          </w:p>
        </w:tc>
        <w:tc>
          <w:tcPr>
            <w:tcW w:w="114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23.88</w:t>
            </w: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56,382</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DFFC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40" w:type="dxa"/>
            <w:vAlign w:val="bottom"/>
            <w:tcBorders>
              <w:bottom w:val="single" w:sz="8" w:color="CDFFCC"/>
            </w:tcBorders>
            <w:shd w:val="clear" w:color="auto" w:fill="CDFFCC"/>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5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auto"/>
            </w:tcBorders>
            <w:shd w:val="clear" w:color="auto" w:fill="CDFFCC"/>
          </w:tcPr>
          <w:p>
            <w:pPr>
              <w:spacing w:after="0"/>
              <w:rPr>
                <w:sz w:val="21"/>
                <w:szCs w:val="21"/>
                <w:color w:val="auto"/>
              </w:rPr>
            </w:pPr>
          </w:p>
        </w:tc>
        <w:tc>
          <w:tcPr>
            <w:tcW w:w="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DFFCC"/>
            </w:tcBorders>
            <w:shd w:val="clear" w:color="auto" w:fill="CDFFCC"/>
          </w:tcPr>
          <w:p>
            <w:pPr>
              <w:spacing w:after="0"/>
              <w:rPr>
                <w:sz w:val="21"/>
                <w:szCs w:val="21"/>
                <w:color w:val="auto"/>
              </w:rPr>
            </w:pPr>
          </w:p>
        </w:tc>
        <w:tc>
          <w:tcPr>
            <w:tcW w:w="18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DFFCC"/>
            </w:tcBorders>
            <w:shd w:val="clear" w:color="auto" w:fill="CDFFCC"/>
          </w:tcPr>
          <w:p>
            <w:pPr>
              <w:spacing w:after="0"/>
              <w:rPr>
                <w:sz w:val="21"/>
                <w:szCs w:val="21"/>
                <w:color w:val="auto"/>
              </w:rPr>
            </w:pPr>
          </w:p>
        </w:tc>
        <w:tc>
          <w:tcPr>
            <w:tcW w:w="2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108,128</w:t>
            </w:r>
          </w:p>
        </w:tc>
        <w:tc>
          <w:tcPr>
            <w:tcW w:w="0" w:type="dxa"/>
            <w:vAlign w:val="bottom"/>
          </w:tcPr>
          <w:p>
            <w:pPr>
              <w:spacing w:after="0"/>
              <w:rPr>
                <w:sz w:val="1"/>
                <w:szCs w:val="1"/>
                <w:color w:val="auto"/>
              </w:rPr>
            </w:pPr>
          </w:p>
        </w:tc>
      </w:tr>
      <w:tr>
        <w:trPr>
          <w:trHeight w:val="20"/>
        </w:trPr>
        <w:tc>
          <w:tcPr>
            <w:tcW w:w="4840" w:type="dxa"/>
            <w:vAlign w:val="bottom"/>
            <w:tcBorders>
              <w:top w:val="single" w:sz="8" w:color="CDFFCC"/>
            </w:tcBorders>
          </w:tcPr>
          <w:p>
            <w:pPr>
              <w:spacing w:after="0" w:line="20" w:lineRule="exact"/>
              <w:rPr>
                <w:sz w:val="1"/>
                <w:szCs w:val="1"/>
                <w:color w:val="auto"/>
              </w:rPr>
            </w:pPr>
          </w:p>
        </w:tc>
        <w:tc>
          <w:tcPr>
            <w:tcW w:w="15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bottom w:val="single" w:sz="8" w:color="auto"/>
            </w:tcBorders>
          </w:tcPr>
          <w:p>
            <w:pPr>
              <w:spacing w:after="0" w:line="20" w:lineRule="exact"/>
              <w:rPr>
                <w:sz w:val="1"/>
                <w:szCs w:val="1"/>
                <w:color w:val="auto"/>
              </w:rPr>
            </w:pPr>
          </w:p>
        </w:tc>
        <w:tc>
          <w:tcPr>
            <w:tcW w:w="180" w:type="dxa"/>
            <w:vAlign w:val="bottom"/>
            <w:tcBorders>
              <w:top w:val="single" w:sz="8" w:color="CDFFCC"/>
              <w:bottom w:val="single" w:sz="8" w:color="auto"/>
            </w:tcBorders>
          </w:tcPr>
          <w:p>
            <w:pPr>
              <w:spacing w:after="0" w:line="20" w:lineRule="exact"/>
              <w:rPr>
                <w:sz w:val="1"/>
                <w:szCs w:val="1"/>
                <w:color w:val="auto"/>
              </w:rPr>
            </w:pPr>
          </w:p>
        </w:tc>
        <w:tc>
          <w:tcPr>
            <w:tcW w:w="12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2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00" w:type="dxa"/>
            <w:vAlign w:val="bottom"/>
            <w:tcBorders>
              <w:top w:val="single" w:sz="8" w:color="CDFFCC"/>
              <w:bottom w:val="single" w:sz="8" w:color="auto"/>
            </w:tcBorders>
          </w:tcPr>
          <w:p>
            <w:pPr>
              <w:spacing w:after="0" w:line="20" w:lineRule="exact"/>
              <w:rPr>
                <w:sz w:val="1"/>
                <w:szCs w:val="1"/>
                <w:color w:val="auto"/>
              </w:rPr>
            </w:pPr>
          </w:p>
        </w:tc>
        <w:tc>
          <w:tcPr>
            <w:tcW w:w="114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total fair value of stock options exercised during the years ended December 31, 2020 and 2019 was approximately $10.0 million and $8.0 million, respectively. As of December 31, 2020, there was approximately $17.9 million of total unrecognized compensation cost related to nonvested share-based compensation arrangements. That cost is expected to be recognized over a weighted average period of approximately 2.5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3620" w:type="dxa"/>
            <w:vAlign w:val="bottom"/>
            <w:gridSpan w:val="5"/>
          </w:tcPr>
          <w:p>
            <w:pPr>
              <w:ind w:left="70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00" w:type="dxa"/>
            <w:vAlign w:val="bottom"/>
          </w:tcPr>
          <w:p>
            <w:pPr>
              <w:spacing w:after="0"/>
              <w:rPr>
                <w:sz w:val="13"/>
                <w:szCs w:val="13"/>
                <w:color w:val="auto"/>
              </w:rPr>
            </w:pPr>
          </w:p>
        </w:tc>
        <w:tc>
          <w:tcPr>
            <w:tcW w:w="18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Number of Shares (in</w:t>
            </w: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99"/>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2"/>
              </w:rPr>
              <w:t>Aggregate Fair Value (in</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82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Grant Date Fair Value</w:t>
            </w:r>
          </w:p>
        </w:tc>
        <w:tc>
          <w:tcPr>
            <w:tcW w:w="10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thousands)</w:t>
            </w:r>
          </w:p>
        </w:tc>
        <w:tc>
          <w:tcPr>
            <w:tcW w:w="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(Per Share)</w:t>
            </w:r>
          </w:p>
        </w:tc>
        <w:tc>
          <w:tcPr>
            <w:tcW w:w="100" w:type="dxa"/>
            <w:vAlign w:val="bottom"/>
          </w:tcPr>
          <w:p>
            <w:pPr>
              <w:spacing w:after="0"/>
              <w:rPr>
                <w:sz w:val="18"/>
                <w:szCs w:val="18"/>
                <w:color w:val="auto"/>
              </w:rPr>
            </w:pPr>
          </w:p>
        </w:tc>
        <w:tc>
          <w:tcPr>
            <w:tcW w:w="1860" w:type="dxa"/>
            <w:vAlign w:val="bottom"/>
          </w:tcPr>
          <w:p>
            <w:pPr>
              <w:jc w:val="right"/>
              <w:ind w:right="539"/>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12"/>
        </w:trPr>
        <w:tc>
          <w:tcPr>
            <w:tcW w:w="560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2017</w:t>
            </w:r>
          </w:p>
        </w:tc>
        <w:tc>
          <w:tcPr>
            <w:tcW w:w="17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10,053</w:t>
            </w:r>
          </w:p>
        </w:tc>
        <w:tc>
          <w:tcPr>
            <w:tcW w:w="0" w:type="dxa"/>
            <w:vAlign w:val="bottom"/>
          </w:tcPr>
          <w:p>
            <w:pPr>
              <w:spacing w:after="0"/>
              <w:rPr>
                <w:sz w:val="1"/>
                <w:szCs w:val="1"/>
                <w:color w:val="auto"/>
              </w:rPr>
            </w:pPr>
          </w:p>
        </w:tc>
      </w:tr>
      <w:tr>
        <w:trPr>
          <w:trHeight w:val="213"/>
        </w:trPr>
        <w:tc>
          <w:tcPr>
            <w:tcW w:w="5600" w:type="dxa"/>
            <w:vAlign w:val="bottom"/>
          </w:tcPr>
          <w:p>
            <w:pPr>
              <w:ind w:left="140"/>
              <w:spacing w:after="0"/>
              <w:rPr>
                <w:sz w:val="20"/>
                <w:szCs w:val="20"/>
                <w:color w:val="auto"/>
              </w:rPr>
            </w:pPr>
            <w:r>
              <w:rPr>
                <w:rFonts w:ascii="Arial" w:cs="Arial" w:eastAsia="Arial" w:hAnsi="Arial"/>
                <w:sz w:val="16"/>
                <w:szCs w:val="16"/>
                <w:color w:val="auto"/>
              </w:rPr>
              <w:t>Awarded</w:t>
            </w:r>
          </w:p>
        </w:tc>
        <w:tc>
          <w:tcPr>
            <w:tcW w:w="1700" w:type="dxa"/>
            <w:vAlign w:val="bottom"/>
          </w:tcPr>
          <w:p>
            <w:pPr>
              <w:jc w:val="right"/>
              <w:spacing w:after="0"/>
              <w:rPr>
                <w:sz w:val="20"/>
                <w:szCs w:val="20"/>
                <w:color w:val="auto"/>
              </w:rPr>
            </w:pPr>
            <w:r>
              <w:rPr>
                <w:rFonts w:ascii="Arial" w:cs="Arial" w:eastAsia="Arial" w:hAnsi="Arial"/>
                <w:sz w:val="16"/>
                <w:szCs w:val="16"/>
                <w:color w:val="auto"/>
              </w:rPr>
              <w:t>2,568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00" w:type="dxa"/>
            <w:vAlign w:val="bottom"/>
            <w:shd w:val="clear" w:color="auto" w:fill="CCFFCC"/>
          </w:tcPr>
          <w:p>
            <w:pPr>
              <w:ind w:left="140"/>
              <w:spacing w:after="0"/>
              <w:rPr>
                <w:sz w:val="20"/>
                <w:szCs w:val="20"/>
                <w:color w:val="auto"/>
              </w:rPr>
            </w:pPr>
            <w:r>
              <w:rPr>
                <w:rFonts w:ascii="Arial" w:cs="Arial" w:eastAsia="Arial" w:hAnsi="Arial"/>
                <w:sz w:val="16"/>
                <w:szCs w:val="16"/>
                <w:color w:val="auto"/>
              </w:rPr>
              <w:t>Released</w:t>
            </w:r>
          </w:p>
        </w:tc>
        <w:tc>
          <w:tcPr>
            <w:tcW w:w="1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9.49</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56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86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6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2018</w:t>
            </w:r>
          </w:p>
        </w:tc>
        <w:tc>
          <w:tcPr>
            <w:tcW w:w="1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2,690</w:t>
            </w: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50,756</w:t>
            </w:r>
          </w:p>
        </w:tc>
        <w:tc>
          <w:tcPr>
            <w:tcW w:w="0" w:type="dxa"/>
            <w:vAlign w:val="bottom"/>
          </w:tcPr>
          <w:p>
            <w:pPr>
              <w:spacing w:after="0"/>
              <w:rPr>
                <w:sz w:val="1"/>
                <w:szCs w:val="1"/>
                <w:color w:val="auto"/>
              </w:rPr>
            </w:pPr>
          </w:p>
        </w:tc>
      </w:tr>
      <w:tr>
        <w:trPr>
          <w:trHeight w:val="20"/>
        </w:trPr>
        <w:tc>
          <w:tcPr>
            <w:tcW w:w="5600" w:type="dxa"/>
            <w:vAlign w:val="bottom"/>
            <w:tcBorders>
              <w:top w:val="single" w:sz="8" w:color="CCFFCC"/>
            </w:tcBorders>
          </w:tcPr>
          <w:p>
            <w:pPr>
              <w:spacing w:after="0" w:line="20" w:lineRule="exact"/>
              <w:rPr>
                <w:sz w:val="1"/>
                <w:szCs w:val="1"/>
                <w:color w:val="auto"/>
              </w:rPr>
            </w:pPr>
          </w:p>
        </w:tc>
        <w:tc>
          <w:tcPr>
            <w:tcW w:w="17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5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8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2018</w:t>
            </w:r>
          </w:p>
        </w:tc>
        <w:tc>
          <w:tcPr>
            <w:tcW w:w="1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2,690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15.81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50,756</w:t>
            </w:r>
          </w:p>
        </w:tc>
        <w:tc>
          <w:tcPr>
            <w:tcW w:w="0" w:type="dxa"/>
            <w:vAlign w:val="bottom"/>
          </w:tcPr>
          <w:p>
            <w:pPr>
              <w:spacing w:after="0"/>
              <w:rPr>
                <w:sz w:val="1"/>
                <w:szCs w:val="1"/>
                <w:color w:val="auto"/>
              </w:rPr>
            </w:pPr>
          </w:p>
        </w:tc>
      </w:tr>
      <w:tr>
        <w:trPr>
          <w:trHeight w:val="213"/>
        </w:trPr>
        <w:tc>
          <w:tcPr>
            <w:tcW w:w="5600" w:type="dxa"/>
            <w:vAlign w:val="bottom"/>
          </w:tcPr>
          <w:p>
            <w:pPr>
              <w:ind w:left="140"/>
              <w:spacing w:after="0"/>
              <w:rPr>
                <w:sz w:val="20"/>
                <w:szCs w:val="20"/>
                <w:color w:val="auto"/>
              </w:rPr>
            </w:pPr>
            <w:r>
              <w:rPr>
                <w:rFonts w:ascii="Arial" w:cs="Arial" w:eastAsia="Arial" w:hAnsi="Arial"/>
                <w:sz w:val="16"/>
                <w:szCs w:val="16"/>
                <w:color w:val="auto"/>
              </w:rPr>
              <w:t>Awarded</w:t>
            </w:r>
          </w:p>
        </w:tc>
        <w:tc>
          <w:tcPr>
            <w:tcW w:w="1700" w:type="dxa"/>
            <w:vAlign w:val="bottom"/>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00" w:type="dxa"/>
            <w:vAlign w:val="bottom"/>
            <w:shd w:val="clear" w:color="auto" w:fill="CCFFCC"/>
          </w:tcPr>
          <w:p>
            <w:pPr>
              <w:ind w:left="140"/>
              <w:spacing w:after="0"/>
              <w:rPr>
                <w:sz w:val="20"/>
                <w:szCs w:val="20"/>
                <w:color w:val="auto"/>
              </w:rPr>
            </w:pPr>
            <w:r>
              <w:rPr>
                <w:rFonts w:ascii="Arial" w:cs="Arial" w:eastAsia="Arial" w:hAnsi="Arial"/>
                <w:sz w:val="16"/>
                <w:szCs w:val="16"/>
                <w:color w:val="auto"/>
              </w:rPr>
              <w:t>Released</w:t>
            </w:r>
          </w:p>
        </w:tc>
        <w:tc>
          <w:tcPr>
            <w:tcW w:w="1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14.24</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56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86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2019</w:t>
            </w:r>
          </w:p>
        </w:tc>
        <w:tc>
          <w:tcPr>
            <w:tcW w:w="1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3,049</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24.73</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112,848</w:t>
            </w:r>
          </w:p>
        </w:tc>
        <w:tc>
          <w:tcPr>
            <w:tcW w:w="0" w:type="dxa"/>
            <w:vAlign w:val="bottom"/>
          </w:tcPr>
          <w:p>
            <w:pPr>
              <w:spacing w:after="0"/>
              <w:rPr>
                <w:sz w:val="1"/>
                <w:szCs w:val="1"/>
                <w:color w:val="auto"/>
              </w:rPr>
            </w:pPr>
          </w:p>
        </w:tc>
      </w:tr>
      <w:tr>
        <w:trPr>
          <w:trHeight w:val="20"/>
        </w:trPr>
        <w:tc>
          <w:tcPr>
            <w:tcW w:w="5600" w:type="dxa"/>
            <w:vAlign w:val="bottom"/>
            <w:tcBorders>
              <w:top w:val="single" w:sz="8" w:color="CCFFCC"/>
            </w:tcBorders>
          </w:tcPr>
          <w:p>
            <w:pPr>
              <w:spacing w:after="0" w:line="20" w:lineRule="exact"/>
              <w:rPr>
                <w:sz w:val="1"/>
                <w:szCs w:val="1"/>
                <w:color w:val="auto"/>
              </w:rPr>
            </w:pPr>
          </w:p>
        </w:tc>
        <w:tc>
          <w:tcPr>
            <w:tcW w:w="17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5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8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2019</w:t>
            </w:r>
          </w:p>
        </w:tc>
        <w:tc>
          <w:tcPr>
            <w:tcW w:w="1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3,049</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24.73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112,848</w:t>
            </w:r>
          </w:p>
        </w:tc>
        <w:tc>
          <w:tcPr>
            <w:tcW w:w="0" w:type="dxa"/>
            <w:vAlign w:val="bottom"/>
          </w:tcPr>
          <w:p>
            <w:pPr>
              <w:spacing w:after="0"/>
              <w:rPr>
                <w:sz w:val="1"/>
                <w:szCs w:val="1"/>
                <w:color w:val="auto"/>
              </w:rPr>
            </w:pPr>
          </w:p>
        </w:tc>
      </w:tr>
      <w:tr>
        <w:trPr>
          <w:trHeight w:val="213"/>
        </w:trPr>
        <w:tc>
          <w:tcPr>
            <w:tcW w:w="5600" w:type="dxa"/>
            <w:vAlign w:val="bottom"/>
          </w:tcPr>
          <w:p>
            <w:pPr>
              <w:ind w:left="140"/>
              <w:spacing w:after="0"/>
              <w:rPr>
                <w:sz w:val="20"/>
                <w:szCs w:val="20"/>
                <w:color w:val="auto"/>
              </w:rPr>
            </w:pPr>
            <w:r>
              <w:rPr>
                <w:rFonts w:ascii="Arial" w:cs="Arial" w:eastAsia="Arial" w:hAnsi="Arial"/>
                <w:sz w:val="16"/>
                <w:szCs w:val="16"/>
                <w:color w:val="auto"/>
              </w:rPr>
              <w:t>Awarded</w:t>
            </w:r>
          </w:p>
        </w:tc>
        <w:tc>
          <w:tcPr>
            <w:tcW w:w="1700" w:type="dxa"/>
            <w:vAlign w:val="bottom"/>
          </w:tcPr>
          <w:p>
            <w:pPr>
              <w:jc w:val="right"/>
              <w:spacing w:after="0"/>
              <w:rPr>
                <w:sz w:val="20"/>
                <w:szCs w:val="20"/>
                <w:color w:val="auto"/>
              </w:rPr>
            </w:pPr>
            <w:r>
              <w:rPr>
                <w:rFonts w:ascii="Arial" w:cs="Arial" w:eastAsia="Arial" w:hAnsi="Arial"/>
                <w:sz w:val="16"/>
                <w:szCs w:val="16"/>
                <w:color w:val="auto"/>
              </w:rPr>
              <w:t>2,530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00" w:type="dxa"/>
            <w:vAlign w:val="bottom"/>
            <w:shd w:val="clear" w:color="auto" w:fill="CCFFCC"/>
          </w:tcPr>
          <w:p>
            <w:pPr>
              <w:ind w:left="140"/>
              <w:spacing w:after="0"/>
              <w:rPr>
                <w:sz w:val="20"/>
                <w:szCs w:val="20"/>
                <w:color w:val="auto"/>
              </w:rPr>
            </w:pPr>
            <w:r>
              <w:rPr>
                <w:rFonts w:ascii="Arial" w:cs="Arial" w:eastAsia="Arial" w:hAnsi="Arial"/>
                <w:sz w:val="16"/>
                <w:szCs w:val="16"/>
                <w:color w:val="auto"/>
              </w:rPr>
              <w:t>Released</w:t>
            </w:r>
          </w:p>
        </w:tc>
        <w:tc>
          <w:tcPr>
            <w:tcW w:w="1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(1,906)</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23.40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FFCC"/>
            </w:tcBorders>
          </w:tcPr>
          <w:p>
            <w:pPr>
              <w:ind w:left="140"/>
              <w:spacing w:after="0"/>
              <w:rPr>
                <w:sz w:val="20"/>
                <w:szCs w:val="20"/>
                <w:color w:val="auto"/>
              </w:rPr>
            </w:pPr>
            <w:r>
              <w:rPr>
                <w:rFonts w:ascii="Arial" w:cs="Arial" w:eastAsia="Arial" w:hAnsi="Arial"/>
                <w:sz w:val="16"/>
                <w:szCs w:val="16"/>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56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25.19</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86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6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2020</w:t>
            </w:r>
          </w:p>
        </w:tc>
        <w:tc>
          <w:tcPr>
            <w:tcW w:w="1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183,781</w:t>
            </w:r>
          </w:p>
        </w:tc>
        <w:tc>
          <w:tcPr>
            <w:tcW w:w="0" w:type="dxa"/>
            <w:vAlign w:val="bottom"/>
          </w:tcPr>
          <w:p>
            <w:pPr>
              <w:spacing w:after="0"/>
              <w:rPr>
                <w:sz w:val="1"/>
                <w:szCs w:val="1"/>
                <w:color w:val="auto"/>
              </w:rPr>
            </w:pPr>
          </w:p>
        </w:tc>
      </w:tr>
      <w:tr>
        <w:trPr>
          <w:trHeight w:val="20"/>
        </w:trPr>
        <w:tc>
          <w:tcPr>
            <w:tcW w:w="5600" w:type="dxa"/>
            <w:vAlign w:val="bottom"/>
            <w:tcBorders>
              <w:top w:val="single" w:sz="8" w:color="CCFFCC"/>
            </w:tcBorders>
          </w:tcPr>
          <w:p>
            <w:pPr>
              <w:spacing w:after="0" w:line="20" w:lineRule="exact"/>
              <w:rPr>
                <w:sz w:val="1"/>
                <w:szCs w:val="1"/>
                <w:color w:val="auto"/>
              </w:rPr>
            </w:pPr>
          </w:p>
        </w:tc>
        <w:tc>
          <w:tcPr>
            <w:tcW w:w="17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5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8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6"/>
                <w:szCs w:val="16"/>
                <w:color w:val="auto"/>
              </w:rPr>
              <w:t>Expected to vest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120,674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RSUs granted to employees generally vest over a three to four-year period, or upon achievement of certain performance conditions. As of December 31, 2020, total unrecognized compensation cost, adjusted for estimated forfeitures, related to nonvested RSUs was approximately $66.8 million and the weighted-average remaining vesting period was 2.8 years.</w:t>
      </w:r>
    </w:p>
    <w:p>
      <w:pPr>
        <w:spacing w:after="0" w:line="76" w:lineRule="exact"/>
        <w:rPr>
          <w:sz w:val="20"/>
          <w:szCs w:val="20"/>
          <w:color w:val="auto"/>
        </w:rPr>
      </w:pPr>
    </w:p>
    <w:p>
      <w:pPr>
        <w:jc w:val="both"/>
        <w:ind w:firstLine="190"/>
        <w:spacing w:after="0" w:line="296" w:lineRule="auto"/>
        <w:rPr>
          <w:sz w:val="20"/>
          <w:szCs w:val="20"/>
          <w:color w:val="auto"/>
        </w:rPr>
      </w:pPr>
      <w:r>
        <w:rPr>
          <w:rFonts w:ascii="Arial" w:cs="Arial" w:eastAsia="Arial" w:hAnsi="Arial"/>
          <w:sz w:val="16"/>
          <w:szCs w:val="16"/>
          <w:color w:val="auto"/>
        </w:rPr>
        <w:t>For the year ended December 31, 2020, the Company accrued approximately $20.4 million and $8.9 million for cash awards related to bonus and for the achievement of long term incentive plan awards, respectively, to be settled in shares of the Company's stock and recorded a corresponding expense, which is included as a component of stock-based compensation expense in the accompanying consolidated financial statements. For the year ended December 31, 2019, the Company accrued approximately $19.0 million in cash awards to be settled in shares of the Company's stock and recorded a corresponding expense, which is included as a component of stock-based compensation expense in the accompanying consolidated financial statements.</w:t>
      </w:r>
    </w:p>
    <w:p>
      <w:pPr>
        <w:spacing w:after="0" w:line="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Stock-based compensation expense recognized in the Company’s consolidated statements of operations and cash flows was $65.9 million and $44.1 million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36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on a jurisdiction by jurisdiction basis, we believe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2020, there was an increase in the valuation recorded of $6.9 million.</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Company had a valuation allowance on certain deferred tax assets for the years ended December 31, 2018, December 31, 2019 and December 31, 2020 of $30.2 million, $48.5 million and $55.4 million, respectively. An increase in the valuation allowance in the amount of $35.1 million was recorded as an expense and a decrease of $28.2 million related to convertible notes was charged to equity during 2020. An increase in the valuation allowance in the amount of $25.0 million was recorded as an expense and a decrease of $6.7 million related to the issuance of convertible notes was charged to equity during 2019.</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Section 382 of the Internal Revenue Code of 1986, as amended (the ‘‘Code’’), the Company’s use of its federal net operating loss (“NOL”) carryforwards may be limited if the Company experiences an ownership change, as defined in Section 382 of the Code. Such an annual limitation could result in the expiration of the NOL carryforwards before utilization. Corresponding provisions of state law may limit the Company’s ability to utilize NOL carryforwards for state tax purposes. As of December 31, 2020, the Company had approximately $311.7 million of federal NOL carryforwards available to offset future taxable income. Included in this amount is $5.1 million of federal NOL carryovers from the Company’s acquisition of Proficient in 2006. Approximately $41.2 million of these federal NOL carryforwards were generated in taxable years ending on or before December 31, 2017 and will expire in various years through 2037. Federal NOL carryforwards generated in taxable years ending after December 31, 2017, do not expire, but generally may only offset up to 80% of federal taxable income earned in a taxable year.</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domestic and foreign components of income (loss) before provision for income taxes consist of the following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r>
      <w:tr>
        <w:trPr>
          <w:trHeight w:val="226"/>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(113,689)</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(105,961)</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(38,078)</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Israel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3,163</w:t>
            </w:r>
          </w:p>
        </w:tc>
      </w:tr>
      <w:tr>
        <w:trPr>
          <w:trHeight w:val="230"/>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3,690</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3,235</w:t>
            </w:r>
          </w:p>
        </w:tc>
      </w:tr>
      <w:tr>
        <w:trPr>
          <w:trHeight w:val="229"/>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30"/>
        </w:trPr>
        <w:tc>
          <w:tcPr>
            <w:tcW w:w="6760" w:type="dxa"/>
            <w:vAlign w:val="bottom"/>
            <w:shd w:val="clear" w:color="auto" w:fill="CCFFCC"/>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230</w:t>
            </w:r>
          </w:p>
        </w:tc>
      </w:tr>
      <w:tr>
        <w:trPr>
          <w:trHeight w:val="224"/>
        </w:trPr>
        <w:tc>
          <w:tcPr>
            <w:tcW w:w="67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(105,128)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(93,226)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0</wp:posOffset>
            </wp:positionV>
            <wp:extent cx="28117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200" w:hanging="174"/>
        <w:spacing w:after="0"/>
        <w:tabs>
          <w:tab w:leader="none" w:pos="200" w:val="left"/>
        </w:tabs>
        <w:numPr>
          <w:ilvl w:val="0"/>
          <w:numId w:val="57"/>
        </w:numPr>
        <w:rPr>
          <w:rFonts w:ascii="Arial" w:cs="Arial" w:eastAsia="Arial" w:hAnsi="Arial"/>
          <w:sz w:val="21"/>
          <w:szCs w:val="21"/>
          <w:color w:val="auto"/>
          <w:vertAlign w:val="superscript"/>
        </w:rPr>
      </w:pPr>
      <w:r>
        <w:rPr>
          <w:rFonts w:ascii="Arial" w:cs="Arial" w:eastAsia="Arial" w:hAnsi="Arial"/>
          <w:sz w:val="16"/>
          <w:szCs w:val="16"/>
          <w:color w:val="auto"/>
        </w:rPr>
        <w:t>Includes Japan and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09803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1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additional provision has been made for U.S. income taxes on the undistributed earnings of its Israeli subsidiary, LivePerson Ltd. (formerly HumanClick Ltd.), as such earnings have been taxed in the U.S. and accumulated earnings of the Company’s other foreign subsidiaries are immaterial through 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consists of the following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FFC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r>
      <w:tr>
        <w:trPr>
          <w:trHeight w:val="212"/>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income taxes:</w:t>
            </w:r>
          </w:p>
        </w:tc>
        <w:tc>
          <w:tcPr>
            <w:tcW w:w="9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30"/>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State and local</w:t>
            </w:r>
          </w:p>
        </w:tc>
        <w:tc>
          <w:tcPr>
            <w:tcW w:w="900" w:type="dxa"/>
            <w:vAlign w:val="bottom"/>
            <w:shd w:val="clear" w:color="auto" w:fill="CCFFCC"/>
          </w:tcPr>
          <w:p>
            <w:pPr>
              <w:spacing w:after="0"/>
              <w:rPr>
                <w:sz w:val="19"/>
                <w:szCs w:val="19"/>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76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2,408</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r>
      <w:tr>
        <w:trPr>
          <w:trHeight w:val="223"/>
        </w:trPr>
        <w:tc>
          <w:tcPr>
            <w:tcW w:w="6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current income taxes</w:t>
            </w:r>
          </w:p>
        </w:tc>
        <w:tc>
          <w:tcPr>
            <w:tcW w:w="900" w:type="dxa"/>
            <w:vAlign w:val="bottom"/>
            <w:tcBorders>
              <w:bottom w:val="single" w:sz="8" w:color="auto"/>
            </w:tcBorders>
            <w:shd w:val="clear" w:color="auto" w:fill="CCFFCC"/>
          </w:tcPr>
          <w:p>
            <w:pPr>
              <w:spacing w:after="0"/>
              <w:rPr>
                <w:sz w:val="19"/>
                <w:szCs w:val="19"/>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1,886</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4,052</w:t>
            </w:r>
          </w:p>
        </w:tc>
        <w:tc>
          <w:tcPr>
            <w:tcW w:w="10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1,167</w:t>
            </w:r>
          </w:p>
        </w:tc>
      </w:tr>
      <w:tr>
        <w:trPr>
          <w:trHeight w:val="466"/>
        </w:trPr>
        <w:tc>
          <w:tcPr>
            <w:tcW w:w="67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 Federal</w:t>
            </w:r>
          </w:p>
        </w:tc>
        <w:tc>
          <w:tcPr>
            <w:tcW w:w="900" w:type="dxa"/>
            <w:vAlign w:val="bottom"/>
            <w:shd w:val="clear" w:color="auto" w:fill="CCFFCC"/>
          </w:tcPr>
          <w:p>
            <w:pPr>
              <w:spacing w:after="0"/>
              <w:rPr>
                <w:sz w:val="19"/>
                <w:szCs w:val="19"/>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State and local</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shd w:val="clear" w:color="auto" w:fill="CCFFCC"/>
          </w:tcPr>
          <w:p>
            <w:pPr>
              <w:spacing w:after="0"/>
              <w:rPr>
                <w:sz w:val="19"/>
                <w:szCs w:val="19"/>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7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Total deferred income taxes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48"/>
        </w:trPr>
        <w:tc>
          <w:tcPr>
            <w:tcW w:w="67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provision for income taxes</w:t>
            </w:r>
          </w:p>
        </w:tc>
        <w:tc>
          <w:tcPr>
            <w:tcW w:w="900" w:type="dxa"/>
            <w:vAlign w:val="bottom"/>
            <w:tcBorders>
              <w:bottom w:val="single" w:sz="8" w:color="auto"/>
            </w:tcBorders>
            <w:shd w:val="clear" w:color="auto" w:fill="CCFFCC"/>
          </w:tcPr>
          <w:p>
            <w:pPr>
              <w:jc w:val="right"/>
              <w:ind w:right="71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2,466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858</w:t>
            </w:r>
          </w:p>
        </w:tc>
      </w:tr>
      <w:tr>
        <w:trPr>
          <w:trHeight w:val="20"/>
        </w:trPr>
        <w:tc>
          <w:tcPr>
            <w:tcW w:w="676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CCFFCC"/>
              <w:bottom w:val="single" w:sz="8" w:color="auto"/>
            </w:tcBorders>
          </w:tcPr>
          <w:p>
            <w:pPr>
              <w:spacing w:after="0" w:line="20" w:lineRule="exact"/>
              <w:rPr>
                <w:sz w:val="1"/>
                <w:szCs w:val="1"/>
                <w:color w:val="auto"/>
              </w:rPr>
            </w:pPr>
          </w:p>
        </w:tc>
        <w:tc>
          <w:tcPr>
            <w:tcW w:w="5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difference between the total income taxes computed at the federal statutory rate and the provision for income taxes consists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540" w:type="dxa"/>
            <w:vAlign w:val="bottom"/>
            <w:tcBorders>
              <w:bottom w:val="single" w:sz="8" w:color="auto"/>
            </w:tcBorders>
            <w:gridSpan w:val="5"/>
          </w:tcPr>
          <w:p>
            <w:pPr>
              <w:ind w:left="148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FFCC"/>
            </w:tcBorders>
          </w:tcPr>
          <w:p>
            <w:pPr>
              <w:spacing w:after="0"/>
              <w:rPr>
                <w:sz w:val="18"/>
                <w:szCs w:val="18"/>
                <w:color w:val="auto"/>
              </w:rPr>
            </w:pPr>
          </w:p>
        </w:tc>
        <w:tc>
          <w:tcPr>
            <w:tcW w:w="15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FFCC"/>
            </w:tcBorders>
          </w:tcPr>
          <w:p>
            <w:pPr>
              <w:spacing w:after="0"/>
              <w:rPr>
                <w:sz w:val="18"/>
                <w:szCs w:val="18"/>
                <w:color w:val="auto"/>
              </w:rPr>
            </w:pPr>
          </w:p>
        </w:tc>
        <w:tc>
          <w:tcPr>
            <w:tcW w:w="15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226"/>
        </w:trPr>
        <w:tc>
          <w:tcPr>
            <w:tcW w:w="6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Federal statutory rate</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21.00 %</w:t>
            </w:r>
          </w:p>
        </w:tc>
        <w:tc>
          <w:tcPr>
            <w:tcW w:w="120" w:type="dxa"/>
            <w:vAlign w:val="bottom"/>
            <w:shd w:val="clear" w:color="auto" w:fill="CCFFCC"/>
          </w:tcPr>
          <w:p>
            <w:pPr>
              <w:spacing w:after="0"/>
              <w:rPr>
                <w:sz w:val="19"/>
                <w:szCs w:val="19"/>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21.00 %</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00" w:type="dxa"/>
            <w:vAlign w:val="bottom"/>
          </w:tcPr>
          <w:p>
            <w:pPr>
              <w:jc w:val="right"/>
              <w:spacing w:after="0"/>
              <w:rPr>
                <w:sz w:val="20"/>
                <w:szCs w:val="20"/>
                <w:color w:val="auto"/>
              </w:rPr>
            </w:pPr>
            <w:r>
              <w:rPr>
                <w:rFonts w:ascii="Arial" w:cs="Arial" w:eastAsia="Arial" w:hAnsi="Arial"/>
                <w:sz w:val="18"/>
                <w:szCs w:val="18"/>
                <w:color w:val="auto"/>
              </w:rPr>
              <w:t>4.82 %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3.30 %</w:t>
            </w:r>
          </w:p>
        </w:tc>
      </w:tr>
      <w:tr>
        <w:trPr>
          <w:trHeight w:val="229"/>
        </w:trPr>
        <w:tc>
          <w:tcPr>
            <w:tcW w:w="6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Non-deductible expenses – stock based compensation</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FFCC"/>
          </w:tcPr>
          <w:p>
            <w:pPr>
              <w:spacing w:after="0"/>
              <w:rPr>
                <w:sz w:val="19"/>
                <w:szCs w:val="19"/>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1.82 %</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4.73 %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Global Intangible Low Tax Income Inclusion</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6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Non-deductible expenses – Other</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0.14 %</w:t>
            </w:r>
          </w:p>
        </w:tc>
        <w:tc>
          <w:tcPr>
            <w:tcW w:w="120" w:type="dxa"/>
            <w:vAlign w:val="bottom"/>
            <w:shd w:val="clear" w:color="auto" w:fill="CCFFCC"/>
          </w:tcPr>
          <w:p>
            <w:pPr>
              <w:spacing w:after="0"/>
              <w:rPr>
                <w:sz w:val="19"/>
                <w:szCs w:val="19"/>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Non-deductible excess compensation</w:t>
            </w:r>
          </w:p>
        </w:tc>
        <w:tc>
          <w:tcPr>
            <w:tcW w:w="150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6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Foreign taxes</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FFCC"/>
          </w:tcPr>
          <w:p>
            <w:pPr>
              <w:spacing w:after="0"/>
              <w:rPr>
                <w:sz w:val="19"/>
                <w:szCs w:val="19"/>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500" w:type="dxa"/>
            <w:vAlign w:val="bottom"/>
          </w:tcPr>
          <w:p>
            <w:pPr>
              <w:jc w:val="right"/>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(28.91)%</w:t>
            </w:r>
          </w:p>
        </w:tc>
      </w:tr>
      <w:tr>
        <w:trPr>
          <w:trHeight w:val="230"/>
        </w:trPr>
        <w:tc>
          <w:tcPr>
            <w:tcW w:w="6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Stock based compensation - excess tax benefit</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9.93 %</w:t>
            </w:r>
          </w:p>
        </w:tc>
        <w:tc>
          <w:tcPr>
            <w:tcW w:w="120" w:type="dxa"/>
            <w:vAlign w:val="bottom"/>
            <w:shd w:val="clear" w:color="auto" w:fill="CCFFCC"/>
          </w:tcPr>
          <w:p>
            <w:pPr>
              <w:spacing w:after="0"/>
              <w:rPr>
                <w:sz w:val="19"/>
                <w:szCs w:val="19"/>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6.18 %</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6.10 %</w:t>
            </w:r>
          </w:p>
        </w:tc>
      </w:tr>
      <w:tr>
        <w:trPr>
          <w:trHeight w:val="230"/>
        </w:trPr>
        <w:tc>
          <w:tcPr>
            <w:tcW w:w="644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3.34 %</w:t>
            </w:r>
          </w:p>
        </w:tc>
        <w:tc>
          <w:tcPr>
            <w:tcW w:w="120" w:type="dxa"/>
            <w:vAlign w:val="bottom"/>
            <w:tcBorders>
              <w:bottom w:val="single" w:sz="8" w:color="CCFFC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FF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2.09 %</w:t>
            </w:r>
          </w:p>
        </w:tc>
      </w:tr>
      <w:tr>
        <w:trPr>
          <w:trHeight w:val="248"/>
        </w:trPr>
        <w:tc>
          <w:tcPr>
            <w:tcW w:w="64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provision</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w:t>
            </w:r>
          </w:p>
        </w:tc>
      </w:tr>
      <w:tr>
        <w:trPr>
          <w:trHeight w:val="20"/>
        </w:trPr>
        <w:tc>
          <w:tcPr>
            <w:tcW w:w="6440" w:type="dxa"/>
            <w:vAlign w:val="bottom"/>
            <w:tcBorders>
              <w:top w:val="single" w:sz="8" w:color="CCFFCC"/>
            </w:tcBorders>
          </w:tcPr>
          <w:p>
            <w:pPr>
              <w:spacing w:after="0" w:line="20" w:lineRule="exact"/>
              <w:rPr>
                <w:sz w:val="1"/>
                <w:szCs w:val="1"/>
                <w:color w:val="auto"/>
              </w:rPr>
            </w:pPr>
          </w:p>
        </w:tc>
        <w:tc>
          <w:tcPr>
            <w:tcW w:w="15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5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bottom w:val="single" w:sz="8" w:color="auto"/>
            </w:tcBorders>
          </w:tcPr>
          <w:p>
            <w:pPr>
              <w:spacing w:after="0" w:line="20" w:lineRule="exact"/>
              <w:rPr>
                <w:sz w:val="1"/>
                <w:szCs w:val="1"/>
                <w:color w:val="auto"/>
              </w:rPr>
            </w:pPr>
          </w:p>
        </w:tc>
        <w:tc>
          <w:tcPr>
            <w:tcW w:w="120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effects of temporary differences and federal NOL carryforwards that give rise to significant portions of federal deferred tax assets and deferred tax liabilities at December 31, 2020 and 2019 are presented below (amounts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80" w:type="dxa"/>
            <w:vAlign w:val="bottom"/>
            <w:tcBorders>
              <w:bottom w:val="single" w:sz="8" w:color="CD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D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2019</w:t>
            </w:r>
          </w:p>
        </w:tc>
      </w:tr>
      <w:tr>
        <w:trPr>
          <w:trHeight w:val="212"/>
        </w:trPr>
        <w:tc>
          <w:tcPr>
            <w:tcW w:w="8280" w:type="dxa"/>
            <w:vAlign w:val="bottom"/>
            <w:shd w:val="clear" w:color="auto" w:fill="CDFFCC"/>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DFFCC"/>
          </w:tcPr>
          <w:p>
            <w:pPr>
              <w:spacing w:after="0"/>
              <w:rPr>
                <w:sz w:val="18"/>
                <w:szCs w:val="18"/>
                <w:color w:val="auto"/>
              </w:rPr>
            </w:pPr>
          </w:p>
        </w:tc>
        <w:tc>
          <w:tcPr>
            <w:tcW w:w="10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320" w:type="dxa"/>
            <w:vAlign w:val="bottom"/>
            <w:shd w:val="clear" w:color="auto" w:fill="CDFFCC"/>
          </w:tcPr>
          <w:p>
            <w:pPr>
              <w:spacing w:after="0"/>
              <w:rPr>
                <w:sz w:val="18"/>
                <w:szCs w:val="18"/>
                <w:color w:val="auto"/>
              </w:rPr>
            </w:pPr>
          </w:p>
        </w:tc>
        <w:tc>
          <w:tcPr>
            <w:tcW w:w="1080" w:type="dxa"/>
            <w:vAlign w:val="bottom"/>
            <w:shd w:val="clear" w:color="auto" w:fill="CDFFCC"/>
          </w:tcPr>
          <w:p>
            <w:pPr>
              <w:spacing w:after="0"/>
              <w:rPr>
                <w:sz w:val="18"/>
                <w:szCs w:val="18"/>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78,651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49,423</w:t>
            </w:r>
          </w:p>
        </w:tc>
      </w:tr>
      <w:tr>
        <w:trPr>
          <w:trHeight w:val="229"/>
        </w:trPr>
        <w:tc>
          <w:tcPr>
            <w:tcW w:w="8280" w:type="dxa"/>
            <w:vAlign w:val="bottom"/>
            <w:shd w:val="clear" w:color="auto" w:fill="CDFFCC"/>
          </w:tcPr>
          <w:p>
            <w:pPr>
              <w:ind w:left="180"/>
              <w:spacing w:after="0"/>
              <w:rPr>
                <w:sz w:val="20"/>
                <w:szCs w:val="20"/>
                <w:color w:val="auto"/>
              </w:rPr>
            </w:pPr>
            <w:r>
              <w:rPr>
                <w:rFonts w:ascii="Arial" w:cs="Arial" w:eastAsia="Arial" w:hAnsi="Arial"/>
                <w:sz w:val="18"/>
                <w:szCs w:val="18"/>
                <w:color w:val="auto"/>
              </w:rPr>
              <w:t>Foreign Tax Credit</w:t>
            </w: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180"/>
              <w:spacing w:after="0"/>
              <w:rPr>
                <w:sz w:val="20"/>
                <w:szCs w:val="20"/>
                <w:color w:val="auto"/>
              </w:rPr>
            </w:pPr>
            <w:r>
              <w:rPr>
                <w:rFonts w:ascii="Arial" w:cs="Arial" w:eastAsia="Arial" w:hAnsi="Arial"/>
                <w:sz w:val="18"/>
                <w:szCs w:val="18"/>
                <w:color w:val="auto"/>
              </w:rPr>
              <w:t>Original Issue Discount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5,201</w:t>
            </w:r>
          </w:p>
        </w:tc>
      </w:tr>
      <w:tr>
        <w:trPr>
          <w:trHeight w:val="230"/>
        </w:trPr>
        <w:tc>
          <w:tcPr>
            <w:tcW w:w="8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1,986</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828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3,306</w:t>
            </w:r>
          </w:p>
        </w:tc>
      </w:tr>
      <w:tr>
        <w:trPr>
          <w:trHeight w:val="230"/>
        </w:trPr>
        <w:tc>
          <w:tcPr>
            <w:tcW w:w="8280" w:type="dxa"/>
            <w:vAlign w:val="bottom"/>
            <w:shd w:val="clear" w:color="auto" w:fill="CDFFCC"/>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7,289</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5,934</w:t>
            </w:r>
          </w:p>
        </w:tc>
      </w:tr>
      <w:tr>
        <w:trPr>
          <w:trHeight w:val="229"/>
        </w:trPr>
        <w:tc>
          <w:tcPr>
            <w:tcW w:w="828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4,195</w:t>
            </w:r>
          </w:p>
        </w:tc>
      </w:tr>
      <w:tr>
        <w:trPr>
          <w:trHeight w:val="229"/>
        </w:trPr>
        <w:tc>
          <w:tcPr>
            <w:tcW w:w="8280" w:type="dxa"/>
            <w:vAlign w:val="bottom"/>
            <w:shd w:val="clear" w:color="auto" w:fill="CDFFCC"/>
          </w:tcPr>
          <w:p>
            <w:pPr>
              <w:ind w:left="180"/>
              <w:spacing w:after="0"/>
              <w:rPr>
                <w:sz w:val="20"/>
                <w:szCs w:val="20"/>
                <w:color w:val="auto"/>
              </w:rPr>
            </w:pPr>
            <w:r>
              <w:rPr>
                <w:rFonts w:ascii="Arial" w:cs="Arial" w:eastAsia="Arial" w:hAnsi="Arial"/>
                <w:sz w:val="18"/>
                <w:szCs w:val="18"/>
                <w:color w:val="auto"/>
              </w:rPr>
              <w:t>Intangibles amortization</w:t>
            </w: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3,620</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3,273</w:t>
            </w:r>
          </w:p>
        </w:tc>
      </w:tr>
      <w:tr>
        <w:trPr>
          <w:trHeight w:val="230"/>
        </w:trPr>
        <w:tc>
          <w:tcPr>
            <w:tcW w:w="8280" w:type="dxa"/>
            <w:vAlign w:val="bottom"/>
            <w:tcBorders>
              <w:bottom w:val="single" w:sz="8" w:color="CDFFCC"/>
            </w:tcBorders>
          </w:tcPr>
          <w:p>
            <w:pPr>
              <w:ind w:left="18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23"/>
        </w:trPr>
        <w:tc>
          <w:tcPr>
            <w:tcW w:w="8280" w:type="dxa"/>
            <w:vAlign w:val="bottom"/>
            <w:shd w:val="clear" w:color="auto" w:fill="CDFFCC"/>
          </w:tcPr>
          <w:p>
            <w:pPr>
              <w:ind w:left="36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122,737</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72,626</w:t>
            </w:r>
          </w:p>
        </w:tc>
      </w:tr>
      <w:tr>
        <w:trPr>
          <w:trHeight w:val="230"/>
        </w:trPr>
        <w:tc>
          <w:tcPr>
            <w:tcW w:w="8280" w:type="dxa"/>
            <w:vAlign w:val="bottom"/>
            <w:tcBorders>
              <w:bottom w:val="single" w:sz="8" w:color="CDFFCC"/>
            </w:tcBorders>
          </w:tcPr>
          <w:p>
            <w:pPr>
              <w:ind w:left="38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(55,357)</w:t>
            </w:r>
          </w:p>
        </w:tc>
        <w:tc>
          <w:tcPr>
            <w:tcW w:w="12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(48,451)</w:t>
            </w:r>
          </w:p>
        </w:tc>
      </w:tr>
      <w:tr>
        <w:trPr>
          <w:trHeight w:val="223"/>
        </w:trPr>
        <w:tc>
          <w:tcPr>
            <w:tcW w:w="8280" w:type="dxa"/>
            <w:vAlign w:val="bottom"/>
            <w:shd w:val="clear" w:color="auto" w:fill="CDFFCC"/>
          </w:tcPr>
          <w:p>
            <w:pPr>
              <w:ind w:left="38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67,380</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24,175</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80" w:type="dxa"/>
            <w:vAlign w:val="bottom"/>
            <w:shd w:val="clear" w:color="auto" w:fill="CDFFCC"/>
          </w:tcPr>
          <w:p>
            <w:pPr>
              <w:ind w:left="180"/>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(10,048)</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(6,361)</w:t>
            </w:r>
          </w:p>
        </w:tc>
      </w:tr>
      <w:tr>
        <w:trPr>
          <w:trHeight w:val="229"/>
        </w:trPr>
        <w:tc>
          <w:tcPr>
            <w:tcW w:w="8280" w:type="dxa"/>
            <w:vAlign w:val="bottom"/>
          </w:tcPr>
          <w:p>
            <w:pPr>
              <w:ind w:left="180"/>
              <w:spacing w:after="0"/>
              <w:rPr>
                <w:sz w:val="20"/>
                <w:szCs w:val="20"/>
                <w:color w:val="auto"/>
              </w:rPr>
            </w:pPr>
            <w:r>
              <w:rPr>
                <w:rFonts w:ascii="Arial" w:cs="Arial" w:eastAsia="Arial" w:hAnsi="Arial"/>
                <w:sz w:val="18"/>
                <w:szCs w:val="18"/>
                <w:color w:val="auto"/>
              </w:rPr>
              <w:t>Goodwill amortization and contingent earn-out adjustments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(3,430)</w:t>
            </w:r>
          </w:p>
        </w:tc>
      </w:tr>
      <w:tr>
        <w:trPr>
          <w:trHeight w:val="230"/>
        </w:trPr>
        <w:tc>
          <w:tcPr>
            <w:tcW w:w="8280" w:type="dxa"/>
            <w:vAlign w:val="bottom"/>
            <w:shd w:val="clear" w:color="auto" w:fill="CDFFCC"/>
          </w:tcPr>
          <w:p>
            <w:pPr>
              <w:ind w:left="180"/>
              <w:spacing w:after="0"/>
              <w:rPr>
                <w:sz w:val="20"/>
                <w:szCs w:val="20"/>
                <w:color w:val="auto"/>
              </w:rPr>
            </w:pPr>
            <w:r>
              <w:rPr>
                <w:rFonts w:ascii="Arial" w:cs="Arial" w:eastAsia="Arial" w:hAnsi="Arial"/>
                <w:sz w:val="18"/>
                <w:szCs w:val="18"/>
                <w:color w:val="auto"/>
              </w:rPr>
              <w:t>Convertible Notes Issuance</w:t>
            </w: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(49,118)</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(11,055)</w:t>
            </w:r>
          </w:p>
        </w:tc>
      </w:tr>
      <w:tr>
        <w:trPr>
          <w:trHeight w:val="229"/>
        </w:trPr>
        <w:tc>
          <w:tcPr>
            <w:tcW w:w="8280" w:type="dxa"/>
            <w:vAlign w:val="bottom"/>
            <w:tcBorders>
              <w:bottom w:val="single" w:sz="8" w:color="CDFFCC"/>
            </w:tcBorders>
          </w:tcPr>
          <w:p>
            <w:pPr>
              <w:ind w:left="180"/>
              <w:spacing w:after="0"/>
              <w:rPr>
                <w:sz w:val="20"/>
                <w:szCs w:val="20"/>
                <w:color w:val="auto"/>
              </w:rPr>
            </w:pPr>
            <w:r>
              <w:rPr>
                <w:rFonts w:ascii="Arial" w:cs="Arial" w:eastAsia="Arial" w:hAnsi="Arial"/>
                <w:sz w:val="18"/>
                <w:szCs w:val="18"/>
                <w:color w:val="auto"/>
              </w:rPr>
              <w:t>Operating lease right of use asset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r>
      <w:tr>
        <w:trPr>
          <w:trHeight w:val="223"/>
        </w:trPr>
        <w:tc>
          <w:tcPr>
            <w:tcW w:w="8280" w:type="dxa"/>
            <w:vAlign w:val="bottom"/>
            <w:shd w:val="clear" w:color="auto" w:fill="CDFFCC"/>
          </w:tcPr>
          <w:p>
            <w:pPr>
              <w:ind w:left="36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DFFCC"/>
          </w:tcPr>
          <w:p>
            <w:pPr>
              <w:spacing w:after="0"/>
              <w:rPr>
                <w:sz w:val="19"/>
                <w:szCs w:val="19"/>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(66,971)</w:t>
            </w:r>
          </w:p>
        </w:tc>
        <w:tc>
          <w:tcPr>
            <w:tcW w:w="120" w:type="dxa"/>
            <w:vAlign w:val="bottom"/>
            <w:shd w:val="clear" w:color="auto" w:fill="CDFFCC"/>
          </w:tcPr>
          <w:p>
            <w:pPr>
              <w:spacing w:after="0"/>
              <w:rPr>
                <w:sz w:val="19"/>
                <w:szCs w:val="19"/>
                <w:color w:val="auto"/>
              </w:rPr>
            </w:pPr>
          </w:p>
        </w:tc>
        <w:tc>
          <w:tcPr>
            <w:tcW w:w="320" w:type="dxa"/>
            <w:vAlign w:val="bottom"/>
            <w:tcBorders>
              <w:bottom w:val="single" w:sz="8" w:color="auto"/>
            </w:tcBorders>
            <w:shd w:val="clear" w:color="auto" w:fill="CDFFCC"/>
          </w:tcPr>
          <w:p>
            <w:pPr>
              <w:spacing w:after="0"/>
              <w:rPr>
                <w:sz w:val="19"/>
                <w:szCs w:val="19"/>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(23,350)</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Net deferred tax assets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income tax NOL carryforwards related to federal and Australian income tax carryforwards of $311.7 million and $2.0 million respectively. The Australian NOLs can be carried forward indefinitely. $270.4 million of the federal NOLs can be carried forward indefinitely. $6.0 million of the federal NOLs will expire between 2021 and 2026, and $35.2 million will expire between 2036 and 2037. We have $221.9 million of state NOLs, of which $47.3 million can be carried forward indefinitely and $174.6 million expire between 2023 and 2040.</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ASC Topic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$3.6 million as of December 31, 2020 and $2.0 million as of December 31, 2019, respectively. Accrued interest and penalties included in the Company's liability related to unrecognized tax benefits and recorded in accrued expenses and other current liabilities were immaterial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158"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r>
      <w:tr>
        <w:trPr>
          <w:trHeight w:val="207"/>
        </w:trPr>
        <w:tc>
          <w:tcPr>
            <w:tcW w:w="73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7"/>
                <w:szCs w:val="17"/>
                <w:color w:val="auto"/>
              </w:rPr>
            </w:pPr>
          </w:p>
        </w:tc>
      </w:tr>
      <w:tr>
        <w:trPr>
          <w:trHeight w:val="229"/>
        </w:trPr>
        <w:tc>
          <w:tcPr>
            <w:tcW w:w="7380" w:type="dxa"/>
            <w:vAlign w:val="bottom"/>
          </w:tcPr>
          <w:p>
            <w:pPr>
              <w:ind w:left="340"/>
              <w:spacing w:after="0"/>
              <w:rPr>
                <w:sz w:val="20"/>
                <w:szCs w:val="20"/>
                <w:color w:val="auto"/>
              </w:rPr>
            </w:pPr>
            <w:r>
              <w:rPr>
                <w:rFonts w:ascii="Arial" w:cs="Arial" w:eastAsia="Arial" w:hAnsi="Arial"/>
                <w:sz w:val="18"/>
                <w:szCs w:val="18"/>
                <w:color w:val="auto"/>
              </w:rPr>
              <w:t>Unrecognized tax benefits balance at January 1</w:t>
            </w:r>
          </w:p>
        </w:tc>
        <w:tc>
          <w:tcPr>
            <w:tcW w:w="1160" w:type="dxa"/>
            <w:vAlign w:val="bottom"/>
          </w:tcPr>
          <w:p>
            <w:pPr>
              <w:jc w:val="right"/>
              <w:ind w:right="65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2,053</w:t>
            </w:r>
          </w:p>
        </w:tc>
        <w:tc>
          <w:tcPr>
            <w:tcW w:w="100" w:type="dxa"/>
            <w:vAlign w:val="bottom"/>
          </w:tcPr>
          <w:p>
            <w:pPr>
              <w:spacing w:after="0"/>
              <w:rPr>
                <w:sz w:val="19"/>
                <w:szCs w:val="19"/>
                <w:color w:val="auto"/>
              </w:rPr>
            </w:pPr>
          </w:p>
        </w:tc>
        <w:tc>
          <w:tcPr>
            <w:tcW w:w="1180" w:type="dxa"/>
            <w:vAlign w:val="bottom"/>
          </w:tcPr>
          <w:p>
            <w:pPr>
              <w:jc w:val="right"/>
              <w:ind w:right="65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1,921</w:t>
            </w:r>
          </w:p>
        </w:tc>
      </w:tr>
      <w:tr>
        <w:trPr>
          <w:trHeight w:val="229"/>
        </w:trPr>
        <w:tc>
          <w:tcPr>
            <w:tcW w:w="7380" w:type="dxa"/>
            <w:vAlign w:val="bottom"/>
            <w:shd w:val="clear" w:color="auto" w:fill="CCFFCC"/>
          </w:tcPr>
          <w:p>
            <w:pPr>
              <w:ind w:left="620"/>
              <w:spacing w:after="0"/>
              <w:rPr>
                <w:sz w:val="20"/>
                <w:szCs w:val="20"/>
                <w:color w:val="auto"/>
              </w:rPr>
            </w:pPr>
            <w:r>
              <w:rPr>
                <w:rFonts w:ascii="Arial" w:cs="Arial" w:eastAsia="Arial" w:hAnsi="Arial"/>
                <w:sz w:val="18"/>
                <w:szCs w:val="18"/>
                <w:color w:val="auto"/>
              </w:rPr>
              <w:t>Gross decrease for tax positions of prior years</w:t>
            </w:r>
          </w:p>
        </w:tc>
        <w:tc>
          <w:tcPr>
            <w:tcW w:w="1160" w:type="dxa"/>
            <w:vAlign w:val="bottom"/>
            <w:shd w:val="clear" w:color="auto" w:fill="CCFFCC"/>
          </w:tcPr>
          <w:p>
            <w:pPr>
              <w:spacing w:after="0"/>
              <w:rPr>
                <w:sz w:val="19"/>
                <w:szCs w:val="19"/>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Pr>
          <w:p>
            <w:pPr>
              <w:ind w:left="620"/>
              <w:spacing w:after="0"/>
              <w:rPr>
                <w:sz w:val="20"/>
                <w:szCs w:val="20"/>
                <w:color w:val="auto"/>
              </w:rPr>
            </w:pPr>
            <w:r>
              <w:rPr>
                <w:rFonts w:ascii="Arial" w:cs="Arial" w:eastAsia="Arial" w:hAnsi="Arial"/>
                <w:sz w:val="18"/>
                <w:szCs w:val="18"/>
                <w:color w:val="auto"/>
              </w:rPr>
              <w:t>Gross increase for tax positions of current years</w:t>
            </w:r>
          </w:p>
        </w:tc>
        <w:tc>
          <w:tcPr>
            <w:tcW w:w="1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2,984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7380" w:type="dxa"/>
            <w:vAlign w:val="bottom"/>
            <w:shd w:val="clear" w:color="auto" w:fill="CCFFCC"/>
          </w:tcPr>
          <w:p>
            <w:pPr>
              <w:ind w:left="620"/>
              <w:spacing w:after="0"/>
              <w:rPr>
                <w:sz w:val="20"/>
                <w:szCs w:val="20"/>
                <w:color w:val="auto"/>
              </w:rPr>
            </w:pPr>
            <w:r>
              <w:rPr>
                <w:rFonts w:ascii="Arial" w:cs="Arial" w:eastAsia="Arial" w:hAnsi="Arial"/>
                <w:sz w:val="18"/>
                <w:szCs w:val="18"/>
                <w:color w:val="auto"/>
              </w:rPr>
              <w:t>Decrease due to expiration of statue</w:t>
            </w:r>
          </w:p>
        </w:tc>
        <w:tc>
          <w:tcPr>
            <w:tcW w:w="116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spacing w:after="0"/>
              <w:rPr>
                <w:sz w:val="19"/>
                <w:szCs w:val="19"/>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w:t>
            </w:r>
          </w:p>
        </w:tc>
      </w:tr>
      <w:tr>
        <w:trPr>
          <w:trHeight w:val="229"/>
        </w:trPr>
        <w:tc>
          <w:tcPr>
            <w:tcW w:w="7380" w:type="dxa"/>
            <w:vAlign w:val="bottom"/>
            <w:tcBorders>
              <w:bottom w:val="single" w:sz="8" w:color="CCFFCC"/>
            </w:tcBorders>
          </w:tcPr>
          <w:p>
            <w:pPr>
              <w:ind w:left="620"/>
              <w:spacing w:after="0"/>
              <w:rPr>
                <w:sz w:val="20"/>
                <w:szCs w:val="20"/>
                <w:color w:val="auto"/>
              </w:rPr>
            </w:pPr>
            <w:r>
              <w:rPr>
                <w:rFonts w:ascii="Arial" w:cs="Arial" w:eastAsia="Arial" w:hAnsi="Arial"/>
                <w:sz w:val="18"/>
                <w:szCs w:val="18"/>
                <w:color w:val="auto"/>
              </w:rPr>
              <w:t>Decrease due to settlement</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FFC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8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Gross unrecognized tax benefits at December 31</w:t>
            </w:r>
          </w:p>
        </w:tc>
        <w:tc>
          <w:tcPr>
            <w:tcW w:w="1160" w:type="dxa"/>
            <w:vAlign w:val="bottom"/>
            <w:tcBorders>
              <w:bottom w:val="single" w:sz="8" w:color="auto"/>
            </w:tcBorders>
            <w:shd w:val="clear" w:color="auto" w:fill="CCFFCC"/>
          </w:tcPr>
          <w:p>
            <w:pPr>
              <w:jc w:val="right"/>
              <w:ind w:right="65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3,615</w:t>
            </w:r>
          </w:p>
        </w:tc>
        <w:tc>
          <w:tcPr>
            <w:tcW w:w="10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auto"/>
            </w:tcBorders>
            <w:shd w:val="clear" w:color="auto" w:fill="CCFFCC"/>
          </w:tcPr>
          <w:p>
            <w:pPr>
              <w:jc w:val="right"/>
              <w:ind w:right="65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2,053</w:t>
            </w:r>
          </w:p>
        </w:tc>
      </w:tr>
      <w:tr>
        <w:trPr>
          <w:trHeight w:val="20"/>
        </w:trPr>
        <w:tc>
          <w:tcPr>
            <w:tcW w:w="738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5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500" w:type="dxa"/>
            <w:vAlign w:val="bottom"/>
            <w:tcBorders>
              <w:top w:val="single" w:sz="8" w:color="CCFFCC"/>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tax years subject to examination by major tax jurisdictions include the years 2015 and forward for U.S states and New York City, the years 2016 and forward for U.S. Federal, and the years 2015 and forward for certain foreign jurisdictions.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Legislation</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As a result of the CARES Act, the Company filed refund claims relating to prior years totaling $0.6 million.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121" w:lineRule="exact"/>
        <w:rPr>
          <w:sz w:val="20"/>
          <w:szCs w:val="20"/>
          <w:color w:val="auto"/>
        </w:rPr>
      </w:pPr>
    </w:p>
    <w:p>
      <w:pPr>
        <w:jc w:val="both"/>
        <w:ind w:firstLine="220"/>
        <w:spacing w:after="0" w:line="270" w:lineRule="auto"/>
        <w:rPr>
          <w:sz w:val="20"/>
          <w:szCs w:val="20"/>
          <w:color w:val="auto"/>
        </w:rPr>
      </w:pPr>
      <w:r>
        <w:rPr>
          <w:rFonts w:ascii="Arial" w:cs="Arial" w:eastAsia="Arial" w:hAnsi="Arial"/>
          <w:sz w:val="17"/>
          <w:szCs w:val="17"/>
          <w:color w:val="auto"/>
        </w:rPr>
        <w:t>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 the Company’s intellectual property and other claims asserted against [24]7 is set for May 24, 2021. Trial for [24]7’s patent infringement claims has been vacated, to be reset after the trial on the Company's claims. The Company believes the claims filed by [24]7 are entirely without merit and intends to defend them vigorously.</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186"/>
        <w:spacing w:after="0" w:line="269" w:lineRule="auto"/>
        <w:rPr>
          <w:sz w:val="20"/>
          <w:szCs w:val="20"/>
          <w:color w:val="auto"/>
        </w:rPr>
      </w:pPr>
      <w:r>
        <w:rPr>
          <w:rFonts w:ascii="Arial" w:cs="Arial" w:eastAsia="Arial" w:hAnsi="Arial"/>
          <w:sz w:val="17"/>
          <w:szCs w:val="17"/>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the estimate is immaterial with respect to its financial statements as a whole or, if the amount of such adjustment cannot be reasonably estimated, disclose that an estimate cannot be made.</w:t>
      </w:r>
    </w:p>
    <w:p>
      <w:pPr>
        <w:spacing w:after="0" w:line="62" w:lineRule="exact"/>
        <w:rPr>
          <w:sz w:val="20"/>
          <w:szCs w:val="20"/>
          <w:color w:val="auto"/>
        </w:rPr>
      </w:pPr>
    </w:p>
    <w:p>
      <w:pPr>
        <w:jc w:val="both"/>
        <w:ind w:firstLine="209"/>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12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response to the COVID-19 pandemic, the Company went through a re-evaluation of its real estate needs. In connection with this re-evaluation, and the success the Company has had working remotely, it was decided in July 2020 that the Company would significantly reduce the real estate space it leases. This decision resulted in the significant reduction of the real estate space leased by the Company and the removal of the associated ROU assets. Furthermore, this resulted in various one-time expenses in connection with the abandonment of the majority of the Company's leased facilities. The lease restructuring costs noted below are a result of this transition to an employee-centric workforce model that does not rely on traditional offices.</w:t>
      </w:r>
    </w:p>
    <w:p>
      <w:pPr>
        <w:spacing w:after="0" w:line="53" w:lineRule="exact"/>
        <w:rPr>
          <w:sz w:val="20"/>
          <w:szCs w:val="20"/>
          <w:color w:val="auto"/>
        </w:rPr>
      </w:pPr>
    </w:p>
    <w:p>
      <w:pPr>
        <w:jc w:val="both"/>
        <w:ind w:right="20" w:firstLine="197"/>
        <w:spacing w:after="0" w:line="277" w:lineRule="auto"/>
        <w:rPr>
          <w:sz w:val="20"/>
          <w:szCs w:val="20"/>
          <w:color w:val="auto"/>
        </w:rPr>
      </w:pPr>
      <w:r>
        <w:rPr>
          <w:rFonts w:ascii="Arial" w:cs="Arial" w:eastAsia="Arial" w:hAnsi="Arial"/>
          <w:sz w:val="18"/>
          <w:szCs w:val="18"/>
          <w:color w:val="auto"/>
        </w:rPr>
        <w:t>On top of the lease restructuring costs, the Company went through a further restructuring related to costs associated with re-prioritizing and reallocating resources to focus on areas showing high growth potential.</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expenses associated with these restructuring events were approximately $29.4 million, $2.0 million, and $4.5 million during the years ended December 31, 2020, 2019, and 2018, respectively, and is classified in the consolidated statements of operations as restructuring costs. The restructuring liability was approximately $4.7 million and $0.3 million as of December 31, 2020 and 2019, respectively, and is classified as accrued expenses and other current liabilities on the consolidated balance sheets.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detail of the liability for the Company’s restructuring charges for the periods presented (amounts in thousands):</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660" w:type="dxa"/>
            <w:vAlign w:val="bottom"/>
            <w:tcBorders>
              <w:bottom w:val="single" w:sz="8" w:color="CCFFCC"/>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6660" w:type="dxa"/>
            <w:vAlign w:val="bottom"/>
            <w:shd w:val="clear" w:color="auto" w:fill="CCFFCC"/>
          </w:tcPr>
          <w:p>
            <w:pPr>
              <w:ind w:left="20"/>
              <w:spacing w:after="0"/>
              <w:rPr>
                <w:sz w:val="20"/>
                <w:szCs w:val="20"/>
                <w:color w:val="auto"/>
              </w:rPr>
            </w:pPr>
            <w:r>
              <w:rPr>
                <w:rFonts w:ascii="Arial" w:cs="Arial" w:eastAsia="Arial" w:hAnsi="Arial"/>
                <w:sz w:val="16"/>
                <w:szCs w:val="16"/>
                <w:color w:val="auto"/>
              </w:rPr>
              <w:t>Balance, Beginning of the year</w:t>
            </w:r>
          </w:p>
        </w:tc>
        <w:tc>
          <w:tcPr>
            <w:tcW w:w="1680" w:type="dxa"/>
            <w:vAlign w:val="bottom"/>
            <w:shd w:val="clear" w:color="auto" w:fill="CCFFCC"/>
          </w:tcPr>
          <w:p>
            <w:pPr>
              <w:jc w:val="right"/>
              <w:ind w:right="15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44"/>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FFCC"/>
          </w:tcPr>
          <w:p>
            <w:pPr>
              <w:jc w:val="right"/>
              <w:ind w:right="1"/>
              <w:spacing w:after="0"/>
              <w:rPr>
                <w:sz w:val="20"/>
                <w:szCs w:val="20"/>
                <w:color w:val="auto"/>
              </w:rPr>
            </w:pPr>
            <w:r>
              <w:rPr>
                <w:rFonts w:ascii="Arial" w:cs="Arial" w:eastAsia="Arial" w:hAnsi="Arial"/>
                <w:sz w:val="16"/>
                <w:szCs w:val="16"/>
                <w:color w:val="auto"/>
              </w:rPr>
              <w:t>977</w:t>
            </w: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Lease restructuring costs</w:t>
            </w:r>
          </w:p>
        </w:tc>
        <w:tc>
          <w:tcPr>
            <w:tcW w:w="1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6660" w:type="dxa"/>
            <w:vAlign w:val="bottom"/>
            <w:shd w:val="clear" w:color="auto" w:fill="CCFFCC"/>
          </w:tcPr>
          <w:p>
            <w:pPr>
              <w:ind w:left="220"/>
              <w:spacing w:after="0"/>
              <w:rPr>
                <w:sz w:val="20"/>
                <w:szCs w:val="20"/>
                <w:color w:val="auto"/>
              </w:rPr>
            </w:pPr>
            <w:r>
              <w:rPr>
                <w:rFonts w:ascii="Arial" w:cs="Arial" w:eastAsia="Arial" w:hAnsi="Arial"/>
                <w:sz w:val="16"/>
                <w:szCs w:val="16"/>
                <w:color w:val="auto"/>
              </w:rPr>
              <w:t>Severance and other associated costs</w:t>
            </w:r>
          </w:p>
        </w:tc>
        <w:tc>
          <w:tcPr>
            <w:tcW w:w="1680" w:type="dxa"/>
            <w:vAlign w:val="bottom"/>
            <w:shd w:val="clear" w:color="auto" w:fill="CCFFCC"/>
          </w:tcPr>
          <w:p>
            <w:pPr>
              <w:spacing w:after="0"/>
              <w:rPr>
                <w:sz w:val="19"/>
                <w:szCs w:val="19"/>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5,090</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880" w:type="dxa"/>
            <w:vAlign w:val="bottom"/>
            <w:shd w:val="clear" w:color="auto" w:fill="CCFFCC"/>
          </w:tcPr>
          <w:p>
            <w:pPr>
              <w:jc w:val="right"/>
              <w:ind w:right="1"/>
              <w:spacing w:after="0"/>
              <w:rPr>
                <w:sz w:val="20"/>
                <w:szCs w:val="20"/>
                <w:color w:val="auto"/>
              </w:rPr>
            </w:pPr>
            <w:r>
              <w:rPr>
                <w:rFonts w:ascii="Arial" w:cs="Arial" w:eastAsia="Arial" w:hAnsi="Arial"/>
                <w:sz w:val="16"/>
                <w:szCs w:val="16"/>
                <w:color w:val="auto"/>
              </w:rPr>
              <w:t>2,043</w:t>
            </w:r>
          </w:p>
        </w:tc>
      </w:tr>
      <w:tr>
        <w:trPr>
          <w:trHeight w:val="213"/>
        </w:trPr>
        <w:tc>
          <w:tcPr>
            <w:tcW w:w="6660" w:type="dxa"/>
            <w:vAlign w:val="bottom"/>
            <w:tcBorders>
              <w:bottom w:val="single" w:sz="8" w:color="CCFFCC"/>
            </w:tcBorders>
          </w:tcPr>
          <w:p>
            <w:pPr>
              <w:ind w:left="220"/>
              <w:spacing w:after="0"/>
              <w:rPr>
                <w:sz w:val="20"/>
                <w:szCs w:val="20"/>
                <w:color w:val="auto"/>
              </w:rPr>
            </w:pPr>
            <w:r>
              <w:rPr>
                <w:rFonts w:ascii="Arial" w:cs="Arial" w:eastAsia="Arial" w:hAnsi="Arial"/>
                <w:sz w:val="16"/>
                <w:szCs w:val="16"/>
                <w:color w:val="auto"/>
              </w:rPr>
              <w:t>Cash payments</w:t>
            </w:r>
          </w:p>
        </w:tc>
        <w:tc>
          <w:tcPr>
            <w:tcW w:w="1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(5,706)</w:t>
            </w:r>
          </w:p>
        </w:tc>
        <w:tc>
          <w:tcPr>
            <w:tcW w:w="12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w:t>
            </w:r>
          </w:p>
        </w:tc>
      </w:tr>
      <w:tr>
        <w:trPr>
          <w:trHeight w:val="238"/>
        </w:trPr>
        <w:tc>
          <w:tcPr>
            <w:tcW w:w="6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End of year</w:t>
            </w:r>
          </w:p>
        </w:tc>
        <w:tc>
          <w:tcPr>
            <w:tcW w:w="1680" w:type="dxa"/>
            <w:vAlign w:val="bottom"/>
            <w:tcBorders>
              <w:bottom w:val="single" w:sz="8" w:color="auto"/>
            </w:tcBorders>
            <w:shd w:val="clear" w:color="auto" w:fill="CCFFCC"/>
          </w:tcPr>
          <w:p>
            <w:pPr>
              <w:jc w:val="right"/>
              <w:ind w:right="15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4,732</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jc w:val="right"/>
              <w:ind w:right="144"/>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314</w:t>
            </w:r>
          </w:p>
        </w:tc>
      </w:tr>
      <w:tr>
        <w:trPr>
          <w:trHeight w:val="20"/>
        </w:trPr>
        <w:tc>
          <w:tcPr>
            <w:tcW w:w="6660" w:type="dxa"/>
            <w:vAlign w:val="bottom"/>
            <w:tcBorders>
              <w:top w:val="single" w:sz="8" w:color="CCFFCC"/>
            </w:tcBorders>
          </w:tcPr>
          <w:p>
            <w:pPr>
              <w:spacing w:after="0" w:line="20" w:lineRule="exact"/>
              <w:rPr>
                <w:sz w:val="1"/>
                <w:szCs w:val="1"/>
                <w:color w:val="auto"/>
              </w:rPr>
            </w:pPr>
          </w:p>
        </w:tc>
        <w:tc>
          <w:tcPr>
            <w:tcW w:w="1680" w:type="dxa"/>
            <w:vAlign w:val="bottom"/>
            <w:tcBorders>
              <w:top w:val="single" w:sz="8" w:color="CCFFCC"/>
              <w:bottom w:val="single" w:sz="8" w:color="auto"/>
            </w:tcBorders>
          </w:tcPr>
          <w:p>
            <w:pPr>
              <w:spacing w:after="0" w:line="20" w:lineRule="exact"/>
              <w:rPr>
                <w:sz w:val="1"/>
                <w:szCs w:val="1"/>
                <w:color w:val="auto"/>
              </w:rPr>
            </w:pPr>
          </w:p>
        </w:tc>
        <w:tc>
          <w:tcPr>
            <w:tcW w:w="5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bottom w:val="single" w:sz="8" w:color="auto"/>
            </w:tcBorders>
          </w:tcPr>
          <w:p>
            <w:pPr>
              <w:spacing w:after="0" w:line="20" w:lineRule="exact"/>
              <w:rPr>
                <w:sz w:val="1"/>
                <w:szCs w:val="1"/>
                <w:color w:val="auto"/>
              </w:rPr>
            </w:pPr>
          </w:p>
        </w:tc>
        <w:tc>
          <w:tcPr>
            <w:tcW w:w="1880" w:type="dxa"/>
            <w:vAlign w:val="bottom"/>
            <w:tcBorders>
              <w:top w:val="single" w:sz="8" w:color="CCFFCC"/>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detail of expenses for the Company’s restructuring charges for the periods presented (amounts in thousands):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December 31, 2018</w:t>
            </w:r>
          </w:p>
        </w:tc>
      </w:tr>
      <w:tr>
        <w:trPr>
          <w:trHeight w:val="202"/>
        </w:trPr>
        <w:tc>
          <w:tcPr>
            <w:tcW w:w="618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Lease restructuring costs:</w:t>
            </w:r>
          </w:p>
        </w:tc>
        <w:tc>
          <w:tcPr>
            <w:tcW w:w="160" w:type="dxa"/>
            <w:vAlign w:val="bottom"/>
            <w:tcBorders>
              <w:top w:val="single" w:sz="8" w:color="auto"/>
            </w:tcBorders>
            <w:shd w:val="clear" w:color="auto" w:fill="CCFFCC"/>
          </w:tcPr>
          <w:p>
            <w:pPr>
              <w:spacing w:after="0"/>
              <w:rPr>
                <w:sz w:val="17"/>
                <w:szCs w:val="17"/>
                <w:color w:val="auto"/>
              </w:rPr>
            </w:pPr>
          </w:p>
        </w:tc>
        <w:tc>
          <w:tcPr>
            <w:tcW w:w="142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44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420" w:type="dxa"/>
            <w:vAlign w:val="bottom"/>
            <w:tcBorders>
              <w:top w:val="single" w:sz="8" w:color="auto"/>
            </w:tcBorders>
            <w:shd w:val="clear" w:color="auto" w:fill="CCFFCC"/>
          </w:tcPr>
          <w:p>
            <w:pPr>
              <w:spacing w:after="0"/>
              <w:rPr>
                <w:sz w:val="17"/>
                <w:szCs w:val="17"/>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ROU assets write down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13,938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180" w:type="dxa"/>
            <w:vAlign w:val="bottom"/>
            <w:shd w:val="clear" w:color="auto" w:fill="CCFFCC"/>
          </w:tcPr>
          <w:p>
            <w:pPr>
              <w:ind w:left="220"/>
              <w:spacing w:after="0"/>
              <w:rPr>
                <w:sz w:val="20"/>
                <w:szCs w:val="20"/>
                <w:color w:val="auto"/>
              </w:rPr>
            </w:pPr>
            <w:r>
              <w:rPr>
                <w:rFonts w:ascii="Arial" w:cs="Arial" w:eastAsia="Arial" w:hAnsi="Arial"/>
                <w:sz w:val="16"/>
                <w:szCs w:val="16"/>
                <w:color w:val="auto"/>
              </w:rPr>
              <w:t>Abandonment of property and equipment</w:t>
            </w:r>
          </w:p>
        </w:tc>
        <w:tc>
          <w:tcPr>
            <w:tcW w:w="160" w:type="dxa"/>
            <w:vAlign w:val="bottom"/>
            <w:shd w:val="clear" w:color="auto" w:fill="CCFFCC"/>
          </w:tcPr>
          <w:p>
            <w:pPr>
              <w:spacing w:after="0"/>
              <w:rPr>
                <w:sz w:val="19"/>
                <w:szCs w:val="19"/>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5,147</w:t>
            </w: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9"/>
                <w:szCs w:val="19"/>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180" w:type="dxa"/>
            <w:vAlign w:val="bottom"/>
            <w:tcBorders>
              <w:bottom w:val="single" w:sz="8" w:color="CCFFCC"/>
            </w:tcBorders>
          </w:tcPr>
          <w:p>
            <w:pPr>
              <w:ind w:left="220"/>
              <w:spacing w:after="0"/>
              <w:rPr>
                <w:sz w:val="20"/>
                <w:szCs w:val="20"/>
                <w:color w:val="auto"/>
              </w:rPr>
            </w:pPr>
            <w:r>
              <w:rPr>
                <w:rFonts w:ascii="Arial" w:cs="Arial" w:eastAsia="Arial" w:hAnsi="Arial"/>
                <w:sz w:val="16"/>
                <w:szCs w:val="16"/>
                <w:color w:val="auto"/>
              </w:rPr>
              <w:t>Other lease restructuring costs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w:t>
            </w:r>
          </w:p>
        </w:tc>
        <w:tc>
          <w:tcPr>
            <w:tcW w:w="12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180" w:type="dxa"/>
            <w:vAlign w:val="bottom"/>
            <w:shd w:val="clear" w:color="auto" w:fill="CCFFCC"/>
          </w:tcPr>
          <w:p>
            <w:pPr>
              <w:ind w:left="20"/>
              <w:spacing w:after="0"/>
              <w:rPr>
                <w:sz w:val="20"/>
                <w:szCs w:val="20"/>
                <w:color w:val="auto"/>
              </w:rPr>
            </w:pPr>
            <w:r>
              <w:rPr>
                <w:rFonts w:ascii="Arial" w:cs="Arial" w:eastAsia="Arial" w:hAnsi="Arial"/>
                <w:sz w:val="16"/>
                <w:szCs w:val="16"/>
                <w:color w:val="auto"/>
              </w:rPr>
              <w:t>Total Lease restructuring costs</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24,330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13"/>
        </w:trPr>
        <w:tc>
          <w:tcPr>
            <w:tcW w:w="6180" w:type="dxa"/>
            <w:vAlign w:val="bottom"/>
            <w:shd w:val="clear" w:color="auto" w:fill="CCFFCC"/>
          </w:tcPr>
          <w:p>
            <w:pPr>
              <w:ind w:left="20"/>
              <w:spacing w:after="0"/>
              <w:rPr>
                <w:sz w:val="20"/>
                <w:szCs w:val="20"/>
                <w:color w:val="auto"/>
              </w:rPr>
            </w:pPr>
            <w:r>
              <w:rPr>
                <w:rFonts w:ascii="Arial" w:cs="Arial" w:eastAsia="Arial" w:hAnsi="Arial"/>
                <w:sz w:val="16"/>
                <w:szCs w:val="16"/>
                <w:color w:val="auto"/>
              </w:rPr>
              <w:t>Severance and other associated costs</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5,090</w:t>
            </w:r>
          </w:p>
        </w:tc>
        <w:tc>
          <w:tcPr>
            <w:tcW w:w="12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2,043</w:t>
            </w:r>
          </w:p>
        </w:tc>
        <w:tc>
          <w:tcPr>
            <w:tcW w:w="16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4,468</w:t>
            </w: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Total restructuring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29,420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4,468</w:t>
            </w:r>
          </w:p>
        </w:tc>
      </w:tr>
      <w:tr>
        <w:trPr>
          <w:trHeight w:val="21"/>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including the Chief Executive Officer and Chief Financial Officer,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including the Chief Executive Officer and Chief Financial Officer, evaluated the effectiveness of our internal control over financial reporting as of December 31, 2020 based on the framework established in “Internal Control — Integrated Framework (2013),” issued by the Committee of Sponsoring Organizations of the Treadway Commission (COSO). Based on its evaluation, our management, including the Chief Executive Officer and Chief Financial Officer, concluded that as of December 31, 2020, our internal control over financial reporting was effective based on those criteria.</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BDO USA, LLP, an independent registered public accounting firm. Their attestation report is included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Effectiveness of Internal Control</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2020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Exchange Act, as of December 31, 2020. Based on that evaluation, the Chief Executive Officer and Chief Financial Officer concluded that our disclosure controls and procedures were effective as of December 31, 2020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8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LivePerson, Inc.’s (the “Company’s”) internal control over financial reporting as of December 31, 2020,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In our opinion, the Company maintained, in all material respects, effective internal control over financial reporting as of December 31, 2020, based on the COSO criteria</w:t>
      </w:r>
      <w:r>
        <w:rPr>
          <w:rFonts w:ascii="Arial" w:cs="Arial" w:eastAsia="Arial" w:hAnsi="Arial"/>
          <w:sz w:val="18"/>
          <w:szCs w:val="18"/>
          <w:i w:val="1"/>
          <w:iCs w:val="1"/>
          <w:color w:val="auto"/>
        </w:rPr>
        <w: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December 31, 2020 and 2019, the related consolidated statements of operations, comprehensive loss, stockholders’ equity, and cash flows for each of the three years in the period ended December 31, 2020, and the related notes and our report dated March 8,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10 is incorporated by reference to the sections captioned “Matters to be Considered at Annual Meeting — Election of Directors,” “Executive Officers,” “Board Committees and Meetings — Audit Committee,” “Codes of Conduct and Corporate Governance Documents” and “Section 16(a) Beneficial Ownership Reporting Compliance” in the definitive proxy statement for our 2021 Annual Meeting of Stockholders.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the procedures by which stockholders may recommend nominees to our Board of Directors since our last disclosure of such procedures, which appeared in the definitive proxy statement for our 2020 Annual Meeting of Stockholders.</w:t>
      </w:r>
    </w:p>
    <w:p>
      <w:pPr>
        <w:spacing w:after="0" w:line="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We have adopted a Code of Ethics that applies to our Chief Executive Officer, who is our principal executive officer, and other senior financial officers. Our Code of Ethics is available at: </w:t>
      </w:r>
      <w:r>
        <w:rPr>
          <w:rFonts w:ascii="Arial" w:cs="Arial" w:eastAsia="Arial" w:hAnsi="Arial"/>
          <w:sz w:val="16"/>
          <w:szCs w:val="16"/>
          <w:i w:val="1"/>
          <w:iCs w:val="1"/>
          <w:color w:val="auto"/>
        </w:rPr>
        <w:t>www.liveperson.com</w:t>
      </w:r>
      <w:r>
        <w:rPr>
          <w:rFonts w:ascii="Arial" w:cs="Arial" w:eastAsia="Arial" w:hAnsi="Arial"/>
          <w:sz w:val="16"/>
          <w:szCs w:val="16"/>
          <w:color w:val="auto"/>
        </w:rPr>
        <w:t xml:space="preserve"> under “Investor Relations / Corporate Governance.” </w:t>
      </w:r>
      <w:r>
        <w:rPr>
          <w:rFonts w:ascii="Arial" w:cs="Arial" w:eastAsia="Arial" w:hAnsi="Arial"/>
          <w:sz w:val="16"/>
          <w:szCs w:val="16"/>
          <w:i w:val="1"/>
          <w:iCs w:val="1"/>
          <w:color w:val="auto"/>
        </w:rPr>
        <w:t>The Company’s web site address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above is not intended to function as a hyperlink, and the information on the Company’s web site is not and should not be considered part of this Annual Report on Form 10-K and is not incorporated by reference herein. </w:t>
      </w:r>
      <w:r>
        <w:rPr>
          <w:rFonts w:ascii="Arial" w:cs="Arial" w:eastAsia="Arial" w:hAnsi="Arial"/>
          <w:sz w:val="16"/>
          <w:szCs w:val="16"/>
          <w:color w:val="auto"/>
        </w:rPr>
        <w:t>The Company will post on this website any amendments to our Code of Ethics.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11 is incorporated by reference to the sections captioned “Compensation Discussion and Analysis,” “Compensation Committee Report” (which information shall be deemed furnished in this Annual Report on Form 10-K), “Executive and Director Compensation” and “Compensation Committee Interlocks and Insider Participation” in the definitive proxy statement for our 2021 Annual Meeting of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12 is incorporated by reference to the sections captioned “Ownership of Securities,” “Potential Payments Upon Termination or Change-in-Control” and “Securities Authorized for Issuance Under Equity Compensation Plans” in the definitive proxy statement for our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13 is incorporated by reference to the sections captioned “Certain Relationships and Related Party Transactions” and “Director Independence” in the definitive proxy statement for our 2021 Annual Meeting of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14 is incorporated by reference to the section captioned “Independent Registered Public Accounting Firm Fees and Pre-Approval Policies and Procedures” in the definitive proxy statement for our 2021 Annual Meeting of Stockholders.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7"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index of consolidated financial statements included in Item 8 of this Annual Report on Form 10-K.</w:t>
      </w:r>
    </w:p>
    <w:p>
      <w:pPr>
        <w:spacing w:after="0" w:line="117" w:lineRule="exact"/>
        <w:rPr>
          <w:sz w:val="20"/>
          <w:szCs w:val="20"/>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Financial Statements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Exhibit Index immediately preceding the exhibits attached to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8, 2021.</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LIVEPERSON, INC.</w:t>
      </w:r>
    </w:p>
    <w:p>
      <w:pPr>
        <w:spacing w:after="0" w:line="279"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22"/>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Name: Robert P. LoCascio</w:t>
            </w:r>
          </w:p>
        </w:tc>
      </w:tr>
      <w:tr>
        <w:trPr>
          <w:trHeight w:val="230"/>
        </w:trPr>
        <w:tc>
          <w:tcPr>
            <w:tcW w:w="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indicated on March 8,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Signature</w:t>
            </w:r>
          </w:p>
        </w:tc>
        <w:tc>
          <w:tcPr>
            <w:tcW w:w="740" w:type="dxa"/>
            <w:vAlign w:val="bottom"/>
          </w:tcPr>
          <w:p>
            <w:pPr>
              <w:spacing w:after="0"/>
              <w:rPr>
                <w:sz w:val="20"/>
                <w:szCs w:val="20"/>
                <w:color w:val="auto"/>
              </w:rPr>
            </w:pPr>
          </w:p>
        </w:tc>
        <w:tc>
          <w:tcPr>
            <w:tcW w:w="6580" w:type="dxa"/>
            <w:vAlign w:val="bottom"/>
            <w:tcBorders>
              <w:bottom w:val="single" w:sz="8" w:color="auto"/>
            </w:tcBorders>
          </w:tcPr>
          <w:p>
            <w:pPr>
              <w:ind w:left="3020"/>
              <w:spacing w:after="0"/>
              <w:rPr>
                <w:sz w:val="20"/>
                <w:szCs w:val="20"/>
                <w:color w:val="auto"/>
              </w:rPr>
            </w:pPr>
            <w:r>
              <w:rPr>
                <w:rFonts w:ascii="Arial" w:cs="Arial" w:eastAsia="Arial" w:hAnsi="Arial"/>
                <w:sz w:val="18"/>
                <w:szCs w:val="18"/>
                <w:b w:val="1"/>
                <w:bCs w:val="1"/>
                <w:color w:val="auto"/>
              </w:rPr>
              <w:t>Title(s)</w:t>
            </w:r>
          </w:p>
        </w:tc>
      </w:tr>
      <w:tr>
        <w:trPr>
          <w:trHeight w:val="466"/>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/s/Robert P. LoCascio</w:t>
            </w:r>
          </w:p>
        </w:tc>
        <w:tc>
          <w:tcPr>
            <w:tcW w:w="74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74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D. Collins</w:t>
            </w:r>
          </w:p>
        </w:tc>
        <w:tc>
          <w:tcPr>
            <w:tcW w:w="74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John D. Collins</w:t>
            </w:r>
          </w:p>
        </w:tc>
        <w:tc>
          <w:tcPr>
            <w:tcW w:w="74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Daryl J. Carlough</w:t>
            </w:r>
          </w:p>
        </w:tc>
        <w:tc>
          <w:tcPr>
            <w:tcW w:w="74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Senior Vice President, Global and Corporate Controller</w:t>
            </w: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Daryl J. Carlough</w:t>
            </w:r>
          </w:p>
        </w:tc>
        <w:tc>
          <w:tcPr>
            <w:tcW w:w="74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Block</w:t>
            </w:r>
          </w:p>
        </w:tc>
        <w:tc>
          <w:tcPr>
            <w:tcW w:w="74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Peter Block</w:t>
            </w:r>
          </w:p>
        </w:tc>
        <w:tc>
          <w:tcPr>
            <w:tcW w:w="74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Lavan</w:t>
            </w:r>
          </w:p>
        </w:tc>
        <w:tc>
          <w:tcPr>
            <w:tcW w:w="74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Kevin C. Lavan</w:t>
            </w:r>
          </w:p>
        </w:tc>
        <w:tc>
          <w:tcPr>
            <w:tcW w:w="74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Jill Layfield</w:t>
            </w:r>
          </w:p>
        </w:tc>
        <w:tc>
          <w:tcPr>
            <w:tcW w:w="74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Jill Layfield</w:t>
            </w:r>
          </w:p>
        </w:tc>
        <w:tc>
          <w:tcPr>
            <w:tcW w:w="74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Fred Mossler</w:t>
            </w:r>
          </w:p>
        </w:tc>
        <w:tc>
          <w:tcPr>
            <w:tcW w:w="74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Fred Mossler</w:t>
            </w:r>
          </w:p>
        </w:tc>
        <w:tc>
          <w:tcPr>
            <w:tcW w:w="74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G. Wesemann</w:t>
            </w:r>
          </w:p>
        </w:tc>
        <w:tc>
          <w:tcPr>
            <w:tcW w:w="74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3880" w:type="dxa"/>
            <w:vAlign w:val="bottom"/>
          </w:tcPr>
          <w:p>
            <w:pPr>
              <w:ind w:left="20"/>
              <w:spacing w:after="0"/>
              <w:rPr>
                <w:sz w:val="20"/>
                <w:szCs w:val="20"/>
                <w:color w:val="auto"/>
              </w:rPr>
            </w:pPr>
            <w:r>
              <w:rPr>
                <w:rFonts w:ascii="Arial" w:cs="Arial" w:eastAsia="Arial" w:hAnsi="Arial"/>
                <w:sz w:val="18"/>
                <w:szCs w:val="18"/>
                <w:color w:val="auto"/>
              </w:rPr>
              <w:t>William G. Wesemann</w:t>
            </w:r>
          </w:p>
        </w:tc>
        <w:tc>
          <w:tcPr>
            <w:tcW w:w="740" w:type="dxa"/>
            <w:vAlign w:val="bottom"/>
          </w:tcPr>
          <w:p>
            <w:pPr>
              <w:spacing w:after="0"/>
              <w:rPr>
                <w:sz w:val="19"/>
                <w:szCs w:val="19"/>
                <w:color w:val="auto"/>
              </w:rPr>
            </w:pPr>
          </w:p>
        </w:tc>
        <w:tc>
          <w:tcPr>
            <w:tcW w:w="6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60" w:type="dxa"/>
            <w:vAlign w:val="bottom"/>
            <w:gridSpan w:val="28"/>
          </w:tcPr>
          <w:p>
            <w:pPr>
              <w:ind w:left="640"/>
              <w:spacing w:after="0"/>
              <w:rPr>
                <w:sz w:val="20"/>
                <w:szCs w:val="20"/>
                <w:color w:val="auto"/>
              </w:rPr>
            </w:pPr>
            <w:r>
              <w:rPr>
                <w:rFonts w:ascii="Arial" w:cs="Arial" w:eastAsia="Arial" w:hAnsi="Arial"/>
                <w:sz w:val="18"/>
                <w:szCs w:val="18"/>
                <w:b w:val="1"/>
                <w:bCs w:val="1"/>
                <w:color w:val="auto"/>
              </w:rPr>
              <w:t>EXHIBIT INDEX</w:t>
            </w:r>
          </w:p>
        </w:tc>
      </w:tr>
      <w:tr>
        <w:trPr>
          <w:trHeight w:val="350"/>
        </w:trPr>
        <w:tc>
          <w:tcPr>
            <w:tcW w:w="2180" w:type="dxa"/>
            <w:vAlign w:val="bottom"/>
          </w:tcPr>
          <w:p>
            <w:pPr>
              <w:ind w:left="560"/>
              <w:spacing w:after="0"/>
              <w:rPr>
                <w:sz w:val="20"/>
                <w:szCs w:val="20"/>
                <w:color w:val="auto"/>
              </w:rPr>
            </w:pPr>
            <w:r>
              <w:rPr>
                <w:rFonts w:ascii="Arial" w:cs="Arial" w:eastAsia="Arial" w:hAnsi="Arial"/>
                <w:sz w:val="18"/>
                <w:szCs w:val="18"/>
                <w:b w:val="1"/>
                <w:bCs w:val="1"/>
                <w:color w:val="auto"/>
              </w:rPr>
              <w:t>Number</w:t>
            </w:r>
          </w:p>
        </w:tc>
        <w:tc>
          <w:tcPr>
            <w:tcW w:w="9060" w:type="dxa"/>
            <w:vAlign w:val="bottom"/>
            <w:gridSpan w:val="34"/>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180" w:type="dxa"/>
            <w:vAlign w:val="bottom"/>
          </w:tcPr>
          <w:p>
            <w:pPr>
              <w:jc w:val="center"/>
              <w:ind w:right="330"/>
              <w:spacing w:after="0" w:line="190" w:lineRule="exact"/>
              <w:rPr>
                <w:sz w:val="20"/>
                <w:szCs w:val="20"/>
                <w:color w:val="auto"/>
              </w:rPr>
            </w:pPr>
            <w:r>
              <w:rPr>
                <w:rFonts w:ascii="Arial" w:cs="Arial" w:eastAsia="Arial" w:hAnsi="Arial"/>
                <w:sz w:val="18"/>
                <w:szCs w:val="18"/>
                <w:color w:val="auto"/>
                <w:w w:val="95"/>
              </w:rPr>
              <w:t>2.1</w:t>
            </w:r>
          </w:p>
        </w:tc>
        <w:tc>
          <w:tcPr>
            <w:tcW w:w="8560" w:type="dxa"/>
            <w:vAlign w:val="bottom"/>
            <w:tcBorders>
              <w:bottom w:val="single" w:sz="8" w:color="0000FF"/>
            </w:tcBorders>
            <w:gridSpan w:val="23"/>
          </w:tcPr>
          <w:p>
            <w:pPr>
              <w:spacing w:after="0" w:line="190"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Agreement and Plan of Merger, dated as of June 22, 2006, among LivePerson, Inc., Soho Acquisition Corp., Proficient</w:t>
              </w:r>
            </w:hyperlink>
          </w:p>
        </w:tc>
        <w:tc>
          <w:tcPr>
            <w:tcW w:w="500" w:type="dxa"/>
            <w:vAlign w:val="bottom"/>
            <w:gridSpan w:val="11"/>
          </w:tcPr>
          <w:p>
            <w:pPr>
              <w:spacing w:after="0"/>
              <w:rPr>
                <w:sz w:val="16"/>
                <w:szCs w:val="16"/>
                <w:color w:val="auto"/>
              </w:rPr>
            </w:pPr>
          </w:p>
        </w:tc>
      </w:tr>
      <w:tr>
        <w:trPr>
          <w:trHeight w:val="155"/>
        </w:trPr>
        <w:tc>
          <w:tcPr>
            <w:tcW w:w="2180" w:type="dxa"/>
            <w:vAlign w:val="bottom"/>
          </w:tcPr>
          <w:p>
            <w:pPr>
              <w:spacing w:after="0"/>
              <w:rPr>
                <w:sz w:val="13"/>
                <w:szCs w:val="13"/>
                <w:color w:val="auto"/>
              </w:rPr>
            </w:pPr>
          </w:p>
        </w:tc>
        <w:tc>
          <w:tcPr>
            <w:tcW w:w="9060" w:type="dxa"/>
            <w:vAlign w:val="bottom"/>
            <w:gridSpan w:val="34"/>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Systems, Inc. and Gregg Freishtat as Shareholders’ Representative (incorporated by reference to the identically numbered</w:t>
              </w:r>
            </w:hyperlink>
          </w:p>
        </w:tc>
      </w:tr>
      <w:tr>
        <w:trPr>
          <w:trHeight w:val="155"/>
        </w:trPr>
        <w:tc>
          <w:tcPr>
            <w:tcW w:w="218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exhibit in the Current Report on Form 8-K filed on June 22, 2006)</w:t>
              </w:r>
            </w:hyperlink>
          </w:p>
        </w:tc>
        <w:tc>
          <w:tcPr>
            <w:tcW w:w="39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2.2</w:t>
            </w:r>
          </w:p>
        </w:tc>
        <w:tc>
          <w:tcPr>
            <w:tcW w:w="9060" w:type="dxa"/>
            <w:vAlign w:val="bottom"/>
            <w:gridSpan w:val="34"/>
          </w:tcPr>
          <w:p>
            <w:pPr>
              <w:spacing w:after="0"/>
              <w:rPr>
                <w:rFonts w:ascii="Arial" w:cs="Arial" w:eastAsia="Arial" w:hAnsi="Arial"/>
                <w:sz w:val="18"/>
                <w:szCs w:val="18"/>
                <w:color w:val="0000FF"/>
                <w:w w:val="94"/>
              </w:rPr>
            </w:pPr>
            <w:hyperlink r:id="rId145">
              <w:r>
                <w:rPr>
                  <w:rFonts w:ascii="Arial" w:cs="Arial" w:eastAsia="Arial" w:hAnsi="Arial"/>
                  <w:sz w:val="18"/>
                  <w:szCs w:val="18"/>
                  <w:color w:val="0000FF"/>
                  <w:w w:val="94"/>
                </w:rPr>
                <w:t>Agreement and Plan Merger, dated as of November 5, 2014, among LivePerson,Inc. Catalyst Lightning LLC, Contact At</w:t>
              </w:r>
            </w:hyperlink>
          </w:p>
        </w:tc>
      </w:tr>
      <w:tr>
        <w:trPr>
          <w:trHeight w:val="142"/>
        </w:trPr>
        <w:tc>
          <w:tcPr>
            <w:tcW w:w="2180" w:type="dxa"/>
            <w:vAlign w:val="bottom"/>
          </w:tcPr>
          <w:p>
            <w:pPr>
              <w:spacing w:after="0"/>
              <w:rPr>
                <w:sz w:val="12"/>
                <w:szCs w:val="12"/>
                <w:color w:val="auto"/>
              </w:rPr>
            </w:pPr>
          </w:p>
        </w:tc>
        <w:tc>
          <w:tcPr>
            <w:tcW w:w="9000" w:type="dxa"/>
            <w:vAlign w:val="bottom"/>
            <w:tcBorders>
              <w:top w:val="single" w:sz="8" w:color="0000FF"/>
            </w:tcBorders>
            <w:gridSpan w:val="33"/>
          </w:tcPr>
          <w:p>
            <w:pPr>
              <w:spacing w:after="0" w:line="142" w:lineRule="exact"/>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Once!, LLC and Fulcrum Growth Fund II QP, LLC (incorporated by reference to Exhibit 2.1 to LivePerson’s Current Report</w:t>
              </w:r>
            </w:hyperlink>
          </w:p>
        </w:tc>
        <w:tc>
          <w:tcPr>
            <w:tcW w:w="60" w:type="dxa"/>
            <w:vAlign w:val="bottom"/>
          </w:tcPr>
          <w:p>
            <w:pPr>
              <w:spacing w:after="0"/>
              <w:rPr>
                <w:sz w:val="12"/>
                <w:szCs w:val="12"/>
                <w:color w:val="auto"/>
              </w:rPr>
            </w:pPr>
          </w:p>
        </w:tc>
      </w:tr>
      <w:tr>
        <w:trPr>
          <w:trHeight w:val="189"/>
        </w:trPr>
        <w:tc>
          <w:tcPr>
            <w:tcW w:w="2180" w:type="dxa"/>
            <w:vAlign w:val="bottom"/>
          </w:tcPr>
          <w:p>
            <w:pPr>
              <w:spacing w:after="0"/>
              <w:rPr>
                <w:sz w:val="16"/>
                <w:szCs w:val="16"/>
                <w:color w:val="auto"/>
              </w:rPr>
            </w:pPr>
          </w:p>
        </w:tc>
        <w:tc>
          <w:tcPr>
            <w:tcW w:w="9060" w:type="dxa"/>
            <w:vAlign w:val="bottom"/>
            <w:gridSpan w:val="34"/>
          </w:tcPr>
          <w:p>
            <w:pPr>
              <w:spacing w:after="0" w:line="189" w:lineRule="exact"/>
              <w:rPr>
                <w:rFonts w:ascii="Arial" w:cs="Arial" w:eastAsia="Arial" w:hAnsi="Arial"/>
                <w:sz w:val="18"/>
                <w:szCs w:val="18"/>
                <w:color w:val="0000FF"/>
              </w:rPr>
            </w:pPr>
            <w:hyperlink r:id="rId145">
              <w:r>
                <w:rPr>
                  <w:rFonts w:ascii="Arial" w:cs="Arial" w:eastAsia="Arial" w:hAnsi="Arial"/>
                  <w:sz w:val="18"/>
                  <w:szCs w:val="18"/>
                  <w:color w:val="0000FF"/>
                </w:rPr>
                <w:t xml:space="preserve">on Form 8-K filed on </w:t>
              </w:r>
              <w:r>
                <w:rPr>
                  <w:rFonts w:ascii="Arial" w:cs="Arial" w:eastAsia="Arial" w:hAnsi="Arial"/>
                  <w:sz w:val="18"/>
                  <w:szCs w:val="18"/>
                  <w:u w:val="single" w:color="auto"/>
                  <w:color w:val="0000FF"/>
                </w:rPr>
                <w:t>November 12, 2014 (File No. 000-30141))</w:t>
              </w:r>
            </w:hyperlink>
          </w:p>
        </w:tc>
      </w:tr>
      <w:tr>
        <w:trPr>
          <w:trHeight w:val="20"/>
        </w:trPr>
        <w:tc>
          <w:tcPr>
            <w:tcW w:w="2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6"/>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3"/>
              </w:rPr>
              <w:t>3.1(a)</w:t>
            </w:r>
          </w:p>
        </w:tc>
        <w:tc>
          <w:tcPr>
            <w:tcW w:w="9060" w:type="dxa"/>
            <w:vAlign w:val="bottom"/>
            <w:gridSpan w:val="34"/>
          </w:tcPr>
          <w:p>
            <w:pPr>
              <w:spacing w:after="0"/>
              <w:rPr>
                <w:rFonts w:ascii="Arial" w:cs="Arial" w:eastAsia="Arial" w:hAnsi="Arial"/>
                <w:sz w:val="18"/>
                <w:szCs w:val="18"/>
                <w:color w:val="0000FF"/>
                <w:w w:val="92"/>
              </w:rPr>
            </w:pPr>
            <w:hyperlink r:id="rId146">
              <w:r>
                <w:rPr>
                  <w:rFonts w:ascii="Arial" w:cs="Arial" w:eastAsia="Arial" w:hAnsi="Arial"/>
                  <w:sz w:val="18"/>
                  <w:szCs w:val="18"/>
                  <w:color w:val="0000FF"/>
                  <w:w w:val="92"/>
                </w:rPr>
                <w:t>Fourth Amended and Restated Certificate of Incorporation (incorporated by reference to the identically-numbered exhibit to</w:t>
              </w:r>
            </w:hyperlink>
          </w:p>
        </w:tc>
      </w:tr>
      <w:tr>
        <w:trPr>
          <w:trHeight w:val="156"/>
        </w:trPr>
        <w:tc>
          <w:tcPr>
            <w:tcW w:w="2180" w:type="dxa"/>
            <w:vAlign w:val="bottom"/>
          </w:tcPr>
          <w:p>
            <w:pPr>
              <w:spacing w:after="0"/>
              <w:rPr>
                <w:sz w:val="13"/>
                <w:szCs w:val="13"/>
                <w:color w:val="auto"/>
              </w:rPr>
            </w:pPr>
          </w:p>
        </w:tc>
        <w:tc>
          <w:tcPr>
            <w:tcW w:w="8940" w:type="dxa"/>
            <w:vAlign w:val="bottom"/>
            <w:tcBorders>
              <w:top w:val="single" w:sz="8" w:color="0000FF"/>
            </w:tcBorders>
            <w:gridSpan w:val="31"/>
          </w:tcPr>
          <w:p>
            <w:pPr>
              <w:spacing w:after="0" w:line="156" w:lineRule="exact"/>
              <w:rPr>
                <w:rFonts w:ascii="Arial" w:cs="Arial" w:eastAsia="Arial" w:hAnsi="Arial"/>
                <w:sz w:val="18"/>
                <w:szCs w:val="18"/>
                <w:color w:val="0000FF"/>
                <w:w w:val="95"/>
              </w:rPr>
            </w:pPr>
            <w:hyperlink r:id="rId146">
              <w:r>
                <w:rPr>
                  <w:rFonts w:ascii="Arial" w:cs="Arial" w:eastAsia="Arial" w:hAnsi="Arial"/>
                  <w:sz w:val="18"/>
                  <w:szCs w:val="18"/>
                  <w:color w:val="0000FF"/>
                  <w:w w:val="95"/>
                </w:rPr>
                <w:t>LivePerson’s Annual Report on Form 10-K for the fiscal year ended December 31, 2000 and filed March 30, 2001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218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6"/>
              </w:rPr>
            </w:pPr>
            <w:hyperlink r:id="rId146">
              <w:r>
                <w:rPr>
                  <w:rFonts w:ascii="Arial" w:cs="Arial" w:eastAsia="Arial" w:hAnsi="Arial"/>
                  <w:sz w:val="18"/>
                  <w:szCs w:val="18"/>
                  <w:color w:val="0000FF"/>
                  <w:w w:val="96"/>
                </w:rPr>
                <w:t>“2000 Form 10-K”))</w:t>
              </w:r>
            </w:hyperlink>
          </w:p>
        </w:tc>
        <w:tc>
          <w:tcPr>
            <w:tcW w:w="70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63"/>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3"/>
              </w:rPr>
              <w:t>3.1(b)</w:t>
            </w:r>
          </w:p>
        </w:tc>
        <w:tc>
          <w:tcPr>
            <w:tcW w:w="9060" w:type="dxa"/>
            <w:vAlign w:val="bottom"/>
            <w:gridSpan w:val="34"/>
          </w:tcPr>
          <w:p>
            <w:pPr>
              <w:spacing w:after="0"/>
              <w:rPr>
                <w:rFonts w:ascii="Arial" w:cs="Arial" w:eastAsia="Arial" w:hAnsi="Arial"/>
                <w:sz w:val="18"/>
                <w:szCs w:val="18"/>
                <w:color w:val="0000FF"/>
                <w:w w:val="94"/>
              </w:rPr>
            </w:pPr>
            <w:hyperlink r:id="rId147">
              <w:r>
                <w:rPr>
                  <w:rFonts w:ascii="Arial" w:cs="Arial" w:eastAsia="Arial" w:hAnsi="Arial"/>
                  <w:sz w:val="18"/>
                  <w:szCs w:val="18"/>
                  <w:u w:val="single" w:color="auto"/>
                  <w:color w:val="0000FF"/>
                  <w:w w:val="94"/>
                </w:rPr>
                <w:t>Certificate of Amendment to the Fourth Amended and Restated Certificate of Incorporation effective</w:t>
              </w:r>
              <w:r>
                <w:rPr>
                  <w:rFonts w:ascii="Arial" w:cs="Arial" w:eastAsia="Arial" w:hAnsi="Arial"/>
                  <w:sz w:val="18"/>
                  <w:szCs w:val="18"/>
                  <w:color w:val="0000FF"/>
                  <w:w w:val="94"/>
                </w:rPr>
                <w:t xml:space="preserve"> as of November 12,</w:t>
              </w:r>
            </w:hyperlink>
          </w:p>
        </w:tc>
      </w:tr>
      <w:tr>
        <w:trPr>
          <w:trHeight w:val="20"/>
        </w:trPr>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180" w:type="dxa"/>
            <w:vAlign w:val="bottom"/>
          </w:tcPr>
          <w:p>
            <w:pPr>
              <w:spacing w:after="0"/>
              <w:rPr>
                <w:sz w:val="13"/>
                <w:szCs w:val="13"/>
                <w:color w:val="auto"/>
              </w:rPr>
            </w:pPr>
          </w:p>
        </w:tc>
        <w:tc>
          <w:tcPr>
            <w:tcW w:w="9060" w:type="dxa"/>
            <w:vAlign w:val="bottom"/>
            <w:gridSpan w:val="34"/>
          </w:tcPr>
          <w:p>
            <w:pPr>
              <w:spacing w:after="0" w:line="156" w:lineRule="exact"/>
              <w:rPr>
                <w:rFonts w:ascii="Arial" w:cs="Arial" w:eastAsia="Arial" w:hAnsi="Arial"/>
                <w:sz w:val="18"/>
                <w:szCs w:val="18"/>
                <w:color w:val="0000FF"/>
                <w:w w:val="93"/>
              </w:rPr>
            </w:pPr>
            <w:hyperlink r:id="rId147">
              <w:r>
                <w:rPr>
                  <w:rFonts w:ascii="Arial" w:cs="Arial" w:eastAsia="Arial" w:hAnsi="Arial"/>
                  <w:sz w:val="18"/>
                  <w:szCs w:val="18"/>
                  <w:color w:val="0000FF"/>
                  <w:w w:val="93"/>
                </w:rPr>
                <w:t>2019 (incorporated by reference to Exhibit 4.2 to LivePerson’s Registration Statement on Form S-8 filed on November 13,</w:t>
              </w:r>
            </w:hyperlink>
          </w:p>
        </w:tc>
      </w:tr>
      <w:tr>
        <w:trPr>
          <w:trHeight w:val="156"/>
        </w:trPr>
        <w:tc>
          <w:tcPr>
            <w:tcW w:w="218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2019 (File No. 333-234676))</w:t>
              </w:r>
            </w:hyperlink>
          </w:p>
        </w:tc>
        <w:tc>
          <w:tcPr>
            <w:tcW w:w="33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3.2</w:t>
            </w:r>
          </w:p>
        </w:tc>
        <w:tc>
          <w:tcPr>
            <w:tcW w:w="9060" w:type="dxa"/>
            <w:vAlign w:val="bottom"/>
            <w:gridSpan w:val="34"/>
          </w:tcPr>
          <w:p>
            <w:pPr>
              <w:spacing w:after="0"/>
              <w:rPr>
                <w:rFonts w:ascii="Arial" w:cs="Arial" w:eastAsia="Arial" w:hAnsi="Arial"/>
                <w:sz w:val="18"/>
                <w:szCs w:val="18"/>
                <w:color w:val="0000FF"/>
                <w:w w:val="93"/>
              </w:rPr>
            </w:pPr>
            <w:hyperlink r:id="rId148">
              <w:r>
                <w:rPr>
                  <w:rFonts w:ascii="Arial" w:cs="Arial" w:eastAsia="Arial" w:hAnsi="Arial"/>
                  <w:sz w:val="18"/>
                  <w:szCs w:val="18"/>
                  <w:color w:val="0000FF"/>
                  <w:w w:val="93"/>
                </w:rPr>
                <w:t>Second Amended and Restated Bylaws, as amended (incorporated by reference to the identically-numbered exhibit to the</w:t>
              </w:r>
            </w:hyperlink>
          </w:p>
        </w:tc>
      </w:tr>
      <w:tr>
        <w:trPr>
          <w:trHeight w:val="156"/>
        </w:trPr>
        <w:tc>
          <w:tcPr>
            <w:tcW w:w="218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2000 Form 10-K)</w:t>
              </w:r>
            </w:hyperlink>
          </w:p>
        </w:tc>
        <w:tc>
          <w:tcPr>
            <w:tcW w:w="74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4.1</w:t>
            </w:r>
          </w:p>
        </w:tc>
        <w:tc>
          <w:tcPr>
            <w:tcW w:w="9060" w:type="dxa"/>
            <w:vAlign w:val="bottom"/>
            <w:gridSpan w:val="34"/>
          </w:tcPr>
          <w:p>
            <w:pPr>
              <w:spacing w:after="0"/>
              <w:rPr>
                <w:rFonts w:ascii="Arial" w:cs="Arial" w:eastAsia="Arial" w:hAnsi="Arial"/>
                <w:sz w:val="18"/>
                <w:szCs w:val="18"/>
                <w:color w:val="0000FF"/>
                <w:w w:val="99"/>
              </w:rPr>
            </w:pPr>
            <w:hyperlink r:id="rId149">
              <w:r>
                <w:rPr>
                  <w:rFonts w:ascii="Arial" w:cs="Arial" w:eastAsia="Arial" w:hAnsi="Arial"/>
                  <w:sz w:val="18"/>
                  <w:szCs w:val="18"/>
                  <w:color w:val="0000FF"/>
                  <w:w w:val="99"/>
                </w:rPr>
                <w:t>Specimen common stock certificate (incorporated by reference to the identically-numbered exhibit to LivePerson’s</w:t>
              </w:r>
            </w:hyperlink>
          </w:p>
        </w:tc>
      </w:tr>
      <w:tr>
        <w:trPr>
          <w:trHeight w:val="224"/>
        </w:trPr>
        <w:tc>
          <w:tcPr>
            <w:tcW w:w="2180" w:type="dxa"/>
            <w:vAlign w:val="bottom"/>
          </w:tcPr>
          <w:p>
            <w:pPr>
              <w:spacing w:after="0"/>
              <w:rPr>
                <w:sz w:val="19"/>
                <w:szCs w:val="19"/>
                <w:color w:val="auto"/>
              </w:rPr>
            </w:pPr>
          </w:p>
        </w:tc>
        <w:tc>
          <w:tcPr>
            <w:tcW w:w="8280" w:type="dxa"/>
            <w:vAlign w:val="bottom"/>
            <w:tcBorders>
              <w:top w:val="single" w:sz="8" w:color="0000FF"/>
            </w:tcBorders>
            <w:gridSpan w:val="20"/>
          </w:tcPr>
          <w:p>
            <w:pPr>
              <w:spacing w:after="0"/>
              <w:rPr>
                <w:rFonts w:ascii="Arial" w:cs="Arial" w:eastAsia="Arial" w:hAnsi="Arial"/>
                <w:sz w:val="18"/>
                <w:szCs w:val="18"/>
                <w:u w:val="single" w:color="auto"/>
                <w:color w:val="0000FF"/>
                <w:w w:val="92"/>
              </w:rPr>
            </w:pPr>
            <w:hyperlink r:id="rId149">
              <w:r>
                <w:rPr>
                  <w:rFonts w:ascii="Arial" w:cs="Arial" w:eastAsia="Arial" w:hAnsi="Arial"/>
                  <w:sz w:val="18"/>
                  <w:szCs w:val="18"/>
                  <w:u w:val="single" w:color="auto"/>
                  <w:color w:val="0000FF"/>
                  <w:w w:val="92"/>
                </w:rPr>
                <w:t>Registration Statement on Form S-1, as amended (Registration No. 333-96689) (“Registration No. 333-96689”))</w:t>
              </w:r>
            </w:hyperlink>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3"/>
          </w:tcPr>
          <w:p>
            <w:pPr>
              <w:spacing w:after="0"/>
              <w:rPr>
                <w:sz w:val="19"/>
                <w:szCs w:val="19"/>
                <w:color w:val="auto"/>
              </w:rPr>
            </w:pP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9"/>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4.2</w:t>
            </w:r>
          </w:p>
        </w:tc>
        <w:tc>
          <w:tcPr>
            <w:tcW w:w="9060" w:type="dxa"/>
            <w:vAlign w:val="bottom"/>
            <w:gridSpan w:val="34"/>
          </w:tcPr>
          <w:p>
            <w:pPr>
              <w:spacing w:after="0"/>
              <w:rPr>
                <w:rFonts w:ascii="Arial" w:cs="Arial" w:eastAsia="Arial" w:hAnsi="Arial"/>
                <w:sz w:val="18"/>
                <w:szCs w:val="18"/>
                <w:color w:val="0000FF"/>
                <w:w w:val="90"/>
              </w:rPr>
            </w:pPr>
            <w:hyperlink r:id="rId149">
              <w:r>
                <w:rPr>
                  <w:rFonts w:ascii="Arial" w:cs="Arial" w:eastAsia="Arial" w:hAnsi="Arial"/>
                  <w:sz w:val="18"/>
                  <w:szCs w:val="18"/>
                  <w:color w:val="0000FF"/>
                  <w:w w:val="90"/>
                </w:rPr>
                <w:t>Second Amended and Restated Registration Rights Agreement, dated as of January 27, 2000, by and among LivePerson, the</w:t>
              </w:r>
            </w:hyperlink>
          </w:p>
        </w:tc>
      </w:tr>
      <w:tr>
        <w:trPr>
          <w:trHeight w:val="155"/>
        </w:trPr>
        <w:tc>
          <w:tcPr>
            <w:tcW w:w="2180" w:type="dxa"/>
            <w:vAlign w:val="bottom"/>
          </w:tcPr>
          <w:p>
            <w:pPr>
              <w:spacing w:after="0"/>
              <w:rPr>
                <w:sz w:val="13"/>
                <w:szCs w:val="13"/>
                <w:color w:val="auto"/>
              </w:rPr>
            </w:pPr>
          </w:p>
        </w:tc>
        <w:tc>
          <w:tcPr>
            <w:tcW w:w="8960" w:type="dxa"/>
            <w:vAlign w:val="bottom"/>
            <w:tcBorders>
              <w:top w:val="single" w:sz="8" w:color="0000FF"/>
            </w:tcBorders>
            <w:gridSpan w:val="32"/>
          </w:tcPr>
          <w:p>
            <w:pPr>
              <w:spacing w:after="0" w:line="156" w:lineRule="exact"/>
              <w:rPr>
                <w:rFonts w:ascii="Arial" w:cs="Arial" w:eastAsia="Arial" w:hAnsi="Arial"/>
                <w:sz w:val="18"/>
                <w:szCs w:val="18"/>
                <w:color w:val="0000FF"/>
                <w:w w:val="94"/>
              </w:rPr>
            </w:pPr>
            <w:hyperlink r:id="rId149">
              <w:r>
                <w:rPr>
                  <w:rFonts w:ascii="Arial" w:cs="Arial" w:eastAsia="Arial" w:hAnsi="Arial"/>
                  <w:sz w:val="18"/>
                  <w:szCs w:val="18"/>
                  <w:color w:val="0000FF"/>
                  <w:w w:val="94"/>
                </w:rPr>
                <w:t>several persons and entities named on the signature pages thereto as Investors, and Robert LoCascio (incorporated by</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218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reference to the identically-numbered exhibit to Registration No. 333-96689)</w:t>
              </w:r>
            </w:hyperlink>
          </w:p>
        </w:tc>
        <w:tc>
          <w:tcPr>
            <w:tcW w:w="2900" w:type="dxa"/>
            <w:vAlign w:val="bottom"/>
            <w:tcBorders>
              <w:top w:val="single" w:sz="8" w:color="0000FF"/>
            </w:tcBorders>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4.3</w:t>
            </w:r>
          </w:p>
        </w:tc>
        <w:tc>
          <w:tcPr>
            <w:tcW w:w="9060" w:type="dxa"/>
            <w:vAlign w:val="bottom"/>
            <w:gridSpan w:val="34"/>
          </w:tcPr>
          <w:p>
            <w:pPr>
              <w:spacing w:after="0"/>
              <w:rPr>
                <w:rFonts w:ascii="Arial" w:cs="Arial" w:eastAsia="Arial" w:hAnsi="Arial"/>
                <w:sz w:val="18"/>
                <w:szCs w:val="18"/>
                <w:color w:val="0000FF"/>
                <w:w w:val="95"/>
              </w:rPr>
            </w:pPr>
            <w:hyperlink r:id="rId150">
              <w:r>
                <w:rPr>
                  <w:rFonts w:ascii="Arial" w:cs="Arial" w:eastAsia="Arial" w:hAnsi="Arial"/>
                  <w:sz w:val="18"/>
                  <w:szCs w:val="18"/>
                  <w:u w:val="single" w:color="auto"/>
                  <w:color w:val="0000FF"/>
                  <w:w w:val="95"/>
                </w:rPr>
                <w:t>Indenture, dated as of March 4, 2019, by and between LivePerson, Inc. and U.S. Bank National</w:t>
              </w:r>
              <w:r>
                <w:rPr>
                  <w:rFonts w:ascii="Arial" w:cs="Arial" w:eastAsia="Arial" w:hAnsi="Arial"/>
                  <w:sz w:val="18"/>
                  <w:szCs w:val="18"/>
                  <w:color w:val="0000FF"/>
                  <w:w w:val="95"/>
                </w:rPr>
                <w:t xml:space="preserve"> Association, as Trustee</w:t>
              </w:r>
            </w:hyperlink>
          </w:p>
        </w:tc>
      </w:tr>
      <w:tr>
        <w:trPr>
          <w:trHeight w:val="156"/>
        </w:trPr>
        <w:tc>
          <w:tcPr>
            <w:tcW w:w="2180" w:type="dxa"/>
            <w:vAlign w:val="bottom"/>
          </w:tcPr>
          <w:p>
            <w:pPr>
              <w:spacing w:after="0"/>
              <w:rPr>
                <w:sz w:val="13"/>
                <w:szCs w:val="13"/>
                <w:color w:val="auto"/>
              </w:rPr>
            </w:pPr>
          </w:p>
        </w:tc>
        <w:tc>
          <w:tcPr>
            <w:tcW w:w="6920" w:type="dxa"/>
            <w:vAlign w:val="bottom"/>
            <w:gridSpan w:val="16"/>
          </w:tcPr>
          <w:p>
            <w:pPr>
              <w:spacing w:after="0" w:line="156" w:lineRule="exact"/>
              <w:rPr>
                <w:rFonts w:ascii="Arial" w:cs="Arial" w:eastAsia="Arial" w:hAnsi="Arial"/>
                <w:sz w:val="18"/>
                <w:szCs w:val="18"/>
                <w:color w:val="0000FF"/>
                <w:w w:val="93"/>
              </w:rPr>
            </w:pPr>
            <w:hyperlink r:id="rId150">
              <w:r>
                <w:rPr>
                  <w:rFonts w:ascii="Arial" w:cs="Arial" w:eastAsia="Arial" w:hAnsi="Arial"/>
                  <w:sz w:val="18"/>
                  <w:szCs w:val="18"/>
                  <w:color w:val="0000FF"/>
                  <w:w w:val="93"/>
                </w:rPr>
                <w:t>(incorporated by reference to Exhibit 4.1 to LivePerson’s Current Report on Form 8-K filed on</w:t>
              </w:r>
            </w:hyperlink>
          </w:p>
        </w:tc>
        <w:tc>
          <w:tcPr>
            <w:tcW w:w="1660" w:type="dxa"/>
            <w:vAlign w:val="bottom"/>
            <w:tcBorders>
              <w:top w:val="single" w:sz="8" w:color="0000FF"/>
            </w:tcBorders>
            <w:gridSpan w:val="8"/>
          </w:tcPr>
          <w:p>
            <w:pPr>
              <w:spacing w:after="0" w:line="156" w:lineRule="exact"/>
              <w:rPr>
                <w:rFonts w:ascii="Arial" w:cs="Arial" w:eastAsia="Arial" w:hAnsi="Arial"/>
                <w:sz w:val="18"/>
                <w:szCs w:val="18"/>
                <w:color w:val="0000FF"/>
                <w:w w:val="87"/>
              </w:rPr>
            </w:pPr>
            <w:hyperlink r:id="rId150">
              <w:r>
                <w:rPr>
                  <w:rFonts w:ascii="Arial" w:cs="Arial" w:eastAsia="Arial" w:hAnsi="Arial"/>
                  <w:sz w:val="18"/>
                  <w:szCs w:val="18"/>
                  <w:color w:val="0000FF"/>
                  <w:w w:val="87"/>
                </w:rPr>
                <w:t>March 5, 2019 (File No.</w:t>
              </w:r>
            </w:hyperlink>
          </w:p>
        </w:tc>
        <w:tc>
          <w:tcPr>
            <w:tcW w:w="480" w:type="dxa"/>
            <w:vAlign w:val="bottom"/>
            <w:gridSpan w:val="10"/>
          </w:tcPr>
          <w:p>
            <w:pPr>
              <w:jc w:val="right"/>
              <w:ind w:right="60"/>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000-</w:t>
              </w:r>
            </w:hyperlink>
          </w:p>
        </w:tc>
      </w:tr>
      <w:tr>
        <w:trPr>
          <w:trHeight w:val="156"/>
        </w:trPr>
        <w:tc>
          <w:tcPr>
            <w:tcW w:w="218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30141)</w:t>
              </w:r>
              <w:r>
                <w:rPr>
                  <w:rFonts w:ascii="Arial" w:cs="Arial" w:eastAsia="Arial" w:hAnsi="Arial"/>
                  <w:sz w:val="18"/>
                  <w:szCs w:val="18"/>
                  <w:u w:val="single" w:color="auto"/>
                  <w:color w:val="0000FF"/>
                  <w:w w:val="90"/>
                </w:rPr>
                <w:t>)</w:t>
              </w:r>
            </w:hyperlink>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601"/>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4.4</w:t>
            </w:r>
          </w:p>
        </w:tc>
        <w:tc>
          <w:tcPr>
            <w:tcW w:w="9060" w:type="dxa"/>
            <w:vAlign w:val="bottom"/>
            <w:gridSpan w:val="34"/>
          </w:tcPr>
          <w:p>
            <w:pPr>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Form of 0.750% Convertible Senior Notes due 2024 (included within the Indenture filed as Exhibit 4.3 hereto)</w:t>
              </w:r>
            </w:hyperlink>
          </w:p>
        </w:tc>
      </w:tr>
      <w:tr>
        <w:trPr>
          <w:trHeight w:val="338"/>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4.5</w:t>
            </w:r>
          </w:p>
        </w:tc>
        <w:tc>
          <w:tcPr>
            <w:tcW w:w="9060" w:type="dxa"/>
            <w:vAlign w:val="bottom"/>
            <w:gridSpan w:val="34"/>
          </w:tcPr>
          <w:p>
            <w:pPr>
              <w:spacing w:after="0"/>
              <w:rPr>
                <w:rFonts w:ascii="Arial" w:cs="Arial" w:eastAsia="Arial" w:hAnsi="Arial"/>
                <w:sz w:val="18"/>
                <w:szCs w:val="18"/>
                <w:u w:val="single" w:color="auto"/>
                <w:color w:val="0000FF"/>
                <w:w w:val="98"/>
              </w:rPr>
            </w:pPr>
            <w:hyperlink w:anchor="page129">
              <w:r>
                <w:rPr>
                  <w:rFonts w:ascii="Arial" w:cs="Arial" w:eastAsia="Arial" w:hAnsi="Arial"/>
                  <w:sz w:val="18"/>
                  <w:szCs w:val="18"/>
                  <w:u w:val="single" w:color="auto"/>
                  <w:color w:val="0000FF"/>
                  <w:w w:val="98"/>
                </w:rPr>
                <w:t>Description of the Registrant’s Securities Registered Pursuant to Section 12 of the Securities Exchange Act of 1934</w:t>
              </w:r>
            </w:hyperlink>
          </w:p>
        </w:tc>
      </w:tr>
      <w:tr>
        <w:trPr>
          <w:trHeight w:val="297"/>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4.6</w:t>
            </w:r>
          </w:p>
        </w:tc>
        <w:tc>
          <w:tcPr>
            <w:tcW w:w="9060" w:type="dxa"/>
            <w:vAlign w:val="bottom"/>
            <w:gridSpan w:val="34"/>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Indenture, dated as of December 4, 2020, by and between LivePerson, Inc. and U.S. Bank National Association, as Trustee</w:t>
              </w:r>
            </w:hyperlink>
          </w:p>
        </w:tc>
      </w:tr>
      <w:tr>
        <w:trPr>
          <w:trHeight w:val="155"/>
        </w:trPr>
        <w:tc>
          <w:tcPr>
            <w:tcW w:w="2180" w:type="dxa"/>
            <w:vAlign w:val="bottom"/>
          </w:tcPr>
          <w:p>
            <w:pPr>
              <w:spacing w:after="0"/>
              <w:rPr>
                <w:sz w:val="13"/>
                <w:szCs w:val="13"/>
                <w:color w:val="auto"/>
              </w:rPr>
            </w:pPr>
          </w:p>
        </w:tc>
        <w:tc>
          <w:tcPr>
            <w:tcW w:w="888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(incorporated by reference to Exhibit 4.1 to LivePerson’s Current Report on Form 8-K/A filed on December 10, 2020 (File</w:t>
              </w:r>
            </w:hyperlink>
          </w:p>
        </w:tc>
        <w:tc>
          <w:tcPr>
            <w:tcW w:w="180" w:type="dxa"/>
            <w:vAlign w:val="bottom"/>
            <w:gridSpan w:val="4"/>
          </w:tcPr>
          <w:p>
            <w:pPr>
              <w:spacing w:after="0"/>
              <w:rPr>
                <w:sz w:val="13"/>
                <w:szCs w:val="13"/>
                <w:color w:val="auto"/>
              </w:rPr>
            </w:pPr>
          </w:p>
        </w:tc>
      </w:tr>
      <w:tr>
        <w:trPr>
          <w:trHeight w:val="155"/>
        </w:trPr>
        <w:tc>
          <w:tcPr>
            <w:tcW w:w="218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No. 000-30141))</w:t>
              </w:r>
            </w:hyperlink>
          </w:p>
        </w:tc>
        <w:tc>
          <w:tcPr>
            <w:tcW w:w="7640" w:type="dxa"/>
            <w:vAlign w:val="bottom"/>
            <w:tcBorders>
              <w:top w:val="single" w:sz="8" w:color="0000FF"/>
            </w:tcBorders>
            <w:gridSpan w:val="27"/>
          </w:tcPr>
          <w:p>
            <w:pPr>
              <w:spacing w:after="0"/>
              <w:rPr>
                <w:sz w:val="13"/>
                <w:szCs w:val="13"/>
                <w:color w:val="auto"/>
              </w:rPr>
            </w:pPr>
          </w:p>
        </w:tc>
        <w:tc>
          <w:tcPr>
            <w:tcW w:w="200" w:type="dxa"/>
            <w:vAlign w:val="bottom"/>
            <w:gridSpan w:val="5"/>
          </w:tcPr>
          <w:p>
            <w:pPr>
              <w:spacing w:after="0"/>
              <w:rPr>
                <w:sz w:val="13"/>
                <w:szCs w:val="13"/>
                <w:color w:val="auto"/>
              </w:rPr>
            </w:pPr>
          </w:p>
        </w:tc>
      </w:tr>
      <w:tr>
        <w:trPr>
          <w:trHeight w:val="358"/>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4.7</w:t>
            </w:r>
          </w:p>
        </w:tc>
        <w:tc>
          <w:tcPr>
            <w:tcW w:w="9060" w:type="dxa"/>
            <w:vAlign w:val="bottom"/>
            <w:gridSpan w:val="34"/>
          </w:tcPr>
          <w:p>
            <w:pPr>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Form of 0% Convertible Senior Notes due 2026 (included within the Indenture filed as Exhibit 4.6 hereto)</w:t>
              </w:r>
            </w:hyperlink>
          </w:p>
        </w:tc>
      </w:tr>
      <w:tr>
        <w:trPr>
          <w:trHeight w:val="297"/>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3"/>
              </w:rPr>
              <w:t>10.1(a)*</w:t>
            </w:r>
          </w:p>
        </w:tc>
        <w:tc>
          <w:tcPr>
            <w:tcW w:w="9060" w:type="dxa"/>
            <w:vAlign w:val="bottom"/>
            <w:gridSpan w:val="34"/>
          </w:tcPr>
          <w:p>
            <w:pPr>
              <w:spacing w:after="0"/>
              <w:rPr>
                <w:rFonts w:ascii="Arial" w:cs="Arial" w:eastAsia="Arial" w:hAnsi="Arial"/>
                <w:sz w:val="18"/>
                <w:szCs w:val="18"/>
                <w:color w:val="0000FF"/>
                <w:w w:val="93"/>
              </w:rPr>
            </w:pPr>
            <w:hyperlink r:id="rId152">
              <w:r>
                <w:rPr>
                  <w:rFonts w:ascii="Arial" w:cs="Arial" w:eastAsia="Arial" w:hAnsi="Arial"/>
                  <w:sz w:val="18"/>
                  <w:szCs w:val="18"/>
                  <w:color w:val="0000FF"/>
                  <w:w w:val="93"/>
                </w:rPr>
                <w:t>2009 Stock Incentive Plan (incorporated by reference to Exhibit 99.1 to LivePerson’s Registration Statement on Form S-8</w:t>
              </w:r>
            </w:hyperlink>
          </w:p>
        </w:tc>
      </w:tr>
      <w:tr>
        <w:trPr>
          <w:trHeight w:val="142"/>
        </w:trPr>
        <w:tc>
          <w:tcPr>
            <w:tcW w:w="2180" w:type="dxa"/>
            <w:vAlign w:val="bottom"/>
          </w:tcPr>
          <w:p>
            <w:pPr>
              <w:spacing w:after="0"/>
              <w:rPr>
                <w:sz w:val="12"/>
                <w:szCs w:val="12"/>
                <w:color w:val="auto"/>
              </w:rPr>
            </w:pPr>
          </w:p>
        </w:tc>
        <w:tc>
          <w:tcPr>
            <w:tcW w:w="8780" w:type="dxa"/>
            <w:vAlign w:val="bottom"/>
            <w:tcBorders>
              <w:top w:val="single" w:sz="8" w:color="0000FF"/>
            </w:tcBorders>
            <w:gridSpan w:val="27"/>
          </w:tcPr>
          <w:p>
            <w:pPr>
              <w:spacing w:after="0" w:line="142" w:lineRule="exact"/>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 xml:space="preserve">filed on June 9, 2009) </w:t>
              </w:r>
              <w:r>
                <w:rPr>
                  <w:rFonts w:ascii="Arial" w:cs="Arial" w:eastAsia="Arial" w:hAnsi="Arial"/>
                  <w:sz w:val="16"/>
                  <w:szCs w:val="16"/>
                  <w:u w:val="single" w:color="auto"/>
                  <w:color w:val="000000"/>
                </w:rPr>
                <w:t>and</w:t>
              </w:r>
              <w:r>
                <w:rPr>
                  <w:rFonts w:ascii="Arial" w:cs="Arial" w:eastAsia="Arial" w:hAnsi="Arial"/>
                  <w:sz w:val="16"/>
                  <w:szCs w:val="16"/>
                  <w:u w:val="single" w:color="auto"/>
                  <w:color w:val="0000FF"/>
                </w:rPr>
                <w:t xml:space="preserve"> Forms of Grant Agreements under the 2009 Stock Incentive Plan (incorporated by reference to</w:t>
              </w:r>
            </w:hyperlink>
          </w:p>
        </w:tc>
        <w:tc>
          <w:tcPr>
            <w:tcW w:w="280" w:type="dxa"/>
            <w:vAlign w:val="bottom"/>
            <w:gridSpan w:val="7"/>
          </w:tcPr>
          <w:p>
            <w:pPr>
              <w:spacing w:after="0"/>
              <w:rPr>
                <w:sz w:val="12"/>
                <w:szCs w:val="12"/>
                <w:color w:val="auto"/>
              </w:rPr>
            </w:pPr>
          </w:p>
        </w:tc>
      </w:tr>
      <w:tr>
        <w:trPr>
          <w:trHeight w:val="230"/>
        </w:trPr>
        <w:tc>
          <w:tcPr>
            <w:tcW w:w="2180" w:type="dxa"/>
            <w:vAlign w:val="bottom"/>
          </w:tcPr>
          <w:p>
            <w:pPr>
              <w:spacing w:after="0"/>
              <w:rPr>
                <w:sz w:val="20"/>
                <w:szCs w:val="20"/>
                <w:color w:val="auto"/>
              </w:rPr>
            </w:pPr>
          </w:p>
        </w:tc>
        <w:tc>
          <w:tcPr>
            <w:tcW w:w="9060" w:type="dxa"/>
            <w:vAlign w:val="bottom"/>
            <w:gridSpan w:val="34"/>
          </w:tcPr>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Exhibit 10.1 to LivePerson’s Quarterly Report on Form 10-Q filed on May 6, 2011 (File No. 000-30141))</w:t>
              </w:r>
            </w:hyperlink>
          </w:p>
        </w:tc>
      </w:tr>
      <w:tr>
        <w:trPr>
          <w:trHeight w:val="539"/>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3"/>
              </w:rPr>
              <w:t>10.1(b)*</w:t>
            </w:r>
          </w:p>
        </w:tc>
        <w:tc>
          <w:tcPr>
            <w:tcW w:w="9060" w:type="dxa"/>
            <w:vAlign w:val="bottom"/>
            <w:gridSpan w:val="34"/>
          </w:tcPr>
          <w:p>
            <w:pPr>
              <w:spacing w:after="0"/>
              <w:rPr>
                <w:rFonts w:ascii="Arial" w:cs="Arial" w:eastAsia="Arial" w:hAnsi="Arial"/>
                <w:sz w:val="18"/>
                <w:szCs w:val="18"/>
                <w:color w:val="0000FF"/>
                <w:w w:val="98"/>
              </w:rPr>
            </w:pPr>
            <w:hyperlink r:id="rId154">
              <w:r>
                <w:rPr>
                  <w:rFonts w:ascii="Arial" w:cs="Arial" w:eastAsia="Arial" w:hAnsi="Arial"/>
                  <w:sz w:val="18"/>
                  <w:szCs w:val="18"/>
                  <w:color w:val="0000FF"/>
                  <w:w w:val="98"/>
                </w:rPr>
                <w:t>2009 Stock Incentive Plan (amended and restated as of June 7, 2012) (incorporated by reference to Exhibit 99.1 to</w:t>
              </w:r>
            </w:hyperlink>
          </w:p>
        </w:tc>
      </w:tr>
      <w:tr>
        <w:trPr>
          <w:trHeight w:val="155"/>
        </w:trPr>
        <w:tc>
          <w:tcPr>
            <w:tcW w:w="218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LivePerson’s Current Report on Form 8-K filed on June 8, 2012 (File No. 000-30141))</w:t>
              </w:r>
            </w:hyperlink>
          </w:p>
        </w:tc>
        <w:tc>
          <w:tcPr>
            <w:tcW w:w="1960" w:type="dxa"/>
            <w:vAlign w:val="bottom"/>
            <w:tcBorders>
              <w:top w:val="single" w:sz="8" w:color="0000FF"/>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720" w:type="dxa"/>
            <w:vAlign w:val="bottom"/>
            <w:gridSpan w:val="13"/>
          </w:tcPr>
          <w:p>
            <w:pPr>
              <w:spacing w:after="0"/>
              <w:rPr>
                <w:sz w:val="13"/>
                <w:szCs w:val="13"/>
                <w:color w:val="auto"/>
              </w:rPr>
            </w:pPr>
          </w:p>
        </w:tc>
      </w:tr>
      <w:tr>
        <w:trPr>
          <w:trHeight w:val="318"/>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10.2*</w:t>
            </w:r>
          </w:p>
        </w:tc>
        <w:tc>
          <w:tcPr>
            <w:tcW w:w="9060" w:type="dxa"/>
            <w:vAlign w:val="bottom"/>
            <w:gridSpan w:val="34"/>
          </w:tcPr>
          <w:p>
            <w:pPr>
              <w:spacing w:after="0"/>
              <w:rPr>
                <w:rFonts w:ascii="Arial" w:cs="Arial" w:eastAsia="Arial" w:hAnsi="Arial"/>
                <w:sz w:val="18"/>
                <w:szCs w:val="18"/>
                <w:color w:val="0000FF"/>
              </w:rPr>
            </w:pPr>
            <w:hyperlink r:id="rId155">
              <w:r>
                <w:rPr>
                  <w:rFonts w:ascii="Arial" w:cs="Arial" w:eastAsia="Arial" w:hAnsi="Arial"/>
                  <w:sz w:val="18"/>
                  <w:szCs w:val="18"/>
                  <w:color w:val="0000FF"/>
                </w:rPr>
                <w:t>LivePerson, Inc. 2010 Employee Stock Purchase Plan (incorporated by reference to Exhibit 99.1 to LivePerson’s</w:t>
              </w:r>
            </w:hyperlink>
          </w:p>
        </w:tc>
      </w:tr>
      <w:tr>
        <w:trPr>
          <w:trHeight w:val="156"/>
        </w:trPr>
        <w:tc>
          <w:tcPr>
            <w:tcW w:w="2180" w:type="dxa"/>
            <w:vAlign w:val="bottom"/>
          </w:tcPr>
          <w:p>
            <w:pPr>
              <w:spacing w:after="0"/>
              <w:rPr>
                <w:sz w:val="13"/>
                <w:szCs w:val="13"/>
                <w:color w:val="auto"/>
              </w:rPr>
            </w:pPr>
          </w:p>
        </w:tc>
        <w:tc>
          <w:tcPr>
            <w:tcW w:w="81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Registration Statement on Form S-8 filed on August 19, 2010 (File No. 000-30141))</w:t>
              </w:r>
            </w:hyperlink>
          </w:p>
        </w:tc>
        <w:tc>
          <w:tcPr>
            <w:tcW w:w="220" w:type="dxa"/>
            <w:vAlign w:val="bottom"/>
            <w:gridSpan w:val="3"/>
          </w:tcPr>
          <w:p>
            <w:pPr>
              <w:spacing w:after="0"/>
              <w:rPr>
                <w:sz w:val="13"/>
                <w:szCs w:val="13"/>
                <w:color w:val="auto"/>
              </w:rPr>
            </w:pPr>
          </w:p>
        </w:tc>
        <w:tc>
          <w:tcPr>
            <w:tcW w:w="720" w:type="dxa"/>
            <w:vAlign w:val="bottom"/>
            <w:gridSpan w:val="13"/>
          </w:tcPr>
          <w:p>
            <w:pPr>
              <w:spacing w:after="0"/>
              <w:rPr>
                <w:sz w:val="13"/>
                <w:szCs w:val="13"/>
                <w:color w:val="auto"/>
              </w:rPr>
            </w:pPr>
          </w:p>
        </w:tc>
      </w:tr>
      <w:tr>
        <w:trPr>
          <w:trHeight w:val="20"/>
        </w:trPr>
        <w:tc>
          <w:tcPr>
            <w:tcW w:w="2180" w:type="dxa"/>
            <w:vAlign w:val="bottom"/>
          </w:tcPr>
          <w:p>
            <w:pPr>
              <w:spacing w:after="0" w:line="20" w:lineRule="exact"/>
              <w:rPr>
                <w:sz w:val="1"/>
                <w:szCs w:val="1"/>
                <w:color w:val="auto"/>
              </w:rPr>
            </w:pPr>
          </w:p>
        </w:tc>
        <w:tc>
          <w:tcPr>
            <w:tcW w:w="4100" w:type="dxa"/>
            <w:vAlign w:val="bottom"/>
            <w:gridSpan w:val="7"/>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720" w:type="dxa"/>
            <w:vAlign w:val="bottom"/>
            <w:gridSpan w:val="13"/>
          </w:tcPr>
          <w:p>
            <w:pPr>
              <w:spacing w:after="0" w:line="20" w:lineRule="exact"/>
              <w:rPr>
                <w:sz w:val="1"/>
                <w:szCs w:val="1"/>
                <w:color w:val="auto"/>
              </w:rPr>
            </w:pPr>
          </w:p>
        </w:tc>
      </w:tr>
      <w:tr>
        <w:trPr>
          <w:trHeight w:val="560"/>
        </w:trPr>
        <w:tc>
          <w:tcPr>
            <w:tcW w:w="2180" w:type="dxa"/>
            <w:vAlign w:val="bottom"/>
          </w:tcPr>
          <w:p>
            <w:pPr>
              <w:jc w:val="center"/>
              <w:ind w:right="330"/>
              <w:spacing w:after="0"/>
              <w:rPr>
                <w:sz w:val="20"/>
                <w:szCs w:val="20"/>
                <w:color w:val="auto"/>
              </w:rPr>
            </w:pPr>
            <w:r>
              <w:rPr>
                <w:rFonts w:ascii="Arial" w:cs="Arial" w:eastAsia="Arial" w:hAnsi="Arial"/>
                <w:sz w:val="18"/>
                <w:szCs w:val="18"/>
                <w:color w:val="auto"/>
                <w:w w:val="95"/>
              </w:rPr>
              <w:t>10.3*</w:t>
            </w:r>
          </w:p>
        </w:tc>
        <w:tc>
          <w:tcPr>
            <w:tcW w:w="9060" w:type="dxa"/>
            <w:vAlign w:val="bottom"/>
            <w:gridSpan w:val="34"/>
          </w:tcPr>
          <w:p>
            <w:pPr>
              <w:spacing w:after="0"/>
              <w:rPr>
                <w:rFonts w:ascii="Arial" w:cs="Arial" w:eastAsia="Arial" w:hAnsi="Arial"/>
                <w:sz w:val="18"/>
                <w:szCs w:val="18"/>
                <w:color w:val="0000FF"/>
                <w:w w:val="97"/>
              </w:rPr>
            </w:pPr>
            <w:hyperlink r:id="rId149">
              <w:r>
                <w:rPr>
                  <w:rFonts w:ascii="Arial" w:cs="Arial" w:eastAsia="Arial" w:hAnsi="Arial"/>
                  <w:sz w:val="18"/>
                  <w:szCs w:val="18"/>
                  <w:color w:val="0000FF"/>
                  <w:w w:val="97"/>
                </w:rPr>
                <w:t>Employment Agreement between LivePerson and Robert P. LoCascio, dated as of January 1, 1999 (incorporated by</w:t>
              </w:r>
            </w:hyperlink>
          </w:p>
        </w:tc>
      </w:tr>
      <w:tr>
        <w:trPr>
          <w:trHeight w:val="155"/>
        </w:trPr>
        <w:tc>
          <w:tcPr>
            <w:tcW w:w="2180" w:type="dxa"/>
            <w:vAlign w:val="bottom"/>
          </w:tcPr>
          <w:p>
            <w:pPr>
              <w:spacing w:after="0"/>
              <w:rPr>
                <w:sz w:val="13"/>
                <w:szCs w:val="13"/>
                <w:color w:val="auto"/>
              </w:rPr>
            </w:pPr>
          </w:p>
        </w:tc>
        <w:tc>
          <w:tcPr>
            <w:tcW w:w="8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reference to Exhibit 10.1 to Registration No. 333-96689)</w:t>
              </w:r>
            </w:hyperlink>
          </w:p>
        </w:tc>
        <w:tc>
          <w:tcPr>
            <w:tcW w:w="720" w:type="dxa"/>
            <w:vAlign w:val="bottom"/>
            <w:gridSpan w:val="13"/>
          </w:tcPr>
          <w:p>
            <w:pPr>
              <w:spacing w:after="0"/>
              <w:rPr>
                <w:sz w:val="13"/>
                <w:szCs w:val="13"/>
                <w:color w:val="auto"/>
              </w:rPr>
            </w:pPr>
          </w:p>
        </w:tc>
      </w:tr>
      <w:tr>
        <w:trPr>
          <w:trHeight w:val="979"/>
        </w:trPr>
        <w:tc>
          <w:tcPr>
            <w:tcW w:w="2180" w:type="dxa"/>
            <w:vAlign w:val="bottom"/>
          </w:tcPr>
          <w:p>
            <w:pPr>
              <w:spacing w:after="0"/>
              <w:rPr>
                <w:sz w:val="24"/>
                <w:szCs w:val="24"/>
                <w:color w:val="auto"/>
              </w:rPr>
            </w:pPr>
          </w:p>
        </w:tc>
        <w:tc>
          <w:tcPr>
            <w:tcW w:w="4100" w:type="dxa"/>
            <w:vAlign w:val="bottom"/>
            <w:tcBorders>
              <w:top w:val="single" w:sz="8" w:color="0000FF"/>
            </w:tcBorders>
            <w:gridSpan w:val="7"/>
          </w:tcPr>
          <w:p>
            <w:pPr>
              <w:ind w:left="3300"/>
              <w:spacing w:after="0"/>
              <w:rPr>
                <w:sz w:val="20"/>
                <w:szCs w:val="20"/>
                <w:color w:val="auto"/>
              </w:rPr>
            </w:pPr>
            <w:r>
              <w:rPr>
                <w:rFonts w:ascii="Arial" w:cs="Arial" w:eastAsia="Arial" w:hAnsi="Arial"/>
                <w:sz w:val="18"/>
                <w:szCs w:val="18"/>
                <w:color w:val="auto"/>
              </w:rPr>
              <w:t>122</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5"/>
              </w:rPr>
              <w:t>10.4*</w:t>
            </w:r>
          </w:p>
        </w:tc>
        <w:tc>
          <w:tcPr>
            <w:tcW w:w="9060" w:type="dxa"/>
            <w:vAlign w:val="bottom"/>
            <w:gridSpan w:val="37"/>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Agreement between LivePerson and Dan Murphy, dated as of March 27, 2011 (incorporated by reference to Exhibit 10.5 to</w:t>
              </w:r>
            </w:hyperlink>
          </w:p>
        </w:tc>
      </w:tr>
      <w:tr>
        <w:trPr>
          <w:trHeight w:val="224"/>
        </w:trPr>
        <w:tc>
          <w:tcPr>
            <w:tcW w:w="1540" w:type="dxa"/>
            <w:vAlign w:val="bottom"/>
          </w:tcPr>
          <w:p>
            <w:pPr>
              <w:spacing w:after="0"/>
              <w:rPr>
                <w:sz w:val="19"/>
                <w:szCs w:val="19"/>
                <w:color w:val="auto"/>
              </w:rPr>
            </w:pPr>
          </w:p>
        </w:tc>
        <w:tc>
          <w:tcPr>
            <w:tcW w:w="8900" w:type="dxa"/>
            <w:vAlign w:val="bottom"/>
            <w:tcBorders>
              <w:top w:val="single" w:sz="8" w:color="0000FF"/>
            </w:tcBorders>
            <w:gridSpan w:val="29"/>
          </w:tcPr>
          <w:p>
            <w:pPr>
              <w:spacing w:after="0"/>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LivePerson’s Annual Report on Form 10-K for the year ended December 31, 2011 and filed March 13, 2012)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5"/>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5"/>
              </w:rPr>
              <w:t>10.5*</w:t>
            </w:r>
          </w:p>
        </w:tc>
        <w:tc>
          <w:tcPr>
            <w:tcW w:w="9060" w:type="dxa"/>
            <w:vAlign w:val="bottom"/>
            <w:gridSpan w:val="37"/>
          </w:tcPr>
          <w:p>
            <w:pPr>
              <w:spacing w:after="0"/>
              <w:rPr>
                <w:rFonts w:ascii="Arial" w:cs="Arial" w:eastAsia="Arial" w:hAnsi="Arial"/>
                <w:sz w:val="18"/>
                <w:szCs w:val="18"/>
                <w:color w:val="0000FF"/>
                <w:w w:val="97"/>
              </w:rPr>
            </w:pPr>
            <w:hyperlink r:id="rId159">
              <w:r>
                <w:rPr>
                  <w:rFonts w:ascii="Arial" w:cs="Arial" w:eastAsia="Arial" w:hAnsi="Arial"/>
                  <w:sz w:val="18"/>
                  <w:szCs w:val="18"/>
                  <w:color w:val="0000FF"/>
                  <w:w w:val="97"/>
                </w:rPr>
                <w:t>Form of Indemnification Agreement entered into with Executive Officers and Directors of LivePerson (incorporated by</w:t>
              </w:r>
            </w:hyperlink>
          </w:p>
        </w:tc>
      </w:tr>
      <w:tr>
        <w:trPr>
          <w:trHeight w:val="155"/>
        </w:trPr>
        <w:tc>
          <w:tcPr>
            <w:tcW w:w="154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reference to Exhibit 10.6 to LivePerson’s Annual Report on Form 10-K for the year ended December 31, 2011 and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122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March 13, 2012)</w:t>
              </w:r>
            </w:hyperlink>
          </w:p>
        </w:tc>
        <w:tc>
          <w:tcPr>
            <w:tcW w:w="742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5"/>
              </w:rPr>
              <w:t>10.6*</w:t>
            </w:r>
          </w:p>
        </w:tc>
        <w:tc>
          <w:tcPr>
            <w:tcW w:w="9060" w:type="dxa"/>
            <w:vAlign w:val="bottom"/>
            <w:gridSpan w:val="37"/>
          </w:tcPr>
          <w:p>
            <w:pPr>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Agreement between LivePerson and Monica L. Greenberg, dated as of October 25, 2006 (incorporated by reference to</w:t>
              </w:r>
            </w:hyperlink>
          </w:p>
        </w:tc>
      </w:tr>
      <w:tr>
        <w:trPr>
          <w:trHeight w:val="224"/>
        </w:trPr>
        <w:tc>
          <w:tcPr>
            <w:tcW w:w="1540" w:type="dxa"/>
            <w:vAlign w:val="bottom"/>
          </w:tcPr>
          <w:p>
            <w:pPr>
              <w:spacing w:after="0"/>
              <w:rPr>
                <w:sz w:val="19"/>
                <w:szCs w:val="19"/>
                <w:color w:val="auto"/>
              </w:rPr>
            </w:pPr>
          </w:p>
        </w:tc>
        <w:tc>
          <w:tcPr>
            <w:tcW w:w="8520" w:type="dxa"/>
            <w:vAlign w:val="bottom"/>
            <w:tcBorders>
              <w:top w:val="single" w:sz="8" w:color="0000FF"/>
            </w:tcBorders>
            <w:gridSpan w:val="17"/>
          </w:tcPr>
          <w:p>
            <w:pPr>
              <w:spacing w:after="0"/>
              <w:rPr>
                <w:rFonts w:ascii="Arial" w:cs="Arial" w:eastAsia="Arial" w:hAnsi="Arial"/>
                <w:sz w:val="18"/>
                <w:szCs w:val="18"/>
                <w:u w:val="single" w:color="auto"/>
                <w:color w:val="0000FF"/>
                <w:w w:val="91"/>
              </w:rPr>
            </w:pPr>
            <w:hyperlink r:id="rId160">
              <w:r>
                <w:rPr>
                  <w:rFonts w:ascii="Arial" w:cs="Arial" w:eastAsia="Arial" w:hAnsi="Arial"/>
                  <w:sz w:val="18"/>
                  <w:szCs w:val="18"/>
                  <w:u w:val="single" w:color="auto"/>
                  <w:color w:val="0000FF"/>
                  <w:w w:val="91"/>
                </w:rPr>
                <w:t>Exhibit 10.8 to LivePerson’s Annual Report on Form 10-K for the year ended December 31, 2011 and filed March 13,</w:t>
              </w:r>
            </w:hyperlink>
          </w:p>
        </w:tc>
        <w:tc>
          <w:tcPr>
            <w:tcW w:w="500" w:type="dxa"/>
            <w:vAlign w:val="bottom"/>
            <w:gridSpan w:val="18"/>
          </w:tcPr>
          <w:p>
            <w:pPr>
              <w:jc w:val="right"/>
              <w:ind w:right="40"/>
              <w:spacing w:after="0"/>
              <w:rPr>
                <w:rFonts w:ascii="Arial" w:cs="Arial" w:eastAsia="Arial" w:hAnsi="Arial"/>
                <w:sz w:val="18"/>
                <w:szCs w:val="18"/>
                <w:u w:val="single" w:color="auto"/>
                <w:color w:val="0000FF"/>
                <w:w w:val="95"/>
              </w:rPr>
            </w:pPr>
            <w:hyperlink r:id="rId160">
              <w:r>
                <w:rPr>
                  <w:rFonts w:ascii="Arial" w:cs="Arial" w:eastAsia="Arial" w:hAnsi="Arial"/>
                  <w:sz w:val="18"/>
                  <w:szCs w:val="18"/>
                  <w:u w:val="single" w:color="auto"/>
                  <w:color w:val="0000FF"/>
                  <w:w w:val="95"/>
                </w:rPr>
                <w:t>2012)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5"/>
              </w:rPr>
              <w:t>10.7*</w:t>
            </w:r>
          </w:p>
        </w:tc>
        <w:tc>
          <w:tcPr>
            <w:tcW w:w="9060" w:type="dxa"/>
            <w:vAlign w:val="bottom"/>
            <w:gridSpan w:val="37"/>
          </w:tcPr>
          <w:p>
            <w:pPr>
              <w:spacing w:after="0"/>
              <w:rPr>
                <w:rFonts w:ascii="Arial" w:cs="Arial" w:eastAsia="Arial" w:hAnsi="Arial"/>
                <w:sz w:val="18"/>
                <w:szCs w:val="18"/>
                <w:color w:val="0000FF"/>
                <w:w w:val="96"/>
              </w:rPr>
            </w:pPr>
            <w:hyperlink r:id="rId161">
              <w:r>
                <w:rPr>
                  <w:rFonts w:ascii="Arial" w:cs="Arial" w:eastAsia="Arial" w:hAnsi="Arial"/>
                  <w:sz w:val="18"/>
                  <w:szCs w:val="18"/>
                  <w:color w:val="0000FF"/>
                  <w:w w:val="96"/>
                </w:rPr>
                <w:t>Incentive Plan (incorporated by reference to Exhibit 10.1 to LivePerson’s Current Report on Form 8-K filed on April 28,</w:t>
              </w:r>
            </w:hyperlink>
          </w:p>
        </w:tc>
      </w:tr>
      <w:tr>
        <w:trPr>
          <w:trHeight w:val="156"/>
        </w:trPr>
        <w:tc>
          <w:tcPr>
            <w:tcW w:w="15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61">
              <w:r>
                <w:rPr>
                  <w:rFonts w:ascii="Arial" w:cs="Arial" w:eastAsia="Arial" w:hAnsi="Arial"/>
                  <w:sz w:val="18"/>
                  <w:szCs w:val="18"/>
                  <w:color w:val="0000FF"/>
                  <w:w w:val="86"/>
                </w:rPr>
                <w:t>2011)</w:t>
              </w:r>
            </w:hyperlink>
          </w:p>
        </w:tc>
        <w:tc>
          <w:tcPr>
            <w:tcW w:w="1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5"/>
              </w:rPr>
              <w:t>10.8*</w:t>
            </w:r>
          </w:p>
        </w:tc>
        <w:tc>
          <w:tcPr>
            <w:tcW w:w="9060" w:type="dxa"/>
            <w:vAlign w:val="bottom"/>
            <w:gridSpan w:val="37"/>
          </w:tcPr>
          <w:p>
            <w:pPr>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Employment Agreement between LivePerson and Eran Vanounou, dated as of February 22, 2014(incorporated by reference</w:t>
              </w:r>
            </w:hyperlink>
          </w:p>
        </w:tc>
      </w:tr>
      <w:tr>
        <w:trPr>
          <w:trHeight w:val="224"/>
        </w:trPr>
        <w:tc>
          <w:tcPr>
            <w:tcW w:w="1540" w:type="dxa"/>
            <w:vAlign w:val="bottom"/>
          </w:tcPr>
          <w:p>
            <w:pPr>
              <w:spacing w:after="0"/>
              <w:rPr>
                <w:sz w:val="19"/>
                <w:szCs w:val="19"/>
                <w:color w:val="auto"/>
              </w:rPr>
            </w:pPr>
          </w:p>
        </w:tc>
        <w:tc>
          <w:tcPr>
            <w:tcW w:w="8940" w:type="dxa"/>
            <w:vAlign w:val="bottom"/>
            <w:tcBorders>
              <w:top w:val="single" w:sz="8" w:color="0000FF"/>
            </w:tcBorders>
            <w:gridSpan w:val="31"/>
          </w:tcPr>
          <w:p>
            <w:pPr>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to Exhibit 10.2 to LivePerson’s Quarterly Report on Form 10-Q filed onMay 9, 2014) (File No. 000-30141))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944"/>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5"/>
              </w:rPr>
              <w:t>10.9*</w:t>
            </w:r>
          </w:p>
        </w:tc>
        <w:tc>
          <w:tcPr>
            <w:tcW w:w="9060" w:type="dxa"/>
            <w:vAlign w:val="bottom"/>
            <w:gridSpan w:val="37"/>
          </w:tcPr>
          <w:p>
            <w:pPr>
              <w:spacing w:after="0"/>
              <w:rPr>
                <w:rFonts w:ascii="Arial" w:cs="Arial" w:eastAsia="Arial" w:hAnsi="Arial"/>
                <w:sz w:val="18"/>
                <w:szCs w:val="18"/>
                <w:color w:val="0000FF"/>
              </w:rPr>
            </w:pPr>
            <w:hyperlink r:id="rId163">
              <w:r>
                <w:rPr>
                  <w:rFonts w:ascii="Arial" w:cs="Arial" w:eastAsia="Arial" w:hAnsi="Arial"/>
                  <w:sz w:val="18"/>
                  <w:szCs w:val="18"/>
                  <w:color w:val="0000FF"/>
                </w:rPr>
                <w:t>Separation Agreement General Release between LivePerson and Daniel Murphy, dated as of November 9, 2017</w:t>
              </w:r>
            </w:hyperlink>
          </w:p>
        </w:tc>
      </w:tr>
      <w:tr>
        <w:trPr>
          <w:trHeight w:val="155"/>
        </w:trPr>
        <w:tc>
          <w:tcPr>
            <w:tcW w:w="1540" w:type="dxa"/>
            <w:vAlign w:val="bottom"/>
          </w:tcPr>
          <w:p>
            <w:pPr>
              <w:spacing w:after="0"/>
              <w:rPr>
                <w:sz w:val="13"/>
                <w:szCs w:val="13"/>
                <w:color w:val="auto"/>
              </w:rPr>
            </w:pPr>
          </w:p>
        </w:tc>
        <w:tc>
          <w:tcPr>
            <w:tcW w:w="8040" w:type="dxa"/>
            <w:vAlign w:val="bottom"/>
            <w:tcBorders>
              <w:top w:val="single" w:sz="8" w:color="0000FF"/>
            </w:tcBorders>
            <w:gridSpan w:val="14"/>
          </w:tcPr>
          <w:p>
            <w:pPr>
              <w:spacing w:after="0" w:line="156" w:lineRule="exact"/>
              <w:rPr>
                <w:rFonts w:ascii="Arial" w:cs="Arial" w:eastAsia="Arial" w:hAnsi="Arial"/>
                <w:sz w:val="18"/>
                <w:szCs w:val="18"/>
                <w:color w:val="0000FF"/>
                <w:w w:val="89"/>
              </w:rPr>
            </w:pPr>
            <w:hyperlink r:id="rId163">
              <w:r>
                <w:rPr>
                  <w:rFonts w:ascii="Arial" w:cs="Arial" w:eastAsia="Arial" w:hAnsi="Arial"/>
                  <w:sz w:val="18"/>
                  <w:szCs w:val="18"/>
                  <w:color w:val="0000FF"/>
                  <w:w w:val="89"/>
                </w:rPr>
                <w:t>(incorporated by reference to Exhibit 10.5 (B) to LivePerson’s Quarterly Report on Form 10-Q filed on November</w:t>
              </w:r>
            </w:hyperlink>
          </w:p>
        </w:tc>
        <w:tc>
          <w:tcPr>
            <w:tcW w:w="880" w:type="dxa"/>
            <w:vAlign w:val="bottom"/>
            <w:gridSpan w:val="16"/>
          </w:tcPr>
          <w:p>
            <w:pPr>
              <w:jc w:val="right"/>
              <w:ind w:right="40"/>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9, 2017)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(File No. 000-30141))</w:t>
              </w:r>
            </w:hyperlink>
          </w:p>
        </w:tc>
        <w:tc>
          <w:tcPr>
            <w:tcW w:w="728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07"/>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2"/>
              </w:rPr>
              <w:t>10.10*</w:t>
            </w:r>
          </w:p>
        </w:tc>
        <w:tc>
          <w:tcPr>
            <w:tcW w:w="8660" w:type="dxa"/>
            <w:vAlign w:val="bottom"/>
            <w:tcBorders>
              <w:bottom w:val="single" w:sz="8" w:color="0000FF"/>
            </w:tcBorders>
            <w:gridSpan w:val="21"/>
          </w:tcPr>
          <w:p>
            <w:pPr>
              <w:spacing w:after="0"/>
              <w:rPr>
                <w:rFonts w:ascii="Arial" w:cs="Arial" w:eastAsia="Arial" w:hAnsi="Arial"/>
                <w:sz w:val="18"/>
                <w:szCs w:val="18"/>
                <w:color w:val="0000FF"/>
                <w:w w:val="89"/>
              </w:rPr>
            </w:pPr>
            <w:hyperlink r:id="rId164">
              <w:r>
                <w:rPr>
                  <w:rFonts w:ascii="Arial" w:cs="Arial" w:eastAsia="Arial" w:hAnsi="Arial"/>
                  <w:sz w:val="18"/>
                  <w:szCs w:val="18"/>
                  <w:color w:val="0000FF"/>
                  <w:w w:val="89"/>
                </w:rPr>
                <w:t>Amendment to Separation Agreement General Release between LivePerson and Daniel Murphy, dated as of February 9,</w:t>
              </w:r>
            </w:hyperlink>
          </w:p>
        </w:tc>
        <w:tc>
          <w:tcPr>
            <w:tcW w:w="400" w:type="dxa"/>
            <w:vAlign w:val="bottom"/>
            <w:gridSpan w:val="16"/>
          </w:tcPr>
          <w:p>
            <w:pPr>
              <w:spacing w:after="0"/>
              <w:rPr>
                <w:sz w:val="24"/>
                <w:szCs w:val="24"/>
                <w:color w:val="auto"/>
              </w:rPr>
            </w:pPr>
          </w:p>
        </w:tc>
      </w:tr>
      <w:tr>
        <w:trPr>
          <w:trHeight w:val="156"/>
        </w:trPr>
        <w:tc>
          <w:tcPr>
            <w:tcW w:w="1540" w:type="dxa"/>
            <w:vAlign w:val="bottom"/>
          </w:tcPr>
          <w:p>
            <w:pPr>
              <w:spacing w:after="0"/>
              <w:rPr>
                <w:sz w:val="13"/>
                <w:szCs w:val="13"/>
                <w:color w:val="auto"/>
              </w:rPr>
            </w:pPr>
          </w:p>
        </w:tc>
        <w:tc>
          <w:tcPr>
            <w:tcW w:w="9060" w:type="dxa"/>
            <w:vAlign w:val="bottom"/>
            <w:gridSpan w:val="37"/>
          </w:tcPr>
          <w:p>
            <w:pPr>
              <w:spacing w:after="0" w:line="156"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2018 (incorporated by reference to Exhibit 10.11 to LivePerson’s Annual Report on Form 10-K for the year ended December</w:t>
              </w:r>
            </w:hyperlink>
          </w:p>
        </w:tc>
      </w:tr>
      <w:tr>
        <w:trPr>
          <w:trHeight w:val="155"/>
        </w:trPr>
        <w:tc>
          <w:tcPr>
            <w:tcW w:w="1540" w:type="dxa"/>
            <w:vAlign w:val="bottom"/>
          </w:tcPr>
          <w:p>
            <w:pPr>
              <w:spacing w:after="0"/>
              <w:rPr>
                <w:sz w:val="13"/>
                <w:szCs w:val="13"/>
                <w:color w:val="auto"/>
              </w:rPr>
            </w:pPr>
          </w:p>
        </w:tc>
        <w:tc>
          <w:tcPr>
            <w:tcW w:w="90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31, 2017, filed on March 15, 2018 (File No. 000-30141))</w:t>
              </w:r>
            </w:hyperlink>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2"/>
              </w:rPr>
              <w:t>10.11*</w:t>
            </w:r>
          </w:p>
        </w:tc>
        <w:tc>
          <w:tcPr>
            <w:tcW w:w="9060" w:type="dxa"/>
            <w:vAlign w:val="bottom"/>
            <w:gridSpan w:val="37"/>
          </w:tcPr>
          <w:p>
            <w:pPr>
              <w:spacing w:after="0"/>
              <w:rPr>
                <w:rFonts w:ascii="Arial" w:cs="Arial" w:eastAsia="Arial" w:hAnsi="Arial"/>
                <w:sz w:val="18"/>
                <w:szCs w:val="18"/>
                <w:color w:val="0000FF"/>
                <w:w w:val="92"/>
              </w:rPr>
            </w:pPr>
            <w:hyperlink r:id="rId165">
              <w:r>
                <w:rPr>
                  <w:rFonts w:ascii="Arial" w:cs="Arial" w:eastAsia="Arial" w:hAnsi="Arial"/>
                  <w:sz w:val="18"/>
                  <w:szCs w:val="18"/>
                  <w:color w:val="0000FF"/>
                  <w:w w:val="92"/>
                </w:rPr>
                <w:t>Form of Restricted Stock Unit Award Agreement (incorporated by reference to Exhibit 10.12 to LivePerson’s Annual Report</w:t>
              </w:r>
            </w:hyperlink>
          </w:p>
        </w:tc>
      </w:tr>
      <w:tr>
        <w:trPr>
          <w:trHeight w:val="156"/>
        </w:trPr>
        <w:tc>
          <w:tcPr>
            <w:tcW w:w="154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on Form 10-K for the year ended December 31, 2017, filed on March 15, 2018 (File No. 000-30141))</w:t>
              </w:r>
            </w:hyperlink>
          </w:p>
        </w:tc>
        <w:tc>
          <w:tcPr>
            <w:tcW w:w="170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2"/>
              </w:rPr>
              <w:t>10.12*</w:t>
            </w:r>
          </w:p>
        </w:tc>
        <w:tc>
          <w:tcPr>
            <w:tcW w:w="8380" w:type="dxa"/>
            <w:vAlign w:val="bottom"/>
            <w:tcBorders>
              <w:bottom w:val="single" w:sz="8" w:color="0000FF"/>
            </w:tcBorders>
            <w:gridSpan w:val="15"/>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Form of Restricted Stock Unit Award Agreement for Robert Locascio (incorporated by reference to Exhibit 10.13 to</w:t>
              </w:r>
            </w:hyperlink>
          </w:p>
        </w:tc>
        <w:tc>
          <w:tcPr>
            <w:tcW w:w="680" w:type="dxa"/>
            <w:vAlign w:val="bottom"/>
            <w:gridSpan w:val="22"/>
          </w:tcPr>
          <w:p>
            <w:pPr>
              <w:spacing w:after="0"/>
              <w:rPr>
                <w:sz w:val="18"/>
                <w:szCs w:val="18"/>
                <w:color w:val="auto"/>
              </w:rPr>
            </w:pPr>
          </w:p>
        </w:tc>
      </w:tr>
      <w:tr>
        <w:trPr>
          <w:trHeight w:val="156"/>
        </w:trPr>
        <w:tc>
          <w:tcPr>
            <w:tcW w:w="1540" w:type="dxa"/>
            <w:vAlign w:val="bottom"/>
          </w:tcPr>
          <w:p>
            <w:pPr>
              <w:spacing w:after="0"/>
              <w:rPr>
                <w:sz w:val="13"/>
                <w:szCs w:val="13"/>
                <w:color w:val="auto"/>
              </w:rPr>
            </w:pPr>
          </w:p>
        </w:tc>
        <w:tc>
          <w:tcPr>
            <w:tcW w:w="9060" w:type="dxa"/>
            <w:vAlign w:val="bottom"/>
            <w:gridSpan w:val="37"/>
          </w:tcPr>
          <w:p>
            <w:pPr>
              <w:spacing w:after="0" w:line="156"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LivePerson’s Annual Report on Form 10-K for the year ended December 31, 2017, filed on March 15, 2018 (File No. 000-</w:t>
              </w:r>
            </w:hyperlink>
          </w:p>
        </w:tc>
      </w:tr>
      <w:tr>
        <w:trPr>
          <w:trHeight w:val="156"/>
        </w:trPr>
        <w:tc>
          <w:tcPr>
            <w:tcW w:w="154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30141)</w:t>
              </w:r>
              <w:r>
                <w:rPr>
                  <w:rFonts w:ascii="Arial" w:cs="Arial" w:eastAsia="Arial" w:hAnsi="Arial"/>
                  <w:sz w:val="18"/>
                  <w:szCs w:val="18"/>
                  <w:u w:val="single" w:color="auto"/>
                  <w:color w:val="0000FF"/>
                  <w:w w:val="90"/>
                </w:rPr>
                <w:t>)</w:t>
              </w:r>
            </w:hyperlink>
          </w:p>
        </w:tc>
        <w:tc>
          <w:tcPr>
            <w:tcW w:w="6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2"/>
              </w:rPr>
              <w:t>10.13*</w:t>
            </w:r>
          </w:p>
        </w:tc>
        <w:tc>
          <w:tcPr>
            <w:tcW w:w="9060" w:type="dxa"/>
            <w:vAlign w:val="bottom"/>
            <w:gridSpan w:val="37"/>
          </w:tcPr>
          <w:p>
            <w:pPr>
              <w:spacing w:after="0"/>
              <w:rPr>
                <w:rFonts w:ascii="Arial" w:cs="Arial" w:eastAsia="Arial" w:hAnsi="Arial"/>
                <w:sz w:val="18"/>
                <w:szCs w:val="18"/>
                <w:color w:val="0000FF"/>
                <w:w w:val="95"/>
              </w:rPr>
            </w:pPr>
            <w:hyperlink r:id="rId167">
              <w:r>
                <w:rPr>
                  <w:rFonts w:ascii="Arial" w:cs="Arial" w:eastAsia="Arial" w:hAnsi="Arial"/>
                  <w:sz w:val="18"/>
                  <w:szCs w:val="18"/>
                  <w:color w:val="0000FF"/>
                  <w:w w:val="95"/>
                </w:rPr>
                <w:t>Inducement Plan dated January 19, 2018 (incorporated by reference to Exhibit 10.14 to LivePerson’s Annual Report on</w:t>
              </w:r>
            </w:hyperlink>
          </w:p>
        </w:tc>
      </w:tr>
      <w:tr>
        <w:trPr>
          <w:trHeight w:val="195"/>
        </w:trPr>
        <w:tc>
          <w:tcPr>
            <w:tcW w:w="1540" w:type="dxa"/>
            <w:vAlign w:val="bottom"/>
          </w:tcPr>
          <w:p>
            <w:pPr>
              <w:spacing w:after="0"/>
              <w:rPr>
                <w:sz w:val="16"/>
                <w:szCs w:val="16"/>
                <w:color w:val="auto"/>
              </w:rPr>
            </w:pPr>
          </w:p>
        </w:tc>
        <w:tc>
          <w:tcPr>
            <w:tcW w:w="8600" w:type="dxa"/>
            <w:vAlign w:val="bottom"/>
            <w:tcBorders>
              <w:top w:val="single" w:sz="8" w:color="0000FF"/>
            </w:tcBorders>
            <w:gridSpan w:val="18"/>
          </w:tcPr>
          <w:p>
            <w:pPr>
              <w:spacing w:after="0" w:line="195" w:lineRule="exact"/>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Form 10-K for the year ended December 31, 2017, filed on March 15, 2018 (File No. 000-30141))</w:t>
              </w:r>
            </w:hyperlink>
          </w:p>
        </w:tc>
        <w:tc>
          <w:tcPr>
            <w:tcW w:w="60" w:type="dxa"/>
            <w:vAlign w:val="bottom"/>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90"/>
        </w:trPr>
        <w:tc>
          <w:tcPr>
            <w:tcW w:w="1540" w:type="dxa"/>
            <w:vAlign w:val="bottom"/>
          </w:tcPr>
          <w:p>
            <w:pPr>
              <w:jc w:val="center"/>
              <w:ind w:right="970"/>
              <w:spacing w:after="0" w:line="190" w:lineRule="exact"/>
              <w:rPr>
                <w:sz w:val="20"/>
                <w:szCs w:val="20"/>
                <w:color w:val="auto"/>
              </w:rPr>
            </w:pPr>
            <w:r>
              <w:rPr>
                <w:rFonts w:ascii="Arial" w:cs="Arial" w:eastAsia="Arial" w:hAnsi="Arial"/>
                <w:sz w:val="18"/>
                <w:szCs w:val="18"/>
                <w:color w:val="auto"/>
                <w:w w:val="92"/>
              </w:rPr>
              <w:t>10.14*</w:t>
            </w:r>
          </w:p>
        </w:tc>
        <w:tc>
          <w:tcPr>
            <w:tcW w:w="9060" w:type="dxa"/>
            <w:vAlign w:val="bottom"/>
            <w:gridSpan w:val="37"/>
          </w:tcPr>
          <w:p>
            <w:pPr>
              <w:spacing w:after="0" w:line="190"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Amended Employment Agreement between LivePerson and Robert LoCascio, dated as of December 27, 2017 (incorporated</w:t>
              </w:r>
            </w:hyperlink>
          </w:p>
        </w:tc>
      </w:tr>
      <w:tr>
        <w:trPr>
          <w:trHeight w:val="155"/>
        </w:trPr>
        <w:tc>
          <w:tcPr>
            <w:tcW w:w="1540" w:type="dxa"/>
            <w:vAlign w:val="bottom"/>
          </w:tcPr>
          <w:p>
            <w:pPr>
              <w:spacing w:after="0"/>
              <w:rPr>
                <w:sz w:val="13"/>
                <w:szCs w:val="13"/>
                <w:color w:val="auto"/>
              </w:rPr>
            </w:pPr>
          </w:p>
        </w:tc>
        <w:tc>
          <w:tcPr>
            <w:tcW w:w="8980" w:type="dxa"/>
            <w:vAlign w:val="bottom"/>
            <w:tcBorders>
              <w:top w:val="single" w:sz="8" w:color="0000FF"/>
            </w:tcBorders>
            <w:gridSpan w:val="33"/>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by reference to Exhibit 10.15 to LivePerson’s Annual Report on Form 10-K for the year ended December 31, 2017, filed 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89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March 15, 2018 (File No. 000-30141))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2"/>
              </w:rPr>
              <w:t>10.15*</w:t>
            </w:r>
          </w:p>
        </w:tc>
        <w:tc>
          <w:tcPr>
            <w:tcW w:w="9060" w:type="dxa"/>
            <w:vAlign w:val="bottom"/>
            <w:gridSpan w:val="37"/>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Agreement between LivePerson and Alex Spinelli, dated as of January 12, 2018 (incorporated by reference to Exhibit 10.1</w:t>
              </w:r>
            </w:hyperlink>
          </w:p>
        </w:tc>
      </w:tr>
      <w:tr>
        <w:trPr>
          <w:trHeight w:val="156"/>
        </w:trPr>
        <w:tc>
          <w:tcPr>
            <w:tcW w:w="1540" w:type="dxa"/>
            <w:vAlign w:val="bottom"/>
          </w:tcPr>
          <w:p>
            <w:pPr>
              <w:spacing w:after="0"/>
              <w:rPr>
                <w:sz w:val="13"/>
                <w:szCs w:val="13"/>
                <w:color w:val="auto"/>
              </w:rPr>
            </w:pPr>
          </w:p>
        </w:tc>
        <w:tc>
          <w:tcPr>
            <w:tcW w:w="884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to LivePerson’s Quarterly Report on Form 10-Q for the quarter ended March 31, 2018, filed May 8, 2018 (File No. 000-</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30141)</w:t>
              </w:r>
              <w:r>
                <w:rPr>
                  <w:rFonts w:ascii="Arial" w:cs="Arial" w:eastAsia="Arial" w:hAnsi="Arial"/>
                  <w:sz w:val="18"/>
                  <w:szCs w:val="18"/>
                  <w:u w:val="single" w:color="auto"/>
                  <w:color w:val="0000FF"/>
                  <w:w w:val="90"/>
                </w:rPr>
                <w:t>)</w:t>
              </w:r>
            </w:hyperlink>
          </w:p>
        </w:tc>
        <w:tc>
          <w:tcPr>
            <w:tcW w:w="6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2"/>
              </w:rPr>
              <w:t>10.16*</w:t>
            </w:r>
          </w:p>
        </w:tc>
        <w:tc>
          <w:tcPr>
            <w:tcW w:w="9060" w:type="dxa"/>
            <w:vAlign w:val="bottom"/>
            <w:gridSpan w:val="37"/>
          </w:tcPr>
          <w:p>
            <w:pPr>
              <w:spacing w:after="0"/>
              <w:rPr>
                <w:rFonts w:ascii="Arial" w:cs="Arial" w:eastAsia="Arial" w:hAnsi="Arial"/>
                <w:sz w:val="18"/>
                <w:szCs w:val="18"/>
                <w:color w:val="0000FF"/>
                <w:w w:val="91"/>
              </w:rPr>
            </w:pPr>
            <w:hyperlink r:id="rId170">
              <w:r>
                <w:rPr>
                  <w:rFonts w:ascii="Arial" w:cs="Arial" w:eastAsia="Arial" w:hAnsi="Arial"/>
                  <w:sz w:val="18"/>
                  <w:szCs w:val="18"/>
                  <w:color w:val="0000FF"/>
                  <w:w w:val="91"/>
                </w:rPr>
                <w:t>Agreement between LivePerson and Chris Greiner, dated as of February 19, 2018 (incorporated by reference to Exhibit 10.2</w:t>
              </w:r>
            </w:hyperlink>
          </w:p>
        </w:tc>
      </w:tr>
      <w:tr>
        <w:trPr>
          <w:trHeight w:val="156"/>
        </w:trPr>
        <w:tc>
          <w:tcPr>
            <w:tcW w:w="1540" w:type="dxa"/>
            <w:vAlign w:val="bottom"/>
          </w:tcPr>
          <w:p>
            <w:pPr>
              <w:spacing w:after="0"/>
              <w:rPr>
                <w:sz w:val="13"/>
                <w:szCs w:val="13"/>
                <w:color w:val="auto"/>
              </w:rPr>
            </w:pPr>
          </w:p>
        </w:tc>
        <w:tc>
          <w:tcPr>
            <w:tcW w:w="9000" w:type="dxa"/>
            <w:vAlign w:val="bottom"/>
            <w:tcBorders>
              <w:top w:val="single" w:sz="8" w:color="0000FF"/>
            </w:tcBorders>
            <w:gridSpan w:val="34"/>
          </w:tcPr>
          <w:p>
            <w:pPr>
              <w:spacing w:after="0" w:line="156" w:lineRule="exact"/>
              <w:rPr>
                <w:rFonts w:ascii="Arial" w:cs="Arial" w:eastAsia="Arial" w:hAnsi="Arial"/>
                <w:sz w:val="18"/>
                <w:szCs w:val="18"/>
                <w:color w:val="0000FF"/>
                <w:w w:val="95"/>
              </w:rPr>
            </w:pPr>
            <w:hyperlink r:id="rId170">
              <w:r>
                <w:rPr>
                  <w:rFonts w:ascii="Arial" w:cs="Arial" w:eastAsia="Arial" w:hAnsi="Arial"/>
                  <w:sz w:val="18"/>
                  <w:szCs w:val="18"/>
                  <w:color w:val="0000FF"/>
                  <w:w w:val="95"/>
                </w:rPr>
                <w:t>to LivePerson’s Quarterly Report on Form 10-Q for the quarter ended March 31, 2018, filed May 8, 2018 (File No. 000-</w:t>
              </w:r>
            </w:hyperlink>
          </w:p>
        </w:tc>
        <w:tc>
          <w:tcPr>
            <w:tcW w:w="60" w:type="dxa"/>
            <w:vAlign w:val="bottom"/>
            <w:gridSpan w:val="3"/>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30141)</w:t>
              </w:r>
              <w:r>
                <w:rPr>
                  <w:rFonts w:ascii="Arial" w:cs="Arial" w:eastAsia="Arial" w:hAnsi="Arial"/>
                  <w:sz w:val="18"/>
                  <w:szCs w:val="18"/>
                  <w:u w:val="single" w:color="auto"/>
                  <w:color w:val="0000FF"/>
                  <w:w w:val="90"/>
                </w:rPr>
                <w:t>)</w:t>
              </w:r>
            </w:hyperlink>
          </w:p>
        </w:tc>
        <w:tc>
          <w:tcPr>
            <w:tcW w:w="6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2"/>
              </w:rPr>
              <w:t>10.17*</w:t>
            </w:r>
          </w:p>
        </w:tc>
        <w:tc>
          <w:tcPr>
            <w:tcW w:w="9060" w:type="dxa"/>
            <w:vAlign w:val="bottom"/>
            <w:gridSpan w:val="37"/>
          </w:tcPr>
          <w:p>
            <w:pPr>
              <w:spacing w:after="0"/>
              <w:rPr>
                <w:rFonts w:ascii="Arial" w:cs="Arial" w:eastAsia="Arial" w:hAnsi="Arial"/>
                <w:sz w:val="18"/>
                <w:szCs w:val="18"/>
                <w:color w:val="0000FF"/>
                <w:w w:val="93"/>
              </w:rPr>
            </w:pPr>
            <w:hyperlink r:id="rId171">
              <w:r>
                <w:rPr>
                  <w:rFonts w:ascii="Arial" w:cs="Arial" w:eastAsia="Arial" w:hAnsi="Arial"/>
                  <w:sz w:val="18"/>
                  <w:szCs w:val="18"/>
                  <w:color w:val="0000FF"/>
                  <w:w w:val="93"/>
                </w:rPr>
                <w:t>Long Term Incentive Plan dated July 31, 2018 (incorporated by reference to Exhibit 10.1 to LivePerson’s Quarterly Report</w:t>
              </w:r>
            </w:hyperlink>
          </w:p>
        </w:tc>
      </w:tr>
      <w:tr>
        <w:trPr>
          <w:trHeight w:val="155"/>
        </w:trPr>
        <w:tc>
          <w:tcPr>
            <w:tcW w:w="1540" w:type="dxa"/>
            <w:vAlign w:val="bottom"/>
          </w:tcPr>
          <w:p>
            <w:pPr>
              <w:spacing w:after="0"/>
              <w:rPr>
                <w:sz w:val="13"/>
                <w:szCs w:val="13"/>
                <w:color w:val="auto"/>
              </w:rPr>
            </w:pPr>
          </w:p>
        </w:tc>
        <w:tc>
          <w:tcPr>
            <w:tcW w:w="88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on Form 10-Q for the quarter ended June 30, 2018 filed on August 6, 2018 (File No. 000-30141))</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453"/>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2"/>
              </w:rPr>
              <w:t>10.18*</w:t>
            </w:r>
          </w:p>
        </w:tc>
        <w:tc>
          <w:tcPr>
            <w:tcW w:w="9060" w:type="dxa"/>
            <w:vAlign w:val="bottom"/>
            <w:gridSpan w:val="37"/>
          </w:tcPr>
          <w:p>
            <w:pPr>
              <w:spacing w:after="0"/>
              <w:rPr>
                <w:rFonts w:ascii="Arial" w:cs="Arial" w:eastAsia="Arial" w:hAnsi="Arial"/>
                <w:sz w:val="18"/>
                <w:szCs w:val="18"/>
                <w:color w:val="0000FF"/>
                <w:w w:val="92"/>
              </w:rPr>
            </w:pPr>
            <w:hyperlink r:id="rId172">
              <w:r>
                <w:rPr>
                  <w:rFonts w:ascii="Arial" w:cs="Arial" w:eastAsia="Arial" w:hAnsi="Arial"/>
                  <w:sz w:val="18"/>
                  <w:szCs w:val="18"/>
                  <w:color w:val="0000FF"/>
                  <w:w w:val="92"/>
                </w:rPr>
                <w:t>Separation Agreement General Release between LivePerson and Eran Vanounou, dated as of April 30, 2018 (incorporated</w:t>
              </w:r>
            </w:hyperlink>
          </w:p>
        </w:tc>
      </w:tr>
      <w:tr>
        <w:trPr>
          <w:trHeight w:val="155"/>
        </w:trPr>
        <w:tc>
          <w:tcPr>
            <w:tcW w:w="1540" w:type="dxa"/>
            <w:vAlign w:val="bottom"/>
          </w:tcPr>
          <w:p>
            <w:pPr>
              <w:spacing w:after="0"/>
              <w:rPr>
                <w:sz w:val="13"/>
                <w:szCs w:val="13"/>
                <w:color w:val="auto"/>
              </w:rPr>
            </w:pPr>
          </w:p>
        </w:tc>
        <w:tc>
          <w:tcPr>
            <w:tcW w:w="880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by reference to Exhibit 10.2 to LivePerson’s Quarterly Report on Form 10-Q for the quarter ended June 30, 2018, filed on</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87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August 6, 2018 (File No. 000-30141))</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453"/>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88"/>
              </w:rPr>
              <w:t>10.19</w:t>
            </w:r>
          </w:p>
        </w:tc>
        <w:tc>
          <w:tcPr>
            <w:tcW w:w="9060" w:type="dxa"/>
            <w:vAlign w:val="bottom"/>
            <w:gridSpan w:val="37"/>
          </w:tcPr>
          <w:p>
            <w:pPr>
              <w:spacing w:after="0"/>
              <w:rPr>
                <w:rFonts w:ascii="Arial" w:cs="Arial" w:eastAsia="Arial" w:hAnsi="Arial"/>
                <w:sz w:val="18"/>
                <w:szCs w:val="18"/>
                <w:color w:val="0000FF"/>
                <w:w w:val="92"/>
              </w:rPr>
            </w:pPr>
            <w:hyperlink r:id="rId173">
              <w:r>
                <w:rPr>
                  <w:rFonts w:ascii="Arial" w:cs="Arial" w:eastAsia="Arial" w:hAnsi="Arial"/>
                  <w:sz w:val="18"/>
                  <w:szCs w:val="18"/>
                  <w:color w:val="0000FF"/>
                  <w:w w:val="92"/>
                </w:rPr>
                <w:t>Form of Capped Call Transaction Confirmation relating to the 0.750% Convertible Senior Notes due 2024 (incorporated by</w:t>
              </w:r>
            </w:hyperlink>
          </w:p>
        </w:tc>
      </w:tr>
      <w:tr>
        <w:trPr>
          <w:trHeight w:val="155"/>
        </w:trPr>
        <w:tc>
          <w:tcPr>
            <w:tcW w:w="1540" w:type="dxa"/>
            <w:vAlign w:val="bottom"/>
          </w:tcPr>
          <w:p>
            <w:pPr>
              <w:spacing w:after="0"/>
              <w:rPr>
                <w:sz w:val="13"/>
                <w:szCs w:val="13"/>
                <w:color w:val="auto"/>
              </w:rPr>
            </w:pPr>
          </w:p>
        </w:tc>
        <w:tc>
          <w:tcPr>
            <w:tcW w:w="89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reference to Exhibit 10.1 to LivePerson’s Form 8-K filed on March 5, 2019 (000-30141))</w:t>
              </w:r>
            </w:hyperlink>
          </w:p>
        </w:tc>
        <w:tc>
          <w:tcPr>
            <w:tcW w:w="140" w:type="dxa"/>
            <w:vAlign w:val="bottom"/>
            <w:gridSpan w:val="7"/>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3840" w:type="dxa"/>
            <w:vAlign w:val="bottom"/>
            <w:gridSpan w:val="6"/>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453"/>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88"/>
              </w:rPr>
              <w:t>10.20</w:t>
            </w:r>
          </w:p>
        </w:tc>
        <w:tc>
          <w:tcPr>
            <w:tcW w:w="9060" w:type="dxa"/>
            <w:vAlign w:val="bottom"/>
            <w:gridSpan w:val="37"/>
          </w:tcPr>
          <w:p>
            <w:pPr>
              <w:spacing w:after="0"/>
              <w:rPr>
                <w:rFonts w:ascii="Arial" w:cs="Arial" w:eastAsia="Arial" w:hAnsi="Arial"/>
                <w:sz w:val="18"/>
                <w:szCs w:val="18"/>
                <w:color w:val="0000FF"/>
                <w:w w:val="98"/>
              </w:rPr>
            </w:pPr>
            <w:hyperlink r:id="rId174">
              <w:r>
                <w:rPr>
                  <w:rFonts w:ascii="Arial" w:cs="Arial" w:eastAsia="Arial" w:hAnsi="Arial"/>
                  <w:sz w:val="18"/>
                  <w:szCs w:val="18"/>
                  <w:color w:val="0000FF"/>
                  <w:w w:val="98"/>
                </w:rPr>
                <w:t>Form of Additional Capped Call Transaction Confirmation relating to the 0.750% Convertible Senior Notes due 2024</w:t>
              </w:r>
            </w:hyperlink>
          </w:p>
        </w:tc>
      </w:tr>
      <w:tr>
        <w:trPr>
          <w:trHeight w:val="224"/>
        </w:trPr>
        <w:tc>
          <w:tcPr>
            <w:tcW w:w="1540" w:type="dxa"/>
            <w:vAlign w:val="bottom"/>
          </w:tcPr>
          <w:p>
            <w:pPr>
              <w:spacing w:after="0"/>
              <w:rPr>
                <w:sz w:val="19"/>
                <w:szCs w:val="19"/>
                <w:color w:val="auto"/>
              </w:rPr>
            </w:pPr>
          </w:p>
        </w:tc>
        <w:tc>
          <w:tcPr>
            <w:tcW w:w="848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(incorporated by reference to Exhibit 10.1 to LivePerson’s Form 8-K filed on March 14, 2019 (000-30141))</w:t>
              </w:r>
            </w:hyperlink>
          </w:p>
        </w:tc>
        <w:tc>
          <w:tcPr>
            <w:tcW w:w="340" w:type="dxa"/>
            <w:vAlign w:val="bottom"/>
            <w:gridSpan w:val="9"/>
          </w:tcPr>
          <w:p>
            <w:pPr>
              <w:spacing w:after="0"/>
              <w:rPr>
                <w:sz w:val="19"/>
                <w:szCs w:val="19"/>
                <w:color w:val="auto"/>
              </w:rPr>
            </w:pPr>
          </w:p>
        </w:tc>
        <w:tc>
          <w:tcPr>
            <w:tcW w:w="240" w:type="dxa"/>
            <w:vAlign w:val="bottom"/>
            <w:gridSpan w:val="12"/>
          </w:tcPr>
          <w:p>
            <w:pPr>
              <w:spacing w:after="0"/>
              <w:rPr>
                <w:sz w:val="19"/>
                <w:szCs w:val="19"/>
                <w:color w:val="auto"/>
              </w:rPr>
            </w:pPr>
          </w:p>
        </w:tc>
      </w:tr>
      <w:tr>
        <w:trPr>
          <w:trHeight w:val="404"/>
        </w:trPr>
        <w:tc>
          <w:tcPr>
            <w:tcW w:w="1540" w:type="dxa"/>
            <w:vAlign w:val="bottom"/>
          </w:tcPr>
          <w:p>
            <w:pPr>
              <w:jc w:val="center"/>
              <w:ind w:right="970"/>
              <w:spacing w:after="0"/>
              <w:rPr>
                <w:sz w:val="20"/>
                <w:szCs w:val="20"/>
                <w:color w:val="auto"/>
              </w:rPr>
            </w:pPr>
            <w:r>
              <w:rPr>
                <w:rFonts w:ascii="Arial" w:cs="Arial" w:eastAsia="Arial" w:hAnsi="Arial"/>
                <w:sz w:val="18"/>
                <w:szCs w:val="18"/>
                <w:color w:val="auto"/>
                <w:w w:val="92"/>
              </w:rPr>
              <w:t>10.21*</w:t>
            </w:r>
          </w:p>
        </w:tc>
        <w:tc>
          <w:tcPr>
            <w:tcW w:w="9060" w:type="dxa"/>
            <w:vAlign w:val="bottom"/>
            <w:gridSpan w:val="37"/>
          </w:tcPr>
          <w:p>
            <w:pPr>
              <w:spacing w:after="0"/>
              <w:rPr>
                <w:rFonts w:ascii="Arial" w:cs="Arial" w:eastAsia="Arial" w:hAnsi="Arial"/>
                <w:sz w:val="18"/>
                <w:szCs w:val="18"/>
                <w:color w:val="0000FF"/>
                <w:w w:val="92"/>
              </w:rPr>
            </w:pPr>
            <w:hyperlink r:id="rId175">
              <w:r>
                <w:rPr>
                  <w:rFonts w:ascii="Arial" w:cs="Arial" w:eastAsia="Arial" w:hAnsi="Arial"/>
                  <w:sz w:val="18"/>
                  <w:szCs w:val="18"/>
                  <w:u w:val="single" w:color="auto"/>
                  <w:color w:val="0000FF"/>
                  <w:w w:val="92"/>
                </w:rPr>
                <w:t>Nonstatutory Stock Option Agreement, by and between LivePerson, Inc. and Robert P. LoCascio,</w:t>
              </w:r>
              <w:r>
                <w:rPr>
                  <w:rFonts w:ascii="Arial" w:cs="Arial" w:eastAsia="Arial" w:hAnsi="Arial"/>
                  <w:sz w:val="18"/>
                  <w:szCs w:val="18"/>
                  <w:color w:val="0000FF"/>
                  <w:w w:val="92"/>
                </w:rPr>
                <w:t xml:space="preserve"> dated as of February 21,</w:t>
              </w:r>
            </w:hyperlink>
          </w:p>
        </w:tc>
      </w:tr>
      <w:tr>
        <w:trPr>
          <w:trHeight w:val="20"/>
        </w:trPr>
        <w:tc>
          <w:tcPr>
            <w:tcW w:w="154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740" w:type="dxa"/>
            <w:vAlign w:val="bottom"/>
            <w:gridSpan w:val="13"/>
            <w:shd w:val="clear" w:color="auto" w:fill="0000FF"/>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156"/>
        </w:trPr>
        <w:tc>
          <w:tcPr>
            <w:tcW w:w="1540" w:type="dxa"/>
            <w:vAlign w:val="bottom"/>
          </w:tcPr>
          <w:p>
            <w:pPr>
              <w:spacing w:after="0"/>
              <w:rPr>
                <w:sz w:val="13"/>
                <w:szCs w:val="13"/>
                <w:color w:val="auto"/>
              </w:rPr>
            </w:pPr>
          </w:p>
        </w:tc>
        <w:tc>
          <w:tcPr>
            <w:tcW w:w="9060" w:type="dxa"/>
            <w:vAlign w:val="bottom"/>
            <w:gridSpan w:val="37"/>
          </w:tcPr>
          <w:p>
            <w:pPr>
              <w:spacing w:after="0" w:line="15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2019 (incorporated by reference to Exhibit 10.3 to LivePerson’s Quarterly Report on Form 10-Q for the quarter ended March</w:t>
              </w:r>
            </w:hyperlink>
          </w:p>
        </w:tc>
      </w:tr>
      <w:tr>
        <w:trPr>
          <w:trHeight w:val="155"/>
        </w:trPr>
        <w:tc>
          <w:tcPr>
            <w:tcW w:w="154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31, 2019, filed on May 7, 2019 (File No.000-30141))</w:t>
              </w:r>
            </w:hyperlink>
          </w:p>
        </w:tc>
        <w:tc>
          <w:tcPr>
            <w:tcW w:w="150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3680" w:type="dxa"/>
            <w:vAlign w:val="bottom"/>
            <w:tcBorders>
              <w:top w:val="single" w:sz="8" w:color="0000FF"/>
            </w:tcBorders>
            <w:gridSpan w:val="28"/>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560"/>
          </w:cols>
          <w:pgMar w:left="96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97790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60" w:top="1440" w:right="379" w:bottom="1440" w:gutter="0" w:footer="0" w:header="0"/>
          <w:type w:val="continuous"/>
        </w:sectPr>
      </w:pPr>
    </w:p>
    <w:bookmarkStart w:id="127" w:name="page128"/>
    <w:bookmarkEnd w:id="127"/>
    <w:p>
      <w:pPr>
        <w:spacing w:after="0" w:line="11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2"/>
              </w:rPr>
              <w:t>10.22*</w:t>
            </w:r>
          </w:p>
        </w:tc>
        <w:tc>
          <w:tcPr>
            <w:tcW w:w="9040" w:type="dxa"/>
            <w:vAlign w:val="bottom"/>
            <w:gridSpan w:val="19"/>
          </w:tcPr>
          <w:p>
            <w:pPr>
              <w:spacing w:after="0"/>
              <w:rPr>
                <w:rFonts w:ascii="Arial" w:cs="Arial" w:eastAsia="Arial" w:hAnsi="Arial"/>
                <w:sz w:val="18"/>
                <w:szCs w:val="18"/>
                <w:color w:val="0000FF"/>
                <w:w w:val="98"/>
              </w:rPr>
            </w:pPr>
            <w:hyperlink r:id="rId177">
              <w:r>
                <w:rPr>
                  <w:rFonts w:ascii="Arial" w:cs="Arial" w:eastAsia="Arial" w:hAnsi="Arial"/>
                  <w:sz w:val="18"/>
                  <w:szCs w:val="18"/>
                  <w:color w:val="0000FF"/>
                  <w:w w:val="98"/>
                </w:rPr>
                <w:t>2009 Stock Incentive Plan Restricted Stock Unit Award Agreement, by and between LivePerson, Inc.and Robert P.</w:t>
              </w:r>
            </w:hyperlink>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680" w:type="dxa"/>
            <w:vAlign w:val="bottom"/>
          </w:tcPr>
          <w:p>
            <w:pPr>
              <w:spacing w:after="0"/>
              <w:rPr>
                <w:sz w:val="13"/>
                <w:szCs w:val="13"/>
                <w:color w:val="auto"/>
              </w:rPr>
            </w:pPr>
          </w:p>
        </w:tc>
        <w:tc>
          <w:tcPr>
            <w:tcW w:w="9040" w:type="dxa"/>
            <w:vAlign w:val="bottom"/>
            <w:gridSpan w:val="19"/>
          </w:tcPr>
          <w:p>
            <w:pPr>
              <w:spacing w:after="0" w:line="156" w:lineRule="exact"/>
              <w:rPr>
                <w:rFonts w:ascii="Arial" w:cs="Arial" w:eastAsia="Arial" w:hAnsi="Arial"/>
                <w:sz w:val="18"/>
                <w:szCs w:val="18"/>
                <w:color w:val="0000FF"/>
                <w:w w:val="95"/>
              </w:rPr>
            </w:pPr>
            <w:hyperlink r:id="rId177">
              <w:r>
                <w:rPr>
                  <w:rFonts w:ascii="Arial" w:cs="Arial" w:eastAsia="Arial" w:hAnsi="Arial"/>
                  <w:sz w:val="18"/>
                  <w:szCs w:val="18"/>
                  <w:color w:val="0000FF"/>
                  <w:w w:val="95"/>
                </w:rPr>
                <w:t>LoCascio, dated as of February 21, 2019 (incorporated by reference to Exhibit 10.4 toLivePerson’s Quarterly Report on</w:t>
              </w:r>
            </w:hyperlink>
          </w:p>
        </w:tc>
      </w:tr>
      <w:tr>
        <w:trPr>
          <w:trHeight w:val="155"/>
        </w:trPr>
        <w:tc>
          <w:tcPr>
            <w:tcW w:w="1680" w:type="dxa"/>
            <w:vAlign w:val="bottom"/>
          </w:tcPr>
          <w:p>
            <w:pPr>
              <w:spacing w:after="0"/>
              <w:rPr>
                <w:sz w:val="13"/>
                <w:szCs w:val="13"/>
                <w:color w:val="auto"/>
              </w:rPr>
            </w:pPr>
          </w:p>
        </w:tc>
        <w:tc>
          <w:tcPr>
            <w:tcW w:w="86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Form 10-Q for the quarter ended March 31, 2019, filed on May 7,2019 (File No. 000-30141))</w:t>
              </w:r>
            </w:hyperlink>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2"/>
              </w:rPr>
              <w:t>10.23*</w:t>
            </w:r>
          </w:p>
        </w:tc>
        <w:tc>
          <w:tcPr>
            <w:tcW w:w="9040" w:type="dxa"/>
            <w:vAlign w:val="bottom"/>
            <w:gridSpan w:val="19"/>
          </w:tcPr>
          <w:p>
            <w:pPr>
              <w:spacing w:after="0"/>
              <w:rPr>
                <w:rFonts w:ascii="Arial" w:cs="Arial" w:eastAsia="Arial" w:hAnsi="Arial"/>
                <w:sz w:val="18"/>
                <w:szCs w:val="18"/>
                <w:color w:val="0000FF"/>
                <w:w w:val="99"/>
              </w:rPr>
            </w:pPr>
            <w:hyperlink r:id="rId178">
              <w:r>
                <w:rPr>
                  <w:rFonts w:ascii="Arial" w:cs="Arial" w:eastAsia="Arial" w:hAnsi="Arial"/>
                  <w:sz w:val="18"/>
                  <w:szCs w:val="18"/>
                  <w:color w:val="0000FF"/>
                  <w:w w:val="99"/>
                </w:rPr>
                <w:t>LivePerson, Inc. 2019 Stock Incentive Plan (incorporated by reference to Exhibit 99.1 to LivePerson’s Registration</w:t>
              </w:r>
            </w:hyperlink>
          </w:p>
        </w:tc>
      </w:tr>
      <w:tr>
        <w:trPr>
          <w:trHeight w:val="156"/>
        </w:trPr>
        <w:tc>
          <w:tcPr>
            <w:tcW w:w="1680" w:type="dxa"/>
            <w:vAlign w:val="bottom"/>
          </w:tcPr>
          <w:p>
            <w:pPr>
              <w:spacing w:after="0"/>
              <w:rPr>
                <w:sz w:val="13"/>
                <w:szCs w:val="13"/>
                <w:color w:val="auto"/>
              </w:rPr>
            </w:pPr>
          </w:p>
        </w:tc>
        <w:tc>
          <w:tcPr>
            <w:tcW w:w="83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Statement on Form S-8 filed on August 14, 2020 (File No. 333-245808))</w:t>
              </w:r>
            </w:hyperlink>
          </w:p>
        </w:tc>
        <w:tc>
          <w:tcPr>
            <w:tcW w:w="2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2"/>
              </w:rPr>
              <w:t>10.24*</w:t>
            </w:r>
          </w:p>
        </w:tc>
        <w:tc>
          <w:tcPr>
            <w:tcW w:w="9040" w:type="dxa"/>
            <w:vAlign w:val="bottom"/>
            <w:gridSpan w:val="19"/>
          </w:tcPr>
          <w:p>
            <w:pPr>
              <w:spacing w:after="0"/>
              <w:rPr>
                <w:rFonts w:ascii="Arial" w:cs="Arial" w:eastAsia="Arial" w:hAnsi="Arial"/>
                <w:sz w:val="18"/>
                <w:szCs w:val="18"/>
                <w:color w:val="0000FF"/>
              </w:rPr>
            </w:pPr>
            <w:hyperlink r:id="rId179">
              <w:r>
                <w:rPr>
                  <w:rFonts w:ascii="Arial" w:cs="Arial" w:eastAsia="Arial" w:hAnsi="Arial"/>
                  <w:sz w:val="18"/>
                  <w:szCs w:val="18"/>
                  <w:u w:val="single" w:color="auto"/>
                  <w:color w:val="0000FF"/>
                </w:rPr>
                <w:t>LivePerson, Inc. 2019 Employee Stock Purchase Plan (incorporated by reference to Exhibit 99.2 to</w:t>
              </w:r>
              <w:r>
                <w:rPr>
                  <w:rFonts w:ascii="Arial" w:cs="Arial" w:eastAsia="Arial" w:hAnsi="Arial"/>
                  <w:sz w:val="18"/>
                  <w:szCs w:val="18"/>
                  <w:color w:val="0000FF"/>
                </w:rPr>
                <w:t xml:space="preserve"> LivePerson’s</w:t>
              </w:r>
            </w:hyperlink>
          </w:p>
        </w:tc>
      </w:tr>
      <w:tr>
        <w:trPr>
          <w:trHeight w:val="155"/>
        </w:trPr>
        <w:tc>
          <w:tcPr>
            <w:tcW w:w="1680" w:type="dxa"/>
            <w:vAlign w:val="bottom"/>
          </w:tcPr>
          <w:p>
            <w:pPr>
              <w:spacing w:after="0"/>
              <w:rPr>
                <w:sz w:val="13"/>
                <w:szCs w:val="13"/>
                <w:color w:val="auto"/>
              </w:rPr>
            </w:pPr>
          </w:p>
        </w:tc>
        <w:tc>
          <w:tcPr>
            <w:tcW w:w="642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Registration Statement on Form S-8 filed on November 13, 2019 (File No. 333-234676))</w:t>
              </w:r>
            </w:hyperlink>
          </w:p>
        </w:tc>
        <w:tc>
          <w:tcPr>
            <w:tcW w:w="720" w:type="dxa"/>
            <w:vAlign w:val="bottom"/>
            <w:gridSpan w:val="2"/>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88"/>
              </w:rPr>
              <w:t>10.25</w:t>
            </w:r>
          </w:p>
        </w:tc>
        <w:tc>
          <w:tcPr>
            <w:tcW w:w="9040" w:type="dxa"/>
            <w:vAlign w:val="bottom"/>
            <w:gridSpan w:val="19"/>
          </w:tcPr>
          <w:p>
            <w:pPr>
              <w:spacing w:after="0"/>
              <w:rPr>
                <w:rFonts w:ascii="Arial" w:cs="Arial" w:eastAsia="Arial" w:hAnsi="Arial"/>
                <w:sz w:val="18"/>
                <w:szCs w:val="18"/>
                <w:color w:val="0000FF"/>
                <w:w w:val="91"/>
              </w:rPr>
            </w:pPr>
            <w:hyperlink r:id="rId180">
              <w:r>
                <w:rPr>
                  <w:rFonts w:ascii="Arial" w:cs="Arial" w:eastAsia="Arial" w:hAnsi="Arial"/>
                  <w:sz w:val="18"/>
                  <w:szCs w:val="18"/>
                  <w:color w:val="0000FF"/>
                  <w:w w:val="91"/>
                </w:rPr>
                <w:t>Form of Base Capped Call Transaction Confirmation relating to the 0% Convertible Senior Notes due 2026 (incorporated by</w:t>
              </w:r>
            </w:hyperlink>
          </w:p>
        </w:tc>
      </w:tr>
      <w:tr>
        <w:trPr>
          <w:trHeight w:val="195"/>
        </w:trPr>
        <w:tc>
          <w:tcPr>
            <w:tcW w:w="1680" w:type="dxa"/>
            <w:vAlign w:val="bottom"/>
          </w:tcPr>
          <w:p>
            <w:pPr>
              <w:spacing w:after="0"/>
              <w:rPr>
                <w:sz w:val="16"/>
                <w:szCs w:val="16"/>
                <w:color w:val="auto"/>
              </w:rPr>
            </w:pPr>
          </w:p>
        </w:tc>
        <w:tc>
          <w:tcPr>
            <w:tcW w:w="8980" w:type="dxa"/>
            <w:vAlign w:val="bottom"/>
            <w:tcBorders>
              <w:top w:val="single" w:sz="8" w:color="0000FF"/>
            </w:tcBorders>
            <w:gridSpan w:val="17"/>
          </w:tcPr>
          <w:p>
            <w:pPr>
              <w:spacing w:after="0" w:line="195" w:lineRule="exact"/>
              <w:rPr>
                <w:rFonts w:ascii="Arial" w:cs="Arial" w:eastAsia="Arial" w:hAnsi="Arial"/>
                <w:sz w:val="18"/>
                <w:szCs w:val="18"/>
                <w:u w:val="single" w:color="auto"/>
                <w:color w:val="0000FF"/>
                <w:w w:val="92"/>
              </w:rPr>
            </w:pPr>
            <w:hyperlink r:id="rId180">
              <w:r>
                <w:rPr>
                  <w:rFonts w:ascii="Arial" w:cs="Arial" w:eastAsia="Arial" w:hAnsi="Arial"/>
                  <w:sz w:val="18"/>
                  <w:szCs w:val="18"/>
                  <w:u w:val="single" w:color="auto"/>
                  <w:color w:val="0000FF"/>
                  <w:w w:val="92"/>
                </w:rPr>
                <w:t>reference to Exhibit 10.1 to LivePerson’s Current Report on Form 8-K/A filed on December 10, 2020 (File No. 000-30141))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680" w:type="dxa"/>
            <w:vAlign w:val="bottom"/>
          </w:tcPr>
          <w:p>
            <w:pPr>
              <w:jc w:val="center"/>
              <w:ind w:right="830"/>
              <w:spacing w:after="0" w:line="190" w:lineRule="exact"/>
              <w:rPr>
                <w:sz w:val="20"/>
                <w:szCs w:val="20"/>
                <w:color w:val="auto"/>
              </w:rPr>
            </w:pPr>
            <w:r>
              <w:rPr>
                <w:rFonts w:ascii="Arial" w:cs="Arial" w:eastAsia="Arial" w:hAnsi="Arial"/>
                <w:sz w:val="18"/>
                <w:szCs w:val="18"/>
                <w:color w:val="auto"/>
                <w:w w:val="88"/>
              </w:rPr>
              <w:t>10.26</w:t>
            </w:r>
          </w:p>
        </w:tc>
        <w:tc>
          <w:tcPr>
            <w:tcW w:w="9040" w:type="dxa"/>
            <w:vAlign w:val="bottom"/>
            <w:gridSpan w:val="19"/>
          </w:tcPr>
          <w:p>
            <w:pPr>
              <w:spacing w:after="0" w:line="190" w:lineRule="exact"/>
              <w:rPr>
                <w:rFonts w:ascii="Arial" w:cs="Arial" w:eastAsia="Arial" w:hAnsi="Arial"/>
                <w:sz w:val="18"/>
                <w:szCs w:val="18"/>
                <w:color w:val="0000FF"/>
              </w:rPr>
            </w:pPr>
            <w:hyperlink r:id="rId181">
              <w:r>
                <w:rPr>
                  <w:rFonts w:ascii="Arial" w:cs="Arial" w:eastAsia="Arial" w:hAnsi="Arial"/>
                  <w:sz w:val="18"/>
                  <w:szCs w:val="18"/>
                  <w:color w:val="0000FF"/>
                </w:rPr>
                <w:t>Form of Additional Capped Call Transaction Confirmation relating to the 0% Convertible Senior Notes due 2026</w:t>
              </w:r>
            </w:hyperlink>
          </w:p>
        </w:tc>
      </w:tr>
      <w:tr>
        <w:trPr>
          <w:trHeight w:val="156"/>
        </w:trPr>
        <w:tc>
          <w:tcPr>
            <w:tcW w:w="1680" w:type="dxa"/>
            <w:vAlign w:val="bottom"/>
          </w:tcPr>
          <w:p>
            <w:pPr>
              <w:spacing w:after="0"/>
              <w:rPr>
                <w:sz w:val="13"/>
                <w:szCs w:val="13"/>
                <w:color w:val="auto"/>
              </w:rPr>
            </w:pPr>
          </w:p>
        </w:tc>
        <w:tc>
          <w:tcPr>
            <w:tcW w:w="816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(incorporated by reference to Exhibit 10.2 to LivePerson’s Current Report on Form 8-K/A filed on December 10,</w:t>
              </w:r>
            </w:hyperlink>
          </w:p>
        </w:tc>
        <w:tc>
          <w:tcPr>
            <w:tcW w:w="880" w:type="dxa"/>
            <w:vAlign w:val="bottom"/>
            <w:gridSpan w:val="10"/>
          </w:tcPr>
          <w:p>
            <w:pPr>
              <w:ind w:left="40"/>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2020 (File</w:t>
              </w:r>
            </w:hyperlink>
          </w:p>
        </w:tc>
      </w:tr>
      <w:tr>
        <w:trPr>
          <w:trHeight w:val="155"/>
        </w:trPr>
        <w:tc>
          <w:tcPr>
            <w:tcW w:w="1680" w:type="dxa"/>
            <w:vAlign w:val="bottom"/>
          </w:tcPr>
          <w:p>
            <w:pPr>
              <w:spacing w:after="0"/>
              <w:rPr>
                <w:sz w:val="13"/>
                <w:szCs w:val="13"/>
                <w:color w:val="auto"/>
              </w:rPr>
            </w:pPr>
          </w:p>
        </w:tc>
        <w:tc>
          <w:tcPr>
            <w:tcW w:w="1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No. 000-30141))</w:t>
              </w:r>
            </w:hyperlink>
          </w:p>
        </w:tc>
        <w:tc>
          <w:tcPr>
            <w:tcW w:w="7720" w:type="dxa"/>
            <w:vAlign w:val="bottom"/>
            <w:tcBorders>
              <w:top w:val="single" w:sz="8" w:color="0000FF"/>
            </w:tcBorders>
            <w:gridSpan w:val="15"/>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1"/>
              </w:rPr>
              <w:t>21.1</w:t>
            </w:r>
          </w:p>
        </w:tc>
        <w:tc>
          <w:tcPr>
            <w:tcW w:w="9040" w:type="dxa"/>
            <w:vAlign w:val="bottom"/>
            <w:gridSpan w:val="19"/>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Subsidiaries</w:t>
              </w:r>
            </w:hyperlink>
          </w:p>
        </w:tc>
      </w:tr>
      <w:tr>
        <w:trPr>
          <w:trHeight w:val="338"/>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1"/>
              </w:rPr>
              <w:t>23.1</w:t>
            </w:r>
          </w:p>
        </w:tc>
        <w:tc>
          <w:tcPr>
            <w:tcW w:w="9040" w:type="dxa"/>
            <w:vAlign w:val="bottom"/>
            <w:gridSpan w:val="19"/>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Consent of BDO USA, LLP, an Independent Registered Public Accounting Firm</w:t>
              </w:r>
            </w:hyperlink>
          </w:p>
        </w:tc>
      </w:tr>
      <w:tr>
        <w:trPr>
          <w:trHeight w:val="540"/>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1"/>
              </w:rPr>
              <w:t>31.1</w:t>
            </w:r>
          </w:p>
        </w:tc>
        <w:tc>
          <w:tcPr>
            <w:tcW w:w="9040" w:type="dxa"/>
            <w:vAlign w:val="bottom"/>
            <w:gridSpan w:val="19"/>
          </w:tcPr>
          <w:p>
            <w:pPr>
              <w:spacing w:after="0"/>
              <w:rPr>
                <w:rFonts w:ascii="Arial" w:cs="Arial" w:eastAsia="Arial" w:hAnsi="Arial"/>
                <w:sz w:val="18"/>
                <w:szCs w:val="18"/>
                <w:color w:val="0000FF"/>
                <w:w w:val="91"/>
              </w:rPr>
            </w:pPr>
            <w:hyperlink w:anchor="page135">
              <w:r>
                <w:rPr>
                  <w:rFonts w:ascii="Arial" w:cs="Arial" w:eastAsia="Arial" w:hAnsi="Arial"/>
                  <w:sz w:val="18"/>
                  <w:szCs w:val="18"/>
                  <w:color w:val="0000FF"/>
                  <w:w w:val="91"/>
                </w:rPr>
                <w:t>Certification by Chief Executive Officer pursuant to Exchange Act Rule 13a-14(a), as adopted pursuant to Section 302 of the</w:t>
              </w:r>
            </w:hyperlink>
          </w:p>
        </w:tc>
      </w:tr>
      <w:tr>
        <w:trPr>
          <w:trHeight w:val="156"/>
        </w:trPr>
        <w:tc>
          <w:tcPr>
            <w:tcW w:w="168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35">
              <w:r>
                <w:rPr>
                  <w:rFonts w:ascii="Arial" w:cs="Arial" w:eastAsia="Arial" w:hAnsi="Arial"/>
                  <w:sz w:val="18"/>
                  <w:szCs w:val="18"/>
                  <w:color w:val="0000FF"/>
                  <w:w w:val="90"/>
                </w:rPr>
                <w:t>Sarbanes-Oxley Act of 2002</w:t>
              </w:r>
            </w:hyperlink>
          </w:p>
        </w:tc>
        <w:tc>
          <w:tcPr>
            <w:tcW w:w="69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1"/>
              </w:rPr>
              <w:t>31.2</w:t>
            </w:r>
          </w:p>
        </w:tc>
        <w:tc>
          <w:tcPr>
            <w:tcW w:w="9040" w:type="dxa"/>
            <w:vAlign w:val="bottom"/>
            <w:gridSpan w:val="19"/>
          </w:tcPr>
          <w:p>
            <w:pPr>
              <w:spacing w:after="0"/>
              <w:rPr>
                <w:rFonts w:ascii="Arial" w:cs="Arial" w:eastAsia="Arial" w:hAnsi="Arial"/>
                <w:sz w:val="18"/>
                <w:szCs w:val="18"/>
                <w:color w:val="0000FF"/>
                <w:w w:val="93"/>
              </w:rPr>
            </w:pPr>
            <w:hyperlink w:anchor="page136">
              <w:r>
                <w:rPr>
                  <w:rFonts w:ascii="Arial" w:cs="Arial" w:eastAsia="Arial" w:hAnsi="Arial"/>
                  <w:sz w:val="18"/>
                  <w:szCs w:val="18"/>
                  <w:color w:val="0000FF"/>
                  <w:w w:val="93"/>
                </w:rPr>
                <w:t>Certification by principal financial officer pursuant to Exchange Act Rule 13a-14(a), as adopted pursuant to Section 302 of</w:t>
              </w:r>
            </w:hyperlink>
          </w:p>
        </w:tc>
      </w:tr>
      <w:tr>
        <w:trPr>
          <w:trHeight w:val="156"/>
        </w:trPr>
        <w:tc>
          <w:tcPr>
            <w:tcW w:w="1680" w:type="dxa"/>
            <w:vAlign w:val="bottom"/>
          </w:tcPr>
          <w:p>
            <w:pPr>
              <w:spacing w:after="0"/>
              <w:rPr>
                <w:sz w:val="13"/>
                <w:szCs w:val="13"/>
                <w:color w:val="auto"/>
              </w:rPr>
            </w:pPr>
          </w:p>
        </w:tc>
        <w:tc>
          <w:tcPr>
            <w:tcW w:w="88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36">
              <w:r>
                <w:rPr>
                  <w:rFonts w:ascii="Arial" w:cs="Arial" w:eastAsia="Arial" w:hAnsi="Arial"/>
                  <w:sz w:val="18"/>
                  <w:szCs w:val="18"/>
                  <w:color w:val="0000FF"/>
                </w:rPr>
                <w:t>the Sarbanes-Oxley Act of 2002</w:t>
              </w:r>
            </w:hyperlink>
          </w:p>
        </w:tc>
        <w:tc>
          <w:tcPr>
            <w:tcW w:w="180" w:type="dxa"/>
            <w:vAlign w:val="bottom"/>
            <w:gridSpan w:val="4"/>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2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318"/>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7"/>
              </w:rPr>
              <w:t>32.1**</w:t>
            </w:r>
          </w:p>
        </w:tc>
        <w:tc>
          <w:tcPr>
            <w:tcW w:w="9040" w:type="dxa"/>
            <w:vAlign w:val="bottom"/>
            <w:gridSpan w:val="19"/>
          </w:tcPr>
          <w:p>
            <w:pPr>
              <w:spacing w:after="0"/>
              <w:rPr>
                <w:rFonts w:ascii="Arial" w:cs="Arial" w:eastAsia="Arial" w:hAnsi="Arial"/>
                <w:sz w:val="18"/>
                <w:szCs w:val="18"/>
                <w:color w:val="0000FF"/>
                <w:w w:val="96"/>
              </w:rPr>
            </w:pPr>
            <w:hyperlink w:anchor="page137">
              <w:r>
                <w:rPr>
                  <w:rFonts w:ascii="Arial" w:cs="Arial" w:eastAsia="Arial" w:hAnsi="Arial"/>
                  <w:sz w:val="18"/>
                  <w:szCs w:val="18"/>
                  <w:color w:val="0000FF"/>
                  <w:w w:val="96"/>
                </w:rPr>
                <w:t>Certification by Chief Executive Officer pursuant to 18 U.S.C. Section 1350, as adopted pursuant to Section 906 of the</w:t>
              </w:r>
            </w:hyperlink>
          </w:p>
        </w:tc>
      </w:tr>
      <w:tr>
        <w:trPr>
          <w:trHeight w:val="155"/>
        </w:trPr>
        <w:tc>
          <w:tcPr>
            <w:tcW w:w="168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37">
              <w:r>
                <w:rPr>
                  <w:rFonts w:ascii="Arial" w:cs="Arial" w:eastAsia="Arial" w:hAnsi="Arial"/>
                  <w:sz w:val="18"/>
                  <w:szCs w:val="18"/>
                  <w:color w:val="0000FF"/>
                  <w:w w:val="90"/>
                </w:rPr>
                <w:t>Sarbanes-Oxley Act of 2002</w:t>
              </w:r>
            </w:hyperlink>
          </w:p>
        </w:tc>
        <w:tc>
          <w:tcPr>
            <w:tcW w:w="6500" w:type="dxa"/>
            <w:vAlign w:val="bottom"/>
            <w:tcBorders>
              <w:top w:val="single" w:sz="8" w:color="0000FF"/>
            </w:tcBorders>
            <w:gridSpan w:val="10"/>
          </w:tcPr>
          <w:p>
            <w:pPr>
              <w:spacing w:after="0"/>
              <w:rPr>
                <w:sz w:val="13"/>
                <w:szCs w:val="13"/>
                <w:color w:val="auto"/>
              </w:rPr>
            </w:pPr>
          </w:p>
        </w:tc>
        <w:tc>
          <w:tcPr>
            <w:tcW w:w="120" w:type="dxa"/>
            <w:vAlign w:val="bottom"/>
            <w:gridSpan w:val="2"/>
          </w:tcPr>
          <w:p>
            <w:pPr>
              <w:spacing w:after="0"/>
              <w:rPr>
                <w:sz w:val="13"/>
                <w:szCs w:val="13"/>
                <w:color w:val="auto"/>
              </w:rPr>
            </w:pPr>
          </w:p>
        </w:tc>
        <w:tc>
          <w:tcPr>
            <w:tcW w:w="360" w:type="dxa"/>
            <w:vAlign w:val="bottom"/>
            <w:gridSpan w:val="5"/>
          </w:tcPr>
          <w:p>
            <w:pPr>
              <w:spacing w:after="0"/>
              <w:rPr>
                <w:sz w:val="13"/>
                <w:szCs w:val="13"/>
                <w:color w:val="auto"/>
              </w:rPr>
            </w:pPr>
          </w:p>
        </w:tc>
      </w:tr>
      <w:tr>
        <w:trPr>
          <w:trHeight w:val="318"/>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7"/>
              </w:rPr>
              <w:t>32.2**</w:t>
            </w:r>
          </w:p>
        </w:tc>
        <w:tc>
          <w:tcPr>
            <w:tcW w:w="9040" w:type="dxa"/>
            <w:vAlign w:val="bottom"/>
            <w:gridSpan w:val="19"/>
          </w:tcPr>
          <w:p>
            <w:pPr>
              <w:spacing w:after="0"/>
              <w:rPr>
                <w:rFonts w:ascii="Arial" w:cs="Arial" w:eastAsia="Arial" w:hAnsi="Arial"/>
                <w:sz w:val="18"/>
                <w:szCs w:val="18"/>
                <w:color w:val="0000FF"/>
                <w:w w:val="95"/>
              </w:rPr>
            </w:pPr>
            <w:hyperlink w:anchor="page138">
              <w:r>
                <w:rPr>
                  <w:rFonts w:ascii="Arial" w:cs="Arial" w:eastAsia="Arial" w:hAnsi="Arial"/>
                  <w:sz w:val="18"/>
                  <w:szCs w:val="18"/>
                  <w:color w:val="0000FF"/>
                  <w:w w:val="95"/>
                </w:rPr>
                <w:t>Certification by principal financial officer pursuant to 18 U.S.C. Section 1350, as adopted pursuant to Section 906 of the</w:t>
              </w:r>
            </w:hyperlink>
          </w:p>
        </w:tc>
      </w:tr>
      <w:tr>
        <w:trPr>
          <w:trHeight w:val="155"/>
        </w:trPr>
        <w:tc>
          <w:tcPr>
            <w:tcW w:w="168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38">
              <w:r>
                <w:rPr>
                  <w:rFonts w:ascii="Arial" w:cs="Arial" w:eastAsia="Arial" w:hAnsi="Arial"/>
                  <w:sz w:val="18"/>
                  <w:szCs w:val="18"/>
                  <w:color w:val="0000FF"/>
                  <w:w w:val="90"/>
                </w:rPr>
                <w:t>Sarbanes-Oxley Act of 2002</w:t>
              </w:r>
            </w:hyperlink>
          </w:p>
        </w:tc>
        <w:tc>
          <w:tcPr>
            <w:tcW w:w="6620" w:type="dxa"/>
            <w:vAlign w:val="bottom"/>
            <w:tcBorders>
              <w:top w:val="single" w:sz="8" w:color="0000FF"/>
            </w:tcBorders>
            <w:gridSpan w:val="12"/>
          </w:tcPr>
          <w:p>
            <w:pPr>
              <w:spacing w:after="0"/>
              <w:rPr>
                <w:sz w:val="13"/>
                <w:szCs w:val="13"/>
                <w:color w:val="auto"/>
              </w:rPr>
            </w:pPr>
          </w:p>
        </w:tc>
        <w:tc>
          <w:tcPr>
            <w:tcW w:w="360" w:type="dxa"/>
            <w:vAlign w:val="bottom"/>
            <w:gridSpan w:val="5"/>
          </w:tcPr>
          <w:p>
            <w:pPr>
              <w:spacing w:after="0"/>
              <w:rPr>
                <w:sz w:val="13"/>
                <w:szCs w:val="13"/>
                <w:color w:val="auto"/>
              </w:rPr>
            </w:pPr>
          </w:p>
        </w:tc>
      </w:tr>
      <w:tr>
        <w:trPr>
          <w:trHeight w:val="304"/>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0"/>
              </w:rPr>
              <w:t>101.INS†</w:t>
            </w:r>
          </w:p>
        </w:tc>
        <w:tc>
          <w:tcPr>
            <w:tcW w:w="9040" w:type="dxa"/>
            <w:vAlign w:val="bottom"/>
            <w:gridSpan w:val="19"/>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w:t>
            </w:r>
          </w:p>
        </w:tc>
      </w:tr>
      <w:tr>
        <w:trPr>
          <w:trHeight w:val="230"/>
        </w:trPr>
        <w:tc>
          <w:tcPr>
            <w:tcW w:w="1680" w:type="dxa"/>
            <w:vAlign w:val="bottom"/>
          </w:tcPr>
          <w:p>
            <w:pPr>
              <w:spacing w:after="0"/>
              <w:rPr>
                <w:sz w:val="20"/>
                <w:szCs w:val="20"/>
                <w:color w:val="auto"/>
              </w:rPr>
            </w:pPr>
          </w:p>
        </w:tc>
        <w:tc>
          <w:tcPr>
            <w:tcW w:w="9040" w:type="dxa"/>
            <w:vAlign w:val="bottom"/>
            <w:gridSpan w:val="19"/>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337"/>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1"/>
              </w:rPr>
              <w:t>101.SCH†</w:t>
            </w:r>
          </w:p>
        </w:tc>
        <w:tc>
          <w:tcPr>
            <w:tcW w:w="904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4"/>
              </w:rPr>
              <w:t>101.CAL†</w:t>
            </w:r>
          </w:p>
        </w:tc>
        <w:tc>
          <w:tcPr>
            <w:tcW w:w="904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3"/>
              </w:rPr>
              <w:t>101.DEF†</w:t>
            </w:r>
          </w:p>
        </w:tc>
        <w:tc>
          <w:tcPr>
            <w:tcW w:w="904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96"/>
              </w:rPr>
              <w:t>101.LAB†</w:t>
            </w:r>
          </w:p>
        </w:tc>
        <w:tc>
          <w:tcPr>
            <w:tcW w:w="904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680" w:type="dxa"/>
            <w:vAlign w:val="bottom"/>
          </w:tcPr>
          <w:p>
            <w:pPr>
              <w:jc w:val="center"/>
              <w:ind w:right="830"/>
              <w:spacing w:after="0"/>
              <w:rPr>
                <w:sz w:val="20"/>
                <w:szCs w:val="20"/>
                <w:color w:val="auto"/>
              </w:rPr>
            </w:pPr>
            <w:r>
              <w:rPr>
                <w:rFonts w:ascii="Arial" w:cs="Arial" w:eastAsia="Arial" w:hAnsi="Arial"/>
                <w:sz w:val="18"/>
                <w:szCs w:val="18"/>
                <w:color w:val="auto"/>
                <w:w w:val="87"/>
              </w:rPr>
              <w:t>101.PRE†</w:t>
            </w:r>
          </w:p>
        </w:tc>
        <w:tc>
          <w:tcPr>
            <w:tcW w:w="904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2180" w:hanging="1436"/>
        <w:spacing w:after="0"/>
        <w:tabs>
          <w:tab w:leader="none" w:pos="2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117" w:lineRule="exact"/>
        <w:rPr>
          <w:rFonts w:ascii="Arial" w:cs="Arial" w:eastAsia="Arial" w:hAnsi="Arial"/>
          <w:sz w:val="18"/>
          <w:szCs w:val="18"/>
          <w:color w:val="auto"/>
        </w:rPr>
      </w:pPr>
    </w:p>
    <w:p>
      <w:pPr>
        <w:ind w:left="340" w:right="180" w:hanging="332"/>
        <w:spacing w:after="0" w:line="342" w:lineRule="auto"/>
        <w:tabs>
          <w:tab w:leader="none" w:pos="37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accompany the Annual Report on Form 10-K pursuant to Section 906 of the Sarbanes-Oxley Act of 2002 and shall not be deemed “filed” by the Company for purposes of Section 18 of the Securities Exchange Act of 1934, as amended.</w:t>
      </w:r>
    </w:p>
    <w:p>
      <w:pPr>
        <w:spacing w:after="0" w:line="16" w:lineRule="exact"/>
        <w:rPr>
          <w:sz w:val="20"/>
          <w:szCs w:val="20"/>
          <w:color w:val="auto"/>
        </w:rPr>
      </w:pPr>
    </w:p>
    <w:p>
      <w:pPr>
        <w:ind w:left="340" w:hanging="332"/>
        <w:spacing w:after="0" w:line="293" w:lineRule="auto"/>
        <w:tabs>
          <w:tab w:leader="none" w:pos="286" w:val="left"/>
        </w:tabs>
        <w:numPr>
          <w:ilvl w:val="0"/>
          <w:numId w:val="63"/>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the Registrant is deemed to have complied with the reporting obligation relating to the submission of interactive data files in such exhibits and is not subject to liability under any anti-fraud provisions of the federal securities laws as long as the Registrant has made a good faith attempt to comply with the submission requirements and promptly amends the interactive data files after becoming aware that the interactive data files fail to comply with the submission requirements. These interactive data files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1440" w:right="379" w:bottom="1440" w:gutter="0" w:footer="0" w:header="0"/>
        </w:sectPr>
      </w:pPr>
    </w:p>
    <w:bookmarkStart w:id="128" w:name="page129"/>
    <w:bookmarkEnd w:id="128"/>
    <w:p>
      <w:pPr>
        <w:ind w:left="2220"/>
        <w:spacing w:after="0"/>
        <w:rPr>
          <w:sz w:val="20"/>
          <w:szCs w:val="20"/>
          <w:color w:val="auto"/>
        </w:rPr>
      </w:pPr>
      <w:r>
        <w:rPr>
          <w:rFonts w:ascii="Arial" w:cs="Arial" w:eastAsia="Arial" w:hAnsi="Arial"/>
          <w:sz w:val="18"/>
          <w:szCs w:val="18"/>
          <w:u w:val="single" w:color="auto"/>
          <w:color w:val="auto"/>
        </w:rPr>
        <w:t>Exhibit 4.5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the Registrant’s Securities Registered Pursuant to Section 12 of the Securities Exchange Act of 1934</w:t>
      </w:r>
    </w:p>
    <w:p>
      <w:pPr>
        <w:spacing w:after="0" w:line="26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Our common stock, par value $0.001 per share, is registered under Section 12 of the Securities Exchange Act of 1934, as amended, and listed on the Nasdaq Global Select Market under the symbol “LPSN”.</w:t>
      </w:r>
    </w:p>
    <w:p>
      <w:pPr>
        <w:spacing w:after="0" w:line="204"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i w:val="1"/>
          <w:iCs w:val="1"/>
          <w:color w:val="auto"/>
        </w:rPr>
        <w:t>The following is a description of our capital stock and the material provisions of our amended and restated certificate of incorporation, as amended, and amended and restated bylaws. The following is only a summary and is qualified by applicable law and by the provisions of our amended and restated certificate of incorporation, as amended, and our amended and restated bylaws.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Our authorized capital stock consists of 200,000,000 shares of common stock, par value $0.001 per share, and 5,000,000 shares of preferred stock, par value $0.001 per share.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49" w:lineRule="exact"/>
        <w:rPr>
          <w:sz w:val="20"/>
          <w:szCs w:val="20"/>
          <w:color w:val="auto"/>
        </w:rPr>
      </w:pPr>
    </w:p>
    <w:p>
      <w:pPr>
        <w:ind w:right="380"/>
        <w:spacing w:after="0" w:line="316" w:lineRule="auto"/>
        <w:rPr>
          <w:sz w:val="20"/>
          <w:szCs w:val="20"/>
          <w:color w:val="auto"/>
        </w:rPr>
      </w:pPr>
      <w:r>
        <w:rPr>
          <w:rFonts w:ascii="Arial" w:cs="Arial" w:eastAsia="Arial" w:hAnsi="Arial"/>
          <w:sz w:val="18"/>
          <w:szCs w:val="18"/>
          <w:color w:val="auto"/>
        </w:rPr>
        <w:t>As of February 26, 2021, there were [67,784,058] shares of our common stock outstanding held of record by [120] stockholders, without giving effect to the conversion, if any, of our Convertible Senior Notes due 2024 and our Convertible Senior Notes due 2026.</w:t>
      </w:r>
    </w:p>
    <w:p>
      <w:pPr>
        <w:spacing w:after="0" w:line="15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i w:val="1"/>
          <w:iCs w:val="1"/>
          <w:color w:val="auto"/>
        </w:rPr>
        <w:t>Voting Rights</w:t>
      </w:r>
      <w:r>
        <w:rPr>
          <w:rFonts w:ascii="Arial" w:cs="Arial" w:eastAsia="Arial" w:hAnsi="Arial"/>
          <w:sz w:val="20"/>
          <w:szCs w:val="20"/>
          <w:color w:val="auto"/>
        </w:rPr>
        <w:t>. Holders of common stock are entitled to one vote for each share held on all matters submitted to a vote of stockholders and do</w:t>
      </w:r>
      <w:r>
        <w:rPr>
          <w:rFonts w:ascii="Arial" w:cs="Arial" w:eastAsia="Arial" w:hAnsi="Arial"/>
          <w:sz w:val="20"/>
          <w:szCs w:val="20"/>
          <w:i w:val="1"/>
          <w:iCs w:val="1"/>
          <w:color w:val="auto"/>
        </w:rPr>
        <w:t xml:space="preserve"> </w:t>
      </w:r>
      <w:r>
        <w:rPr>
          <w:rFonts w:ascii="Arial" w:cs="Arial" w:eastAsia="Arial" w:hAnsi="Arial"/>
          <w:sz w:val="20"/>
          <w:szCs w:val="20"/>
          <w:color w:val="auto"/>
        </w:rPr>
        <w:t>not have cumulative voting rights. Accordingly, holders of a majority of the shares of common stock entitled to vote in any election of directors may elect all of the directors standing for election.</w:t>
      </w:r>
    </w:p>
    <w:p>
      <w:pPr>
        <w:spacing w:after="0" w:line="213" w:lineRule="exact"/>
        <w:rPr>
          <w:sz w:val="20"/>
          <w:szCs w:val="20"/>
          <w:color w:val="auto"/>
        </w:rPr>
      </w:pPr>
    </w:p>
    <w:p>
      <w:pPr>
        <w:ind w:right="720"/>
        <w:spacing w:after="0" w:line="316"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common stock are entitled to receive ratably those dividends, if any, as may be declared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out of funds legally available therefor, subject to any preferential dividend rights of any outstanding preferred stock.</w:t>
      </w:r>
    </w:p>
    <w:p>
      <w:pPr>
        <w:spacing w:after="0" w:line="15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i w:val="1"/>
          <w:iCs w:val="1"/>
          <w:color w:val="auto"/>
        </w:rPr>
        <w:t>Right to Receive Liquidation Distributions</w:t>
      </w:r>
      <w:r>
        <w:rPr>
          <w:rFonts w:ascii="Arial" w:cs="Arial" w:eastAsia="Arial" w:hAnsi="Arial"/>
          <w:sz w:val="20"/>
          <w:szCs w:val="20"/>
          <w:color w:val="auto"/>
        </w:rPr>
        <w:t>. Upon our liquidation, dissolution or winding up, our common stockholders are entitled to receive</w:t>
      </w:r>
      <w:r>
        <w:rPr>
          <w:rFonts w:ascii="Arial" w:cs="Arial" w:eastAsia="Arial" w:hAnsi="Arial"/>
          <w:sz w:val="20"/>
          <w:szCs w:val="20"/>
          <w:i w:val="1"/>
          <w:iCs w:val="1"/>
          <w:color w:val="auto"/>
        </w:rPr>
        <w:t xml:space="preserve"> </w:t>
      </w:r>
      <w:r>
        <w:rPr>
          <w:rFonts w:ascii="Arial" w:cs="Arial" w:eastAsia="Arial" w:hAnsi="Arial"/>
          <w:sz w:val="20"/>
          <w:szCs w:val="20"/>
          <w:color w:val="auto"/>
        </w:rPr>
        <w:t>ratably our net assets available, if any, after the payment of all debts and other liabilities and subject to the prior rights of any outstanding preferred stock.</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Assessability</w:t>
      </w:r>
      <w:r>
        <w:rPr>
          <w:rFonts w:ascii="Arial" w:cs="Arial" w:eastAsia="Arial" w:hAnsi="Arial"/>
          <w:sz w:val="20"/>
          <w:szCs w:val="20"/>
          <w:color w:val="auto"/>
        </w:rPr>
        <w:t>. The outstanding shares of our common stock are fully paid and nonassessable.</w:t>
      </w:r>
    </w:p>
    <w:p>
      <w:pPr>
        <w:spacing w:after="0" w:line="24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i w:val="1"/>
          <w:iCs w:val="1"/>
          <w:color w:val="auto"/>
        </w:rPr>
        <w:t>Other Rights</w:t>
      </w:r>
      <w:r>
        <w:rPr>
          <w:rFonts w:ascii="Arial" w:cs="Arial" w:eastAsia="Arial" w:hAnsi="Arial"/>
          <w:sz w:val="20"/>
          <w:szCs w:val="20"/>
          <w:color w:val="auto"/>
        </w:rPr>
        <w:t>. Holders of our common stock have no preemptive, subscription, redemption or conversion rights. The rights, preferences and</w:t>
      </w:r>
      <w:r>
        <w:rPr>
          <w:rFonts w:ascii="Arial" w:cs="Arial" w:eastAsia="Arial" w:hAnsi="Arial"/>
          <w:sz w:val="20"/>
          <w:szCs w:val="20"/>
          <w:i w:val="1"/>
          <w:iCs w:val="1"/>
          <w:color w:val="auto"/>
        </w:rPr>
        <w:t xml:space="preserve"> </w:t>
      </w:r>
      <w:r>
        <w:rPr>
          <w:rFonts w:ascii="Arial" w:cs="Arial" w:eastAsia="Arial" w:hAnsi="Arial"/>
          <w:sz w:val="20"/>
          <w:szCs w:val="20"/>
          <w:color w:val="auto"/>
        </w:rPr>
        <w:t>privileges of holders of common stock are subject to, and may be adversely affected by, the rights of the holders of shares of any series of preferred stock which we may designate and issue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4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There are no shares of preferred stock outstanding. Our board of directors is authorized, without further stockholder approval, to issue from time to time up to an aggregate of 5,000,000 shares of preferred stock in one or more series and to fix or alter the designations, preferences, rights and any qualifications, limitations or restrictions of the shares of each series thereof, including the dividend rights, dividend rates, conversion rights, voting rights, terms of redemption, including sinking fund provisions, redemption price or prices, liquidation preferences and the number of shares constituting any series or designation of series. The issuance of preferred stock could decrease the amount of earnings and assets available for distribution to holders of common stock or adversely affect the rights and powers, including voting rights, of the holders of common stock. Such issuance could also have the effect of delaying, deferring or preventing a change in control of our company.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OPTIONS</w:t>
      </w:r>
    </w:p>
    <w:p>
      <w:pPr>
        <w:sectPr>
          <w:pgSz w:w="11900" w:h="16838" w:orient="portrait"/>
          <w:cols w:equalWidth="0" w:num="1">
            <w:col w:w="11220"/>
          </w:cols>
          <w:pgMar w:left="320" w:top="125" w:right="359" w:bottom="1440" w:gutter="0" w:footer="0" w:header="0"/>
        </w:sectPr>
      </w:pPr>
    </w:p>
    <w:bookmarkStart w:id="129" w:name="page130"/>
    <w:bookmarkEnd w:id="129"/>
    <w:p>
      <w:pPr>
        <w:ind w:left="2220"/>
        <w:spacing w:after="0"/>
        <w:rPr>
          <w:sz w:val="20"/>
          <w:szCs w:val="20"/>
          <w:color w:val="auto"/>
        </w:rPr>
      </w:pPr>
      <w:r>
        <w:rPr>
          <w:rFonts w:ascii="Arial" w:cs="Arial" w:eastAsia="Arial" w:hAnsi="Arial"/>
          <w:sz w:val="18"/>
          <w:szCs w:val="18"/>
          <w:u w:val="single" w:color="auto"/>
          <w:color w:val="auto"/>
        </w:rPr>
        <w:t>Exhibit 4.5</w:t>
      </w:r>
    </w:p>
    <w:p>
      <w:pPr>
        <w:spacing w:after="0" w:line="200" w:lineRule="exact"/>
        <w:rPr>
          <w:sz w:val="20"/>
          <w:szCs w:val="20"/>
          <w:color w:val="auto"/>
        </w:rPr>
      </w:pPr>
    </w:p>
    <w:p>
      <w:pPr>
        <w:spacing w:after="0" w:line="360"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We have 4,568,770 shares of our common stock reserved for issuance, upon exercise of stock options, under our 2000 Stock Incentive Plan, 2018 Inducement Plan and 2019 Stock Incentive Plan. As of February 26, 2021, there were outstanding options to purchase a total of 4,330,686 shares of common stock, of which options to purchase approximately 2,279,951 are currently exercisable.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LIABILITY</w:t>
      </w:r>
    </w:p>
    <w:p>
      <w:pPr>
        <w:spacing w:after="0" w:line="24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Our amended and restated certificate of incorporation, as amended, limits or eliminates the liability of our directors to us or our stockholders for monetary damage to the fullest extent permitted by the Delaware General Corporation Law. As permitted by the Delaware General Corporation Law, our amended and restated certificate of incorporation, as amended, provides that our directors shall not be personally liable to us or our stockholders for monetary damages for a breach of fiduciary duty as a director, except for liability:</w:t>
      </w:r>
    </w:p>
    <w:p>
      <w:pPr>
        <w:spacing w:after="0" w:line="188"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20"/>
          <w:szCs w:val="20"/>
          <w:color w:val="auto"/>
        </w:rPr>
        <w:t>for any breach of such person’s duty of loyalty to us or our stockholders;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20"/>
          <w:szCs w:val="20"/>
          <w:color w:val="auto"/>
        </w:rPr>
        <w:t>for acts or omissions not in good faith or involving intentional misconduct or a knowing violation of law;</w:t>
      </w:r>
    </w:p>
    <w:p>
      <w:pPr>
        <w:ind w:left="660" w:hanging="328"/>
        <w:spacing w:after="0" w:line="239"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20"/>
          <w:szCs w:val="20"/>
          <w:color w:val="auto"/>
        </w:rPr>
        <w:t>for payment of dividends or approval of stock repurchases or redemptions that are prohibited by Section 174 of the Delaware General Corporation Law; and</w:t>
      </w: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20"/>
          <w:szCs w:val="20"/>
          <w:color w:val="auto"/>
        </w:rPr>
        <w:t>for any transaction resulting in receipt by such person of an improper personal benefit.</w:t>
      </w:r>
    </w:p>
    <w:p>
      <w:pPr>
        <w:spacing w:after="0" w:line="227"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Our amended and restated certificate of incorporation, as amended, also contains provisions indemnifying our directors and officers to the fullest extent permitted by the Delaware General Corporation Law. We currently have directors’ and officers’ liability insurance to provide our directors and officers with insurance coverage for losses arising from claims based on breaches of duty, negligence, errors and other wrongful acts.</w:t>
      </w:r>
    </w:p>
    <w:p>
      <w:pPr>
        <w:spacing w:after="0" w:line="3"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We have also entered into agreements to indemnify our directors and executive officers, in addition to the indemnification provided for in our amended and restated certificate of incorporation, as amended. We believe that these agreements are necessary to attract and retain qualified directors and executive officers.</w:t>
      </w:r>
    </w:p>
    <w:p>
      <w:pPr>
        <w:spacing w:after="0" w:line="217" w:lineRule="exact"/>
        <w:rPr>
          <w:sz w:val="20"/>
          <w:szCs w:val="20"/>
          <w:color w:val="auto"/>
        </w:rPr>
      </w:pPr>
    </w:p>
    <w:p>
      <w:pPr>
        <w:jc w:val="both"/>
        <w:ind w:right="80"/>
        <w:spacing w:after="0" w:line="267" w:lineRule="auto"/>
        <w:rPr>
          <w:sz w:val="20"/>
          <w:szCs w:val="20"/>
          <w:color w:val="auto"/>
        </w:rPr>
      </w:pPr>
      <w:r>
        <w:rPr>
          <w:rFonts w:ascii="Arial" w:cs="Arial" w:eastAsia="Arial" w:hAnsi="Arial"/>
          <w:sz w:val="20"/>
          <w:szCs w:val="20"/>
          <w:b w:val="1"/>
          <w:bCs w:val="1"/>
          <w:color w:val="auto"/>
        </w:rPr>
        <w:t>ANTI-TAKEOVER EFFECTS OF PROVISIONS OF DELAWARE LAW AND OUR CERTIFICATE OF INCORPORATION AND BYLAWS</w:t>
      </w:r>
    </w:p>
    <w:p>
      <w:pPr>
        <w:spacing w:after="0" w:line="196" w:lineRule="exact"/>
        <w:rPr>
          <w:sz w:val="20"/>
          <w:szCs w:val="20"/>
          <w:color w:val="auto"/>
        </w:rPr>
      </w:pPr>
    </w:p>
    <w:p>
      <w:pPr>
        <w:jc w:val="both"/>
        <w:ind w:right="60"/>
        <w:spacing w:after="0" w:line="269" w:lineRule="auto"/>
        <w:rPr>
          <w:sz w:val="20"/>
          <w:szCs w:val="20"/>
          <w:color w:val="auto"/>
        </w:rPr>
      </w:pPr>
      <w:r>
        <w:rPr>
          <w:rFonts w:ascii="Arial" w:cs="Arial" w:eastAsia="Arial" w:hAnsi="Arial"/>
          <w:sz w:val="19"/>
          <w:szCs w:val="19"/>
          <w:color w:val="auto"/>
        </w:rPr>
        <w:t>We are subject to the provisions of Section 203 of the Delaware General Corporation Law. Subject to some exceptions,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197" w:lineRule="exact"/>
        <w:rPr>
          <w:sz w:val="20"/>
          <w:szCs w:val="20"/>
          <w:color w:val="auto"/>
        </w:rPr>
      </w:pPr>
    </w:p>
    <w:p>
      <w:pPr>
        <w:ind w:left="660" w:right="160" w:hanging="328"/>
        <w:spacing w:after="0" w:line="24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20"/>
          <w:szCs w:val="20"/>
          <w:color w:val="auto"/>
        </w:rPr>
        <w:t>prior to such date, the board of directors of the corporation approved either the business combination or the transaction that resulted in the stockholder becoming an interested stockholder;</w:t>
      </w:r>
    </w:p>
    <w:p>
      <w:pPr>
        <w:spacing w:after="0" w:line="1" w:lineRule="exact"/>
        <w:rPr>
          <w:rFonts w:ascii="Arial" w:cs="Arial" w:eastAsia="Arial" w:hAnsi="Arial"/>
          <w:sz w:val="18"/>
          <w:szCs w:val="18"/>
          <w:color w:val="auto"/>
        </w:rPr>
      </w:pPr>
    </w:p>
    <w:p>
      <w:pPr>
        <w:ind w:left="660" w:right="80" w:hanging="328"/>
        <w:spacing w:after="0" w:line="239"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20"/>
          <w:szCs w:val="20"/>
          <w:color w:val="auto"/>
        </w:rPr>
        <w:t>upon consummation of the transaction that resulted in the stockholder becoming an interested stockholder, the interested stockholder owned at least 85% of the voting stock of the corporation outstanding at the time the transaction commenced (excluding certain shares); or</w:t>
      </w:r>
    </w:p>
    <w:p>
      <w:pPr>
        <w:spacing w:after="0" w:line="1" w:lineRule="exact"/>
        <w:rPr>
          <w:rFonts w:ascii="Arial" w:cs="Arial" w:eastAsia="Arial" w:hAnsi="Arial"/>
          <w:sz w:val="18"/>
          <w:szCs w:val="18"/>
          <w:color w:val="auto"/>
        </w:rPr>
      </w:pPr>
    </w:p>
    <w:p>
      <w:pPr>
        <w:jc w:val="both"/>
        <w:ind w:left="660" w:right="80" w:hanging="328"/>
        <w:spacing w:after="0" w:line="24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20"/>
          <w:szCs w:val="20"/>
          <w:color w:val="auto"/>
        </w:rPr>
        <w:t>on or subsequent to such date, the business combination is approved by the board of directors of the corporation and authorized at an annual or special meeting of stockholders by the affirmative vote of a least 66.67% of the outstanding voting stock that is not owned by the interested stockholder.</w:t>
      </w:r>
    </w:p>
    <w:p>
      <w:pPr>
        <w:spacing w:after="0" w:line="223" w:lineRule="exact"/>
        <w:rPr>
          <w:sz w:val="20"/>
          <w:szCs w:val="20"/>
          <w:color w:val="auto"/>
        </w:rPr>
      </w:pPr>
    </w:p>
    <w:p>
      <w:pPr>
        <w:ind w:right="240"/>
        <w:spacing w:after="0" w:line="257" w:lineRule="auto"/>
        <w:rPr>
          <w:sz w:val="20"/>
          <w:szCs w:val="20"/>
          <w:color w:val="auto"/>
        </w:rPr>
      </w:pPr>
      <w:r>
        <w:rPr>
          <w:rFonts w:ascii="Arial" w:cs="Arial" w:eastAsia="Arial" w:hAnsi="Arial"/>
          <w:sz w:val="19"/>
          <w:szCs w:val="19"/>
          <w:color w:val="auto"/>
        </w:rPr>
        <w:t>A “business combination” includes mergers, asset sales and other transactions resulting in a financial benefit to the interested stockholder. Except as otherwise specified in Section 203 of the Delaware General Corporation Law, an interested stockholder is defined to include (x) any person that owns (or, within the prior three years, did own) 15% or more of the outstanding voting stock of the corporation, or is an affiliate or associate of the corporation and was the owner of 15% or more of the outstanding voting stock of the corporation at any time within three years immediately prior to the date of determination and (y) the affiliates and associates of any such person. This statute could prohibit or delay the accomplishment of mergers or other takeover or change in control attempts with respect to us and, accordingly, may discourage attempts to acquire us.</w:t>
      </w:r>
    </w:p>
    <w:p>
      <w:pPr>
        <w:sectPr>
          <w:pgSz w:w="11900" w:h="16838" w:orient="portrait"/>
          <w:cols w:equalWidth="0" w:num="1">
            <w:col w:w="11240"/>
          </w:cols>
          <w:pgMar w:left="320" w:top="125" w:right="339" w:bottom="1440" w:gutter="0" w:footer="0" w:header="0"/>
        </w:sectPr>
      </w:pPr>
    </w:p>
    <w:bookmarkStart w:id="130" w:name="page131"/>
    <w:bookmarkEnd w:id="130"/>
    <w:p>
      <w:pPr>
        <w:ind w:left="2220"/>
        <w:spacing w:after="0"/>
        <w:rPr>
          <w:sz w:val="20"/>
          <w:szCs w:val="20"/>
          <w:color w:val="auto"/>
        </w:rPr>
      </w:pPr>
      <w:r>
        <w:rPr>
          <w:rFonts w:ascii="Arial" w:cs="Arial" w:eastAsia="Arial" w:hAnsi="Arial"/>
          <w:sz w:val="18"/>
          <w:szCs w:val="18"/>
          <w:u w:val="single" w:color="auto"/>
          <w:color w:val="auto"/>
        </w:rPr>
        <w:t>Exhibit 4.5</w:t>
      </w:r>
    </w:p>
    <w:p>
      <w:pPr>
        <w:spacing w:after="0" w:line="200" w:lineRule="exact"/>
        <w:rPr>
          <w:sz w:val="20"/>
          <w:szCs w:val="20"/>
          <w:color w:val="auto"/>
        </w:rPr>
      </w:pPr>
    </w:p>
    <w:p>
      <w:pPr>
        <w:spacing w:after="0" w:line="36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In addition, various provisions of our amended and restated certificate of incorporation, as amended, and our amended and restated bylaws, which provisions are summarized in the following paragraphs,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21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i w:val="1"/>
          <w:iCs w:val="1"/>
          <w:color w:val="auto"/>
        </w:rPr>
        <w:t>Staggered Board</w:t>
      </w:r>
      <w:r>
        <w:rPr>
          <w:rFonts w:ascii="Arial" w:cs="Arial" w:eastAsia="Arial" w:hAnsi="Arial"/>
          <w:sz w:val="20"/>
          <w:szCs w:val="20"/>
          <w:color w:val="auto"/>
        </w:rPr>
        <w:t>. Our amended and restated certificate of incorporation, as amended, provides for division of our board into three classes,</w:t>
      </w:r>
      <w:r>
        <w:rPr>
          <w:rFonts w:ascii="Arial" w:cs="Arial" w:eastAsia="Arial" w:hAnsi="Arial"/>
          <w:sz w:val="20"/>
          <w:szCs w:val="20"/>
          <w:i w:val="1"/>
          <w:iCs w:val="1"/>
          <w:color w:val="auto"/>
        </w:rPr>
        <w:t xml:space="preserve"> </w:t>
      </w:r>
      <w:r>
        <w:rPr>
          <w:rFonts w:ascii="Arial" w:cs="Arial" w:eastAsia="Arial" w:hAnsi="Arial"/>
          <w:sz w:val="20"/>
          <w:szCs w:val="20"/>
          <w:color w:val="auto"/>
        </w:rPr>
        <w:t>with each class as nearly equal in number as possible. Each class must serve a three-year term. The terms of each class are staggered so that each term ends in a different year in the three-year period.</w:t>
      </w:r>
    </w:p>
    <w:p>
      <w:pPr>
        <w:spacing w:after="0" w:line="213" w:lineRule="exact"/>
        <w:rPr>
          <w:sz w:val="20"/>
          <w:szCs w:val="20"/>
          <w:color w:val="auto"/>
        </w:rPr>
      </w:pPr>
    </w:p>
    <w:p>
      <w:pPr>
        <w:jc w:val="both"/>
        <w:ind w:right="440"/>
        <w:spacing w:after="0" w:line="291" w:lineRule="auto"/>
        <w:rPr>
          <w:sz w:val="20"/>
          <w:szCs w:val="20"/>
          <w:color w:val="auto"/>
        </w:rPr>
      </w:pPr>
      <w:r>
        <w:rPr>
          <w:rFonts w:ascii="Arial" w:cs="Arial" w:eastAsia="Arial" w:hAnsi="Arial"/>
          <w:sz w:val="18"/>
          <w:szCs w:val="18"/>
          <w:i w:val="1"/>
          <w:iCs w:val="1"/>
          <w:color w:val="auto"/>
        </w:rPr>
        <w:t>Board of Director Vacancies</w:t>
      </w:r>
      <w:r>
        <w:rPr>
          <w:rFonts w:ascii="Arial" w:cs="Arial" w:eastAsia="Arial" w:hAnsi="Arial"/>
          <w:sz w:val="18"/>
          <w:szCs w:val="18"/>
          <w:color w:val="auto"/>
        </w:rPr>
        <w:t>. Our amended and restated certificate of incorporation, as amended, authorizes our board of directors to fill</w:t>
      </w:r>
      <w:r>
        <w:rPr>
          <w:rFonts w:ascii="Arial" w:cs="Arial" w:eastAsia="Arial" w:hAnsi="Arial"/>
          <w:sz w:val="18"/>
          <w:szCs w:val="18"/>
          <w:i w:val="1"/>
          <w:iCs w:val="1"/>
          <w:color w:val="auto"/>
        </w:rPr>
        <w:t xml:space="preserve"> </w:t>
      </w:r>
      <w:r>
        <w:rPr>
          <w:rFonts w:ascii="Arial" w:cs="Arial" w:eastAsia="Arial" w:hAnsi="Arial"/>
          <w:sz w:val="18"/>
          <w:szCs w:val="18"/>
          <w:color w:val="auto"/>
        </w:rPr>
        <w:t>vacant directorships or increase the size of the board of directors. This may deter a stockholder from removing incumbent directors and simultaneously gaining control of our board of directors by filling the vacancies created by this removal with its own nominees.</w:t>
      </w:r>
    </w:p>
    <w:p>
      <w:pPr>
        <w:spacing w:after="0" w:line="179"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i w:val="1"/>
          <w:iCs w:val="1"/>
          <w:color w:val="auto"/>
        </w:rPr>
        <w:t>Stockholder Action; Special Meeting of Stockholders</w:t>
      </w:r>
      <w:r>
        <w:rPr>
          <w:rFonts w:ascii="Arial" w:cs="Arial" w:eastAsia="Arial" w:hAnsi="Arial"/>
          <w:sz w:val="20"/>
          <w:szCs w:val="20"/>
          <w:color w:val="auto"/>
        </w:rPr>
        <w:t>. Our amended and restated certificate of incorporation, as amended, provides that</w:t>
      </w:r>
      <w:r>
        <w:rPr>
          <w:rFonts w:ascii="Arial" w:cs="Arial" w:eastAsia="Arial" w:hAnsi="Arial"/>
          <w:sz w:val="20"/>
          <w:szCs w:val="20"/>
          <w:i w:val="1"/>
          <w:iCs w:val="1"/>
          <w:color w:val="auto"/>
        </w:rPr>
        <w:t xml:space="preserve"> </w:t>
      </w:r>
      <w:r>
        <w:rPr>
          <w:rFonts w:ascii="Arial" w:cs="Arial" w:eastAsia="Arial" w:hAnsi="Arial"/>
          <w:sz w:val="20"/>
          <w:szCs w:val="20"/>
          <w:color w:val="auto"/>
        </w:rPr>
        <w:t>stockholders may not take action by written consent, but only at duly called annual or special meetings of stockholders. Our amended and restated bylaws further provide that special meetings of our stockholders may be called only by the chairman of the board of directors, our president or at the request of two-thirds of the board of directors.</w:t>
      </w:r>
    </w:p>
    <w:p>
      <w:pPr>
        <w:spacing w:after="0" w:line="218"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i w:val="1"/>
          <w:iCs w:val="1"/>
          <w:color w:val="auto"/>
        </w:rPr>
        <w:t>Advance Notice Requirements for Stockholder Proposals and Directors’ Nominations</w:t>
      </w:r>
      <w:r>
        <w:rPr>
          <w:rFonts w:ascii="Arial" w:cs="Arial" w:eastAsia="Arial" w:hAnsi="Arial"/>
          <w:sz w:val="18"/>
          <w:szCs w:val="18"/>
          <w:color w:val="auto"/>
        </w:rPr>
        <w:t>. Our amended and restated bylaws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an annual meeting of stockholders, or to nominate candidates for election as directors at an annual meeting of stockholders, must provide us timely notice thereof in writing. To be timely, a stockholder’s notice must be delivered to or mailed and received at our principal executive offices, not less than 90 days nor more than 120 days prior to the first anniversary of the date of the preceding year’s annual meeting provided with respect to the previous year’s annual meeting of stockholders; provided, however, that if no annual meeting of stockholders was held in the previous year or the date of the annual meeting of stockholders has been changed to be more than 30 calendar days earlier than or 70 calendar days after this anniversary, notice by the stockholder, to be timely, must be so received not more than 120 days prior to the annual meeting of stockholders nor later than the later of:</w:t>
      </w:r>
    </w:p>
    <w:p>
      <w:pPr>
        <w:spacing w:after="0" w:line="19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20"/>
          <w:szCs w:val="20"/>
          <w:color w:val="auto"/>
        </w:rPr>
        <w:t>90 days prior to the annual meeting of stockholders; and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20"/>
          <w:szCs w:val="20"/>
          <w:color w:val="auto"/>
        </w:rPr>
        <w:t>the close of business on the 10th day following the date on which notice of the date of the meeting is made public.</w:t>
      </w:r>
    </w:p>
    <w:p>
      <w:pPr>
        <w:spacing w:after="0" w:line="227"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Our amended and restated bylaws also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213"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The authorized but unissued shares of our common stock and preferred stock are available for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without stockholder approval, subject to various limitations imposed by the Nasdaq Global Select Market. These additional shares may be utilized for a variety of corporate purposes, including future public offerings to raise additional capital, corporate acquisitions and employee benefit plans. The existence of authorized but unissued shares of common stock and preferred stock could make more difficult or discourage an attempt to obtain control of us by means of a proxy context, tender offer, merger or otherwise.</w:t>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Our amended and restated certificate of incorporation, as amended, requires the affirmative vote of not less than 66.67% of the outstanding shares of our capital stock entitled to vote generally in the election of directors (considered for this purpose as a single class) cast at a meeting of our stockholders called for that purpose, to repeal, alter, amend or rescind the provisions in our amended and restated certificate of incorporation, as amended, relating to:</w:t>
      </w:r>
    </w:p>
    <w:p>
      <w:pPr>
        <w:spacing w:after="0" w:line="218"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20"/>
          <w:szCs w:val="20"/>
          <w:color w:val="auto"/>
        </w:rPr>
        <w:t>directors;</w:t>
      </w:r>
    </w:p>
    <w:p>
      <w:pPr>
        <w:sectPr>
          <w:pgSz w:w="11900" w:h="16838" w:orient="portrait"/>
          <w:cols w:equalWidth="0" w:num="1">
            <w:col w:w="11240"/>
          </w:cols>
          <w:pgMar w:left="320" w:top="125" w:right="339" w:bottom="1440" w:gutter="0" w:footer="0" w:header="0"/>
        </w:sectPr>
      </w:pPr>
    </w:p>
    <w:bookmarkStart w:id="131" w:name="page132"/>
    <w:bookmarkEnd w:id="131"/>
    <w:p>
      <w:pPr>
        <w:ind w:left="2220"/>
        <w:spacing w:after="0"/>
        <w:rPr>
          <w:sz w:val="20"/>
          <w:szCs w:val="20"/>
          <w:color w:val="auto"/>
        </w:rPr>
      </w:pPr>
      <w:r>
        <w:rPr>
          <w:rFonts w:ascii="Arial" w:cs="Arial" w:eastAsia="Arial" w:hAnsi="Arial"/>
          <w:sz w:val="18"/>
          <w:szCs w:val="18"/>
          <w:u w:val="single" w:color="auto"/>
          <w:color w:val="auto"/>
        </w:rPr>
        <w:t>Exhibit 4.5</w:t>
      </w:r>
    </w:p>
    <w:p>
      <w:pPr>
        <w:spacing w:after="0" w:line="200" w:lineRule="exact"/>
        <w:rPr>
          <w:sz w:val="20"/>
          <w:szCs w:val="20"/>
          <w:color w:val="auto"/>
        </w:rPr>
      </w:pPr>
    </w:p>
    <w:p>
      <w:pPr>
        <w:spacing w:after="0" w:line="36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20"/>
          <w:szCs w:val="20"/>
          <w:color w:val="auto"/>
        </w:rPr>
        <w:t>stockholder meetings;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20"/>
          <w:szCs w:val="20"/>
          <w:color w:val="auto"/>
        </w:rPr>
        <w:t>limitations on director liability;</w:t>
      </w: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20"/>
          <w:szCs w:val="20"/>
          <w:color w:val="auto"/>
        </w:rPr>
        <w:t>indemnification;</w:t>
      </w: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20"/>
          <w:szCs w:val="20"/>
          <w:color w:val="auto"/>
        </w:rPr>
        <w:t>amendment of our bylaws; or</w:t>
      </w: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20"/>
          <w:szCs w:val="20"/>
          <w:color w:val="auto"/>
        </w:rPr>
        <w:t>business combinations.</w:t>
      </w:r>
    </w:p>
    <w:p>
      <w:pPr>
        <w:spacing w:after="0" w:line="227" w:lineRule="exact"/>
        <w:rPr>
          <w:sz w:val="20"/>
          <w:szCs w:val="20"/>
          <w:color w:val="auto"/>
        </w:rPr>
      </w:pPr>
    </w:p>
    <w:p>
      <w:pPr>
        <w:ind w:right="620"/>
        <w:spacing w:after="0" w:line="316" w:lineRule="auto"/>
        <w:rPr>
          <w:sz w:val="20"/>
          <w:szCs w:val="20"/>
          <w:color w:val="auto"/>
        </w:rPr>
      </w:pPr>
      <w:r>
        <w:rPr>
          <w:rFonts w:ascii="Arial" w:cs="Arial" w:eastAsia="Arial" w:hAnsi="Arial"/>
          <w:sz w:val="18"/>
          <w:szCs w:val="18"/>
          <w:color w:val="auto"/>
        </w:rPr>
        <w:t>Our amended and restated certificate of incorporation, as amended, requires the affirmative vote as specified in the Delaware General Corporation Law to amend any other provision of our amended and restated certificate of incorporation, as amended,.</w:t>
      </w:r>
    </w:p>
    <w:p>
      <w:pPr>
        <w:spacing w:after="0" w:line="157" w:lineRule="exact"/>
        <w:rPr>
          <w:sz w:val="20"/>
          <w:szCs w:val="20"/>
          <w:color w:val="auto"/>
        </w:rPr>
      </w:pPr>
    </w:p>
    <w:p>
      <w:pPr>
        <w:spacing w:after="0" w:line="328" w:lineRule="auto"/>
        <w:rPr>
          <w:sz w:val="20"/>
          <w:szCs w:val="20"/>
          <w:color w:val="auto"/>
        </w:rPr>
      </w:pPr>
      <w:r>
        <w:rPr>
          <w:rFonts w:ascii="Arial" w:cs="Arial" w:eastAsia="Arial" w:hAnsi="Arial"/>
          <w:sz w:val="16"/>
          <w:szCs w:val="16"/>
          <w:color w:val="auto"/>
        </w:rPr>
        <w:t>To repeal, alter, amend or rescind our amended and restated certificate of incorporation, as amended, and our amended and restated bylaws require the affirmative vote of not less than 66.67% of the outstanding shares of our capital stock entitled to vote generally in the election of directors (considered for this purpose as a single class) cast at a meeting of our stockholders called for that purpose, or the affirmative vote of at least 66.67% of our board of directors. This provision may have the effect of making it difficult for a third party to acquire us.</w:t>
      </w:r>
    </w:p>
    <w:p>
      <w:pPr>
        <w:sectPr>
          <w:pgSz w:w="11900" w:h="16838" w:orient="portrait"/>
          <w:cols w:equalWidth="0" w:num="1">
            <w:col w:w="11200"/>
          </w:cols>
          <w:pgMar w:left="320" w:top="125" w:right="37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21.1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LIVEPERSON,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Ltd. (formerly HumanClick Ltd.) —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Kasamba Inc.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Germany GmbH —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(UK) Ltd. —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Netherlands B.V. —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Automotive, LLC (formerly Contact At Once!, LLC) — Georgia</w:t>
      </w:r>
    </w:p>
    <w:p>
      <w:pPr>
        <w:sectPr>
          <w:pgSz w:w="11900" w:h="16838" w:orient="portrait"/>
          <w:cols w:equalWidth="0" w:num="1">
            <w:col w:w="11240"/>
          </w:cols>
          <w:pgMar w:left="320" w:top="989" w:right="339" w:bottom="1440" w:gutter="0" w:footer="0" w:header="0"/>
        </w:sectPr>
      </w:pPr>
    </w:p>
    <w:bookmarkStart w:id="133" w:name="page134"/>
    <w:bookmarkEnd w:id="133"/>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Forms S-3 (No. 333-112019, 333-112018, 333-136249 and 333-147929) and Forms S-8 (No. 333-245808, 333-234676, 333-229495, 333-224059, 333-34230, 333-147572, 333-159850, 333-168945, 333-194590 and 333-219573) of LivePerson, Inc. of our reports dated March 8, 2021, relating to the consolidated financial statements and the effectiveness of LivePerson, Inc.’s internal control over financial reporting, which appear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ectPr>
          <w:pgSz w:w="11900" w:h="16838" w:orient="portrait"/>
          <w:cols w:equalWidth="0" w:num="1">
            <w:col w:w="11240"/>
          </w:cols>
          <w:pgMar w:left="320" w:top="144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04"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left="340" w:right="180" w:hanging="332"/>
        <w:spacing w:after="0" w:line="263" w:lineRule="auto"/>
        <w:tabs>
          <w:tab w:leader="none" w:pos="3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340" w:right="180" w:hanging="332"/>
        <w:spacing w:after="0" w:line="263" w:lineRule="auto"/>
        <w:tabs>
          <w:tab w:leader="none" w:pos="3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3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340" w:right="80" w:hanging="332"/>
        <w:spacing w:after="0" w:line="263" w:lineRule="auto"/>
        <w:tabs>
          <w:tab w:leader="none" w:pos="3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340" w:right="14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340" w:right="140" w:hanging="332"/>
        <w:spacing w:after="0" w:line="277" w:lineRule="auto"/>
        <w:tabs>
          <w:tab w:leader="none" w:pos="3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March 8, 2021</w:t>
            </w:r>
          </w:p>
        </w:tc>
        <w:tc>
          <w:tcPr>
            <w:tcW w:w="3020" w:type="dxa"/>
            <w:vAlign w:val="bottom"/>
          </w:tcPr>
          <w:p>
            <w:pPr>
              <w:ind w:left="23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22"/>
        </w:trPr>
        <w:tc>
          <w:tcPr>
            <w:tcW w:w="3980" w:type="dxa"/>
            <w:vAlign w:val="bottom"/>
          </w:tcPr>
          <w:p>
            <w:pPr>
              <w:spacing w:after="0"/>
              <w:rPr>
                <w:sz w:val="19"/>
                <w:szCs w:val="19"/>
                <w:color w:val="auto"/>
              </w:rPr>
            </w:pPr>
          </w:p>
        </w:tc>
        <w:tc>
          <w:tcPr>
            <w:tcW w:w="3020" w:type="dxa"/>
            <w:vAlign w:val="bottom"/>
          </w:tcPr>
          <w:p>
            <w:pPr>
              <w:ind w:left="2320"/>
              <w:spacing w:after="0"/>
              <w:rPr>
                <w:sz w:val="20"/>
                <w:szCs w:val="20"/>
                <w:color w:val="auto"/>
              </w:rPr>
            </w:pPr>
            <w:r>
              <w:rPr>
                <w:rFonts w:ascii="Arial" w:cs="Arial" w:eastAsia="Arial" w:hAnsi="Arial"/>
                <w:sz w:val="18"/>
                <w:szCs w:val="18"/>
                <w:color w:val="auto"/>
              </w:rPr>
              <w:t>Name:</w:t>
            </w:r>
          </w:p>
        </w:tc>
        <w:tc>
          <w:tcPr>
            <w:tcW w:w="402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30"/>
        </w:trPr>
        <w:tc>
          <w:tcPr>
            <w:tcW w:w="3980" w:type="dxa"/>
            <w:vAlign w:val="bottom"/>
          </w:tcPr>
          <w:p>
            <w:pPr>
              <w:spacing w:after="0"/>
              <w:rPr>
                <w:sz w:val="20"/>
                <w:szCs w:val="20"/>
                <w:color w:val="auto"/>
              </w:rPr>
            </w:pPr>
          </w:p>
        </w:tc>
        <w:tc>
          <w:tcPr>
            <w:tcW w:w="3020" w:type="dxa"/>
            <w:vAlign w:val="bottom"/>
          </w:tcPr>
          <w:p>
            <w:pPr>
              <w:ind w:left="2320"/>
              <w:spacing w:after="0"/>
              <w:rPr>
                <w:sz w:val="20"/>
                <w:szCs w:val="20"/>
                <w:color w:val="auto"/>
              </w:rPr>
            </w:pPr>
            <w:r>
              <w:rPr>
                <w:rFonts w:ascii="Arial" w:cs="Arial" w:eastAsia="Arial" w:hAnsi="Arial"/>
                <w:sz w:val="18"/>
                <w:szCs w:val="18"/>
                <w:color w:val="auto"/>
              </w:rPr>
              <w:t>Title:</w:t>
            </w:r>
          </w:p>
        </w:tc>
        <w:tc>
          <w:tcPr>
            <w:tcW w:w="4020" w:type="dxa"/>
            <w:vAlign w:val="bottom"/>
          </w:tcPr>
          <w:p>
            <w:pPr>
              <w:ind w:left="20"/>
              <w:spacing w:after="0"/>
              <w:rPr>
                <w:sz w:val="20"/>
                <w:szCs w:val="20"/>
                <w:color w:val="auto"/>
              </w:rPr>
            </w:pPr>
            <w:r>
              <w:rPr>
                <w:rFonts w:ascii="Arial" w:cs="Arial" w:eastAsia="Arial" w:hAnsi="Arial"/>
                <w:sz w:val="18"/>
                <w:szCs w:val="18"/>
                <w:color w:val="auto"/>
                <w:w w:val="98"/>
              </w:rPr>
              <w:t>Chief Executive Officer (principal executive officer)</w:t>
            </w:r>
          </w:p>
        </w:tc>
      </w:tr>
    </w:tbl>
    <w:p>
      <w:pPr>
        <w:sectPr>
          <w:pgSz w:w="11900" w:h="16838" w:orient="portrait"/>
          <w:cols w:equalWidth="0" w:num="1">
            <w:col w:w="11240"/>
          </w:cols>
          <w:pgMar w:left="320" w:top="12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John D. Collins, certify that:</w:t>
      </w:r>
    </w:p>
    <w:p>
      <w:pPr>
        <w:spacing w:after="0" w:line="104"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left="340" w:right="180" w:hanging="332"/>
        <w:spacing w:after="0" w:line="263" w:lineRule="auto"/>
        <w:tabs>
          <w:tab w:leader="none" w:pos="3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340" w:right="180" w:hanging="332"/>
        <w:spacing w:after="0" w:line="263" w:lineRule="auto"/>
        <w:tabs>
          <w:tab w:leader="none" w:pos="334"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3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340" w:right="80" w:hanging="332"/>
        <w:spacing w:after="0" w:line="263" w:lineRule="auto"/>
        <w:tabs>
          <w:tab w:leader="none" w:pos="334"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340" w:right="140" w:hanging="332"/>
        <w:spacing w:after="0" w:line="308"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340" w:right="140" w:hanging="332"/>
        <w:spacing w:after="0" w:line="277" w:lineRule="auto"/>
        <w:tabs>
          <w:tab w:leader="none" w:pos="3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March 8, 2021</w:t>
            </w:r>
          </w:p>
        </w:tc>
        <w:tc>
          <w:tcPr>
            <w:tcW w:w="2560" w:type="dxa"/>
            <w:vAlign w:val="bottom"/>
          </w:tcPr>
          <w:p>
            <w:pPr>
              <w:ind w:left="18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D. Collins</w:t>
            </w:r>
          </w:p>
        </w:tc>
        <w:tc>
          <w:tcPr>
            <w:tcW w:w="0" w:type="dxa"/>
            <w:vAlign w:val="bottom"/>
          </w:tcPr>
          <w:p>
            <w:pPr>
              <w:spacing w:after="0"/>
              <w:rPr>
                <w:sz w:val="1"/>
                <w:szCs w:val="1"/>
                <w:color w:val="auto"/>
              </w:rPr>
            </w:pPr>
          </w:p>
        </w:tc>
      </w:tr>
      <w:tr>
        <w:trPr>
          <w:trHeight w:val="318"/>
        </w:trPr>
        <w:tc>
          <w:tcPr>
            <w:tcW w:w="3480" w:type="dxa"/>
            <w:vAlign w:val="bottom"/>
          </w:tcPr>
          <w:p>
            <w:pPr>
              <w:spacing w:after="0"/>
              <w:rPr>
                <w:sz w:val="24"/>
                <w:szCs w:val="24"/>
                <w:color w:val="auto"/>
              </w:rPr>
            </w:pPr>
          </w:p>
        </w:tc>
        <w:tc>
          <w:tcPr>
            <w:tcW w:w="2560" w:type="dxa"/>
            <w:vAlign w:val="bottom"/>
          </w:tcPr>
          <w:p>
            <w:pPr>
              <w:ind w:left="1840"/>
              <w:spacing w:after="0"/>
              <w:rPr>
                <w:sz w:val="20"/>
                <w:szCs w:val="20"/>
                <w:color w:val="auto"/>
              </w:rPr>
            </w:pPr>
            <w:r>
              <w:rPr>
                <w:rFonts w:ascii="Arial" w:cs="Arial" w:eastAsia="Arial" w:hAnsi="Arial"/>
                <w:sz w:val="18"/>
                <w:szCs w:val="18"/>
                <w:color w:val="auto"/>
              </w:rPr>
              <w:t>Name:</w:t>
            </w:r>
          </w:p>
        </w:tc>
        <w:tc>
          <w:tcPr>
            <w:tcW w:w="5140" w:type="dxa"/>
            <w:vAlign w:val="bottom"/>
          </w:tcPr>
          <w:p>
            <w:pPr>
              <w:ind w:left="20"/>
              <w:spacing w:after="0"/>
              <w:rPr>
                <w:sz w:val="20"/>
                <w:szCs w:val="20"/>
                <w:color w:val="auto"/>
              </w:rPr>
            </w:pPr>
            <w:r>
              <w:rPr>
                <w:rFonts w:ascii="Arial" w:cs="Arial" w:eastAsia="Arial" w:hAnsi="Arial"/>
                <w:sz w:val="18"/>
                <w:szCs w:val="18"/>
                <w:color w:val="auto"/>
              </w:rPr>
              <w:t>John D. Collins</w:t>
            </w: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2"/>
                <w:szCs w:val="22"/>
                <w:color w:val="auto"/>
              </w:rPr>
            </w:pPr>
          </w:p>
        </w:tc>
        <w:tc>
          <w:tcPr>
            <w:tcW w:w="2560" w:type="dxa"/>
            <w:vAlign w:val="bottom"/>
            <w:vMerge w:val="restart"/>
          </w:tcPr>
          <w:p>
            <w:pPr>
              <w:ind w:left="1840"/>
              <w:spacing w:after="0"/>
              <w:rPr>
                <w:sz w:val="20"/>
                <w:szCs w:val="20"/>
                <w:color w:val="auto"/>
              </w:rPr>
            </w:pPr>
            <w:r>
              <w:rPr>
                <w:rFonts w:ascii="Arial" w:cs="Arial" w:eastAsia="Arial" w:hAnsi="Arial"/>
                <w:sz w:val="18"/>
                <w:szCs w:val="18"/>
                <w:color w:val="auto"/>
              </w:rPr>
              <w:t>Title:</w:t>
            </w: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95"/>
        </w:trPr>
        <w:tc>
          <w:tcPr>
            <w:tcW w:w="34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Robert P. LoCascio, Chief Executive Officer of LivePerson, Inc. (the “Company”),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89" w:lineRule="exact"/>
        <w:rPr>
          <w:sz w:val="20"/>
          <w:szCs w:val="20"/>
          <w:color w:val="auto"/>
        </w:rPr>
      </w:pPr>
    </w:p>
    <w:p>
      <w:pPr>
        <w:ind w:left="660" w:right="20" w:hanging="328"/>
        <w:spacing w:after="0" w:line="308" w:lineRule="auto"/>
        <w:tabs>
          <w:tab w:leader="none" w:pos="65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2020, as filed with the Securities and Exchange Commission (the “Report”), fully complies with the requirements of Section 13(a) or 15(d) of the Securities Exchange Act of 1934; and</w:t>
      </w:r>
    </w:p>
    <w:p>
      <w:pPr>
        <w:spacing w:after="0" w:line="11" w:lineRule="exact"/>
        <w:rPr>
          <w:rFonts w:ascii="Arial" w:cs="Arial" w:eastAsia="Arial" w:hAnsi="Arial"/>
          <w:sz w:val="17"/>
          <w:szCs w:val="17"/>
          <w:color w:val="auto"/>
        </w:rPr>
      </w:pPr>
    </w:p>
    <w:p>
      <w:pPr>
        <w:ind w:left="640" w:hanging="308"/>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March 8, 2021</w:t>
            </w:r>
          </w:p>
        </w:tc>
        <w:tc>
          <w:tcPr>
            <w:tcW w:w="2380" w:type="dxa"/>
            <w:vAlign w:val="bottom"/>
          </w:tcPr>
          <w:p>
            <w:pPr>
              <w:ind w:left="170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22"/>
        </w:trPr>
        <w:tc>
          <w:tcPr>
            <w:tcW w:w="3380" w:type="dxa"/>
            <w:vAlign w:val="bottom"/>
          </w:tcPr>
          <w:p>
            <w:pPr>
              <w:spacing w:after="0"/>
              <w:rPr>
                <w:sz w:val="19"/>
                <w:szCs w:val="19"/>
                <w:color w:val="auto"/>
              </w:rPr>
            </w:pPr>
          </w:p>
        </w:tc>
        <w:tc>
          <w:tcPr>
            <w:tcW w:w="2380" w:type="dxa"/>
            <w:vAlign w:val="bottom"/>
          </w:tcPr>
          <w:p>
            <w:pPr>
              <w:ind w:left="1700"/>
              <w:spacing w:after="0"/>
              <w:rPr>
                <w:sz w:val="20"/>
                <w:szCs w:val="20"/>
                <w:color w:val="auto"/>
              </w:rPr>
            </w:pPr>
            <w:r>
              <w:rPr>
                <w:rFonts w:ascii="Arial" w:cs="Arial" w:eastAsia="Arial" w:hAnsi="Arial"/>
                <w:sz w:val="18"/>
                <w:szCs w:val="18"/>
                <w:color w:val="auto"/>
              </w:rPr>
              <w:t>Name:</w:t>
            </w:r>
          </w:p>
        </w:tc>
        <w:tc>
          <w:tcPr>
            <w:tcW w:w="498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30"/>
        </w:trPr>
        <w:tc>
          <w:tcPr>
            <w:tcW w:w="3380" w:type="dxa"/>
            <w:vAlign w:val="bottom"/>
          </w:tcPr>
          <w:p>
            <w:pPr>
              <w:spacing w:after="0"/>
              <w:rPr>
                <w:sz w:val="20"/>
                <w:szCs w:val="20"/>
                <w:color w:val="auto"/>
              </w:rPr>
            </w:pPr>
          </w:p>
        </w:tc>
        <w:tc>
          <w:tcPr>
            <w:tcW w:w="2380" w:type="dxa"/>
            <w:vAlign w:val="bottom"/>
          </w:tcPr>
          <w:p>
            <w:pPr>
              <w:ind w:left="1700"/>
              <w:spacing w:after="0"/>
              <w:rPr>
                <w:sz w:val="20"/>
                <w:szCs w:val="20"/>
                <w:color w:val="auto"/>
              </w:rPr>
            </w:pPr>
            <w:r>
              <w:rPr>
                <w:rFonts w:ascii="Arial" w:cs="Arial" w:eastAsia="Arial" w:hAnsi="Arial"/>
                <w:sz w:val="18"/>
                <w:szCs w:val="18"/>
                <w:color w:val="auto"/>
              </w:rPr>
              <w:t>Title:</w:t>
            </w:r>
          </w:p>
        </w:tc>
        <w:tc>
          <w:tcPr>
            <w:tcW w:w="49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John D. Collins, Chief Financial Officer of LivePerson, Inc. (the “Company”), certify, pursuant to 18 U.S.C. Section 1350, as adopted pursuant to Section 906 of the Sarbanes-Oxley Act of 2002, that:</w:t>
      </w:r>
    </w:p>
    <w:p>
      <w:pPr>
        <w:spacing w:after="0" w:line="49" w:lineRule="exact"/>
        <w:rPr>
          <w:sz w:val="20"/>
          <w:szCs w:val="20"/>
          <w:color w:val="auto"/>
        </w:rPr>
      </w:pPr>
    </w:p>
    <w:p>
      <w:pPr>
        <w:ind w:left="660" w:right="20" w:hanging="328"/>
        <w:spacing w:after="0" w:line="308" w:lineRule="auto"/>
        <w:tabs>
          <w:tab w:leader="none" w:pos="65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2020, as filed with the Securities and Exchange Commission (the “Report”), fully complies with the requirements of Section 13(a) or 15(d) of the Securities Exchange Act of 1934; and</w:t>
      </w:r>
    </w:p>
    <w:p>
      <w:pPr>
        <w:spacing w:after="0" w:line="11" w:lineRule="exact"/>
        <w:rPr>
          <w:rFonts w:ascii="Arial" w:cs="Arial" w:eastAsia="Arial" w:hAnsi="Arial"/>
          <w:sz w:val="17"/>
          <w:szCs w:val="17"/>
          <w:color w:val="auto"/>
        </w:rPr>
      </w:pPr>
    </w:p>
    <w:p>
      <w:pPr>
        <w:ind w:left="640" w:hanging="308"/>
        <w:spacing w:after="0"/>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40"/>
        <w:spacing w:after="0"/>
        <w:tabs>
          <w:tab w:leader="none" w:pos="620" w:val="left"/>
          <w:tab w:leader="none" w:pos="4920" w:val="left"/>
          <w:tab w:leader="none" w:pos="5640" w:val="left"/>
        </w:tabs>
        <w:rPr>
          <w:sz w:val="20"/>
          <w:szCs w:val="20"/>
          <w:color w:val="auto"/>
        </w:rPr>
      </w:pPr>
      <w:r>
        <w:rPr>
          <w:rFonts w:ascii="Arial" w:cs="Arial" w:eastAsia="Arial" w:hAnsi="Arial"/>
          <w:sz w:val="18"/>
          <w:szCs w:val="18"/>
          <w:color w:val="auto"/>
        </w:rPr>
        <w:t>Date:</w:t>
        <w:tab/>
        <w:t>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D.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0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97" w:lineRule="exact"/>
        <w:rPr>
          <w:sz w:val="20"/>
          <w:szCs w:val="20"/>
          <w:color w:val="auto"/>
        </w:rPr>
      </w:pPr>
    </w:p>
    <w:p>
      <w:pPr>
        <w:ind w:left="4940"/>
        <w:spacing w:after="0"/>
        <w:tabs>
          <w:tab w:leader="none" w:pos="5640" w:val="left"/>
        </w:tabs>
        <w:rPr>
          <w:sz w:val="20"/>
          <w:szCs w:val="20"/>
          <w:color w:val="auto"/>
        </w:rPr>
      </w:pPr>
      <w:r>
        <w:rPr>
          <w:rFonts w:ascii="Arial" w:cs="Arial" w:eastAsia="Arial" w:hAnsi="Arial"/>
          <w:sz w:val="18"/>
          <w:szCs w:val="18"/>
          <w:color w:val="auto"/>
        </w:rPr>
        <w:t>Name:</w:t>
        <w:tab/>
        <w:t>John D. Collins</w:t>
      </w:r>
    </w:p>
    <w:p>
      <w:pPr>
        <w:spacing w:after="0" w:line="117" w:lineRule="exact"/>
        <w:rPr>
          <w:sz w:val="20"/>
          <w:szCs w:val="20"/>
          <w:color w:val="auto"/>
        </w:rPr>
      </w:pPr>
    </w:p>
    <w:p>
      <w:pPr>
        <w:ind w:left="494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(principal financial officer)</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6"/>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2"/>
    </w:lvl>
  </w:abstractNum>
  <w:abstractNum w:abstractNumId="59">
    <w:nsid w:val="6590700B"/>
    <w:multiLevelType w:val="hybridMultilevel"/>
    <w:lvl w:ilvl="0">
      <w:lvlJc w:val="left"/>
      <w:lvlText w:val="%1."/>
      <w:numFmt w:val="decimal"/>
      <w:start w:val="3"/>
    </w:lvl>
  </w:abstractNum>
  <w:abstractNum w:abstractNumId="60">
    <w:nsid w:val="15014ACB"/>
    <w:multiLevelType w:val="hybridMultilevel"/>
    <w:lvl w:ilvl="0">
      <w:lvlJc w:val="left"/>
      <w:lvlText w:val="*"/>
      <w:numFmt w:val="bullet"/>
      <w:start w:val="1"/>
    </w:lvl>
    <w:lvl w:ilvl="1">
      <w:lvlJc w:val="left"/>
      <w:lvlText w:val="%2"/>
      <w:numFmt w:val="decimal"/>
      <w:start w:val="104"/>
    </w:lvl>
  </w:abstractNum>
  <w:abstractNum w:abstractNumId="61">
    <w:nsid w:val="5F5E7FD0"/>
    <w:multiLevelType w:val="hybridMultilevel"/>
    <w:lvl w:ilvl="0">
      <w:lvlJc w:val="left"/>
      <w:lvlText w:val="**"/>
      <w:numFmt w:val="bullet"/>
      <w:start w:val="1"/>
    </w:lvl>
    <w:lvl w:ilvl="1">
      <w:lvlJc w:val="left"/>
      <w:lvlText w:val="%2"/>
      <w:numFmt w:val="decimal"/>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5"/>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76" Type="http://schemas.openxmlformats.org/officeDocument/2006/relationships/image" Target="media/image139.png"/><Relationship Id="rId182" Type="http://schemas.openxmlformats.org/officeDocument/2006/relationships/image" Target="media/image140.png"/><Relationship Id="rId144" Type="http://schemas.openxmlformats.org/officeDocument/2006/relationships/hyperlink" Target="http://www.sec.gov/Archives/edgar/data/1102993/000114420406025812/v046069_ex2-1.htm" TargetMode="External"/><Relationship Id="rId145" Type="http://schemas.openxmlformats.org/officeDocument/2006/relationships/hyperlink" Target="http://www.sec.gov/Archives/edgar/data/1102993/000144530514005054/mergeragreement-exhibit21.htm" TargetMode="External"/><Relationship Id="rId146" Type="http://schemas.openxmlformats.org/officeDocument/2006/relationships/hyperlink" Target="http://www.sec.gov/Archives/edgar/data/1102993/000091205701505793/a2041838zex-3_1.txt" TargetMode="External"/><Relationship Id="rId147" Type="http://schemas.openxmlformats.org/officeDocument/2006/relationships/hyperlink" Target="http://www.sec.gov/Archives/edgar/data/1102993/000110299319000123/exhibit42-certificateamend.htm" TargetMode="External"/><Relationship Id="rId148" Type="http://schemas.openxmlformats.org/officeDocument/2006/relationships/hyperlink" Target="http://www.sec.gov/Archives/edgar/data/1102993/000091205701505793/a2041838zex-3_2.txt" TargetMode="External"/><Relationship Id="rId149" Type="http://schemas.openxmlformats.org/officeDocument/2006/relationships/hyperlink" Target="http://www.sec.gov/Archives/edgar/data/1102993/000091205700002944/0000912057-00-002944.txt" TargetMode="External"/><Relationship Id="rId150" Type="http://schemas.openxmlformats.org/officeDocument/2006/relationships/hyperlink" Target="http://www.sec.gov/Archives/edgar/data/1102993/000110299319000026/exhibit41-indenture.htm" TargetMode="External"/><Relationship Id="rId151" Type="http://schemas.openxmlformats.org/officeDocument/2006/relationships/hyperlink" Target="https://www.sec.gov/Archives/edgar/data/1102993/000119312520314917/d16236dex41.htm" TargetMode="External"/><Relationship Id="rId152" Type="http://schemas.openxmlformats.org/officeDocument/2006/relationships/hyperlink" Target="http://www.sec.gov/Archives/edgar/data/1102993/000114420409031652/v151820_ex99-1.htm" TargetMode="External"/><Relationship Id="rId153" Type="http://schemas.openxmlformats.org/officeDocument/2006/relationships/hyperlink" Target="http://www.sec.gov/Archives/edgar/data/1102993/000114420411026825/v221138_ex10-1.htm" TargetMode="External"/><Relationship Id="rId154" Type="http://schemas.openxmlformats.org/officeDocument/2006/relationships/hyperlink" Target="http://www.sec.gov/Archives/edgar/data/1102993/000114420412034047/v315687_ex99-1.htm" TargetMode="External"/><Relationship Id="rId155" Type="http://schemas.openxmlformats.org/officeDocument/2006/relationships/hyperlink" Target="http://www.sec.gov/Archives/edgar/data/1102993/000114420410045617/v194223_ex99-1.htm" TargetMode="External"/><Relationship Id="rId158" Type="http://schemas.openxmlformats.org/officeDocument/2006/relationships/hyperlink" Target="http://www.sec.gov/Archives/edgar/data/1102993/000114420412014539/v303693_ex10-5.htm" TargetMode="External"/><Relationship Id="rId159" Type="http://schemas.openxmlformats.org/officeDocument/2006/relationships/hyperlink" Target="http://www.sec.gov/Archives/edgar/data/1102993/000114420412014539/v303693_ex10-6.htm" TargetMode="External"/><Relationship Id="rId160" Type="http://schemas.openxmlformats.org/officeDocument/2006/relationships/hyperlink" Target="http://www.sec.gov/Archives/edgar/data/1102993/000114420412014539/v303693_ex10-8.htm" TargetMode="External"/><Relationship Id="rId161" Type="http://schemas.openxmlformats.org/officeDocument/2006/relationships/hyperlink" Target="http://www.sec.gov/Archives/edgar/data/1102993/000114420411024667/v220093_ex10-1.htm" TargetMode="External"/><Relationship Id="rId162" Type="http://schemas.openxmlformats.org/officeDocument/2006/relationships/hyperlink" Target="http://www.sec.gov/Archives/edgar/data/1102993/000144530514002062/a2014q1livepersonex102.htm" TargetMode="External"/><Relationship Id="rId163" Type="http://schemas.openxmlformats.org/officeDocument/2006/relationships/hyperlink" Target="http://www.sec.gov/Archives/edgar/data/1102993/000110299317000121/a2017q3livepersonex105b.htm" TargetMode="External"/><Relationship Id="rId164" Type="http://schemas.openxmlformats.org/officeDocument/2006/relationships/hyperlink" Target="http://www.sec.gov/Archives/edgar/data/1102993/000110299318000030/amendmenttocfoagreement2ex.htm" TargetMode="External"/><Relationship Id="rId165" Type="http://schemas.openxmlformats.org/officeDocument/2006/relationships/hyperlink" Target="http://www.sec.gov/Archives/edgar/data/1102993/000110299318000030/rsu_2015xtime8.htm" TargetMode="External"/><Relationship Id="rId166" Type="http://schemas.openxmlformats.org/officeDocument/2006/relationships/hyperlink" Target="http://www.sec.gov/Archives/edgar/data/1102993/000110299318000030/rsu_2017xceo.htm" TargetMode="External"/><Relationship Id="rId167" Type="http://schemas.openxmlformats.org/officeDocument/2006/relationships/hyperlink" Target="http://www.sec.gov/Archives/edgar/data/1102993/000110299318000030/exhibit991inducementplan1-.htm" TargetMode="External"/><Relationship Id="rId168" Type="http://schemas.openxmlformats.org/officeDocument/2006/relationships/hyperlink" Target="http://www.sec.gov/Archives/edgar/data/1102993/000110299318000030/liveperson-execagmtlocasci.htm" TargetMode="External"/><Relationship Id="rId169" Type="http://schemas.openxmlformats.org/officeDocument/2006/relationships/hyperlink" Target="http://www.sec.gov/Archives/edgar/data/1102993/000110299318000072/ex101offerletter-alexspine.htm" TargetMode="External"/><Relationship Id="rId170" Type="http://schemas.openxmlformats.org/officeDocument/2006/relationships/hyperlink" Target="http://www.sec.gov/Archives/edgar/data/1102993/000110299318000072/ex102offerletter-chrisgrei.htm" TargetMode="External"/><Relationship Id="rId171" Type="http://schemas.openxmlformats.org/officeDocument/2006/relationships/hyperlink" Target="http://www.sec.gov/Archives/edgar/data/1102993/000110299318000133/liveperson-2018ltipex101.htm" TargetMode="External"/><Relationship Id="rId172" Type="http://schemas.openxmlformats.org/officeDocument/2006/relationships/hyperlink" Target="http://www.sec.gov/Archives/edgar/data/1102993/000110299318000133/eransepagmtex102.htm" TargetMode="External"/><Relationship Id="rId173" Type="http://schemas.openxmlformats.org/officeDocument/2006/relationships/hyperlink" Target="http://www.sec.gov/Archives/edgar/data/1102993/000110299319000026/exhibit101-formofcappedcal.htm" TargetMode="External"/><Relationship Id="rId174" Type="http://schemas.openxmlformats.org/officeDocument/2006/relationships/hyperlink" Target="http://www.sec.gov/Archives/edgar/data/1102993/000110299319000032/exhibit101-formofadditiona.htm" TargetMode="External"/><Relationship Id="rId175" Type="http://schemas.openxmlformats.org/officeDocument/2006/relationships/hyperlink" Target="http://www.sec.gov/Archives/edgar/data/1102993/000110299319000059/a2019q1livepersonex103rsu.htm" TargetMode="External"/><Relationship Id="rId177" Type="http://schemas.openxmlformats.org/officeDocument/2006/relationships/hyperlink" Target="http://www.sec.gov/Archives/edgar/data/1102993/000110299319000059/a2019q1livepersonex104rsu.htm" TargetMode="External"/><Relationship Id="rId178" Type="http://schemas.openxmlformats.org/officeDocument/2006/relationships/hyperlink" Target="http://www.sec.gov/Archives/edgar/data/1102993/000110299319000123/exhibit991-2019stockincent.htm" TargetMode="External"/><Relationship Id="rId179" Type="http://schemas.openxmlformats.org/officeDocument/2006/relationships/hyperlink" Target="http://www.sec.gov/Archives/edgar/data/1102993/000110299319000123/exhibit992-employeestockpu.htm" TargetMode="External"/><Relationship Id="rId180" Type="http://schemas.openxmlformats.org/officeDocument/2006/relationships/hyperlink" Target="https://www.sec.gov/Archives/edgar/data/1102993/000119312520314917/d16236dex101.htm" TargetMode="External"/><Relationship Id="rId181" Type="http://schemas.openxmlformats.org/officeDocument/2006/relationships/hyperlink" Target="https://www.sec.gov/Archives/edgar/data/1102993/000119312520314917/d1623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2021-03-08T06:11:25Z</dcterms:created>
  <dcterms:modified xsi:type="dcterms:W3CDTF">2021-03-08T06:11:25Z</dcterms:modified>
</cp:coreProperties>
</file>